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hfzgEAAIQDAAAOAAAAZHJzL2Uyb0RvYy54bWysU8GO2yAQvVfqPyDuje0kbrJWnFW1q1SV&#10;Vm2k7X4AxhAjYaADiZ2/74Czm7R7q+oDnoHnx3sz48392GtyEuCVNTUtZjklwnDbKnOo6cvP3ac1&#10;JT4w0zJtjajpWXh6v/34YTO4SsxtZ3UrgCCJ8dXgatqF4Kos87wTPfMz64TBQ2mhZwFTOGQtsAHZ&#10;e53N8/xzNlhoHVguvMfdx+mQbhO/lIKHH1J6EYiuKWoLaYW0NnHNthtWHYC5TvGLDPYPKnqmDF76&#10;RvXIAiNHUO+oesXBeivDjNs+s1IqLpIHdFPkf7l57pgTyQsWx7u3Mvn/R8u/n57dHrAMg/OVxzC6&#10;GCX08Y36yFjTebla362xk+eaLjBZFYupcGIMhCOgLBfLfF5SwhFR5MtluSojIrtSOfDhq7A9iUFN&#10;ATuTCsZOTz5M0FdIvNlbrdqd0jolcGgeNJATwy7u0nNh/wOmTQQbGz+bGONOdjUWozA248VtY9vz&#10;Hoh3fKdQ1BPzYc8A219QMuBI1NT/OjIQlOhvBmt+Vyyjx5AStJjjQMHtSXN7wgzvLE5aoGQKH0Ka&#10;u0njl2OwUiXjUdUk5SIWW51KdxnLOEu3eUJdf57tbwAAAP//AwBQSwMEFAAGAAgAAAAhAFMqdF7b&#10;AAAACQEAAA8AAABkcnMvZG93bnJldi54bWxMT8tOwzAQvCPxD9YicWttKEVpGqdClbghIQIIjk68&#10;JFHtdRQ7afh7lhOc9jGjeRSHxTsx4xj7QBpu1goEUhNsT62Gt9fHVQYiJkPWuECo4RsjHMrLi8Lk&#10;NpzpBecqtYJFKOZGQ5fSkEsZmw69ieswIDH2FUZvEp9jK+1ozizunbxV6l560xM7dGbAY4fNqZq8&#10;Bjeru/ePevuZVX2LT6dlPobpWevrq+VhDyLhkv7I8Bufo0PJmeowkY3CadgorpI0rDKejO/Uhpea&#10;iVv+yLKQ/xuUPwAAAP//AwBQSwECLQAUAAYACAAAACEAtoM4kv4AAADhAQAAEwAAAAAAAAAAAAAA&#10;AAAAAAAAW0NvbnRlbnRfVHlwZXNdLnhtbFBLAQItABQABgAIAAAAIQA4/SH/1gAAAJQBAAALAAAA&#10;AAAAAAAAAAAAAC8BAABfcmVscy8ucmVsc1BLAQItABQABgAIAAAAIQCvIAhfzgEAAIQDAAAOAAAA&#10;AAAAAAAAAAAAAC4CAABkcnMvZTJvRG9jLnhtbFBLAQItABQABgAIAAAAIQBTKnRe2wAAAAkBAAAP&#10;AAAAAAAAAAAAAAAAACgEAABkcnMvZG93bnJldi54bWxQSwUGAAAAAAQABADzAAAAMAUAAAAA&#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r>
                        <w:rPr>
                          <w:rFonts w:ascii="Constantia" w:eastAsia="Constantia" w:hAnsi="Constantia" w:cs="Constantia"/>
                          <w:color w:val="000000"/>
                          <w:sz w:val="36"/>
                        </w:rPr>
                        <w:t>Jurnal Pendidikan Ilmu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56CF559C"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AD0DC0">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AD0DC0">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AD0DC0">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FB1905">
                              <w:rPr>
                                <w:rFonts w:ascii="Constantia" w:eastAsia="Constantia" w:hAnsi="Constantia" w:cs="Constantia"/>
                                <w:i/>
                                <w:color w:val="000000"/>
                                <w:sz w:val="20"/>
                              </w:rPr>
                              <w:t>49</w:t>
                            </w:r>
                            <w:r w:rsidRPr="004E3D90">
                              <w:rPr>
                                <w:rFonts w:ascii="Constantia" w:eastAsia="Constantia" w:hAnsi="Constantia" w:cs="Constantia"/>
                                <w:i/>
                                <w:color w:val="000000"/>
                                <w:sz w:val="20"/>
                              </w:rPr>
                              <w:t>-</w:t>
                            </w:r>
                            <w:r w:rsidR="00FB1905">
                              <w:rPr>
                                <w:rFonts w:ascii="Constantia" w:eastAsia="Constantia" w:hAnsi="Constantia" w:cs="Constantia"/>
                                <w:i/>
                                <w:color w:val="000000"/>
                                <w:sz w:val="20"/>
                              </w:rPr>
                              <w:t>160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56CF559C"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AD0DC0">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AD0DC0">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AD0DC0">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FB1905">
                        <w:rPr>
                          <w:rFonts w:ascii="Constantia" w:eastAsia="Constantia" w:hAnsi="Constantia" w:cs="Constantia"/>
                          <w:i/>
                          <w:color w:val="000000"/>
                          <w:sz w:val="20"/>
                        </w:rPr>
                        <w:t>49</w:t>
                      </w:r>
                      <w:r w:rsidRPr="004E3D90">
                        <w:rPr>
                          <w:rFonts w:ascii="Constantia" w:eastAsia="Constantia" w:hAnsi="Constantia" w:cs="Constantia"/>
                          <w:i/>
                          <w:color w:val="000000"/>
                          <w:sz w:val="20"/>
                        </w:rPr>
                        <w:t>-</w:t>
                      </w:r>
                      <w:r w:rsidR="00FB1905">
                        <w:rPr>
                          <w:rFonts w:ascii="Constantia" w:eastAsia="Constantia" w:hAnsi="Constantia" w:cs="Constantia"/>
                          <w:i/>
                          <w:color w:val="000000"/>
                          <w:sz w:val="20"/>
                        </w:rPr>
                        <w:t>160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7CD0FB3A" w14:textId="77777777" w:rsidR="004420F0" w:rsidRDefault="004420F0">
      <w:pPr>
        <w:pBdr>
          <w:top w:val="nil"/>
          <w:left w:val="nil"/>
          <w:bottom w:val="nil"/>
          <w:right w:val="nil"/>
          <w:between w:val="nil"/>
        </w:pBdr>
        <w:spacing w:after="0" w:line="240" w:lineRule="auto"/>
        <w:jc w:val="center"/>
        <w:rPr>
          <w:color w:val="000000"/>
          <w:lang w:val="en-US"/>
        </w:rPr>
      </w:pPr>
      <w:bookmarkStart w:id="0" w:name="bookmark=id.gjdgxs" w:colFirst="0" w:colLast="0"/>
      <w:bookmarkEnd w:id="0"/>
    </w:p>
    <w:p w14:paraId="1FB9C000" w14:textId="77777777" w:rsidR="004E3D90" w:rsidRPr="008D069B" w:rsidRDefault="004E3D90">
      <w:pPr>
        <w:pBdr>
          <w:top w:val="nil"/>
          <w:left w:val="nil"/>
          <w:bottom w:val="nil"/>
          <w:right w:val="nil"/>
          <w:between w:val="nil"/>
        </w:pBdr>
        <w:spacing w:after="0" w:line="240" w:lineRule="auto"/>
        <w:jc w:val="center"/>
        <w:rPr>
          <w:color w:val="000000"/>
          <w:lang w:val="en-US"/>
        </w:rPr>
      </w:pPr>
    </w:p>
    <w:p w14:paraId="590F459E" w14:textId="2878C6A1" w:rsidR="003E120E" w:rsidRPr="003E120E" w:rsidRDefault="00D45112" w:rsidP="003E120E">
      <w:pPr>
        <w:spacing w:line="240" w:lineRule="auto"/>
        <w:jc w:val="center"/>
        <w:rPr>
          <w:rFonts w:ascii="Constantia" w:eastAsia="Constantia" w:hAnsi="Constantia" w:cs="Constantia"/>
          <w:sz w:val="32"/>
          <w:szCs w:val="32"/>
          <w:lang w:val="en-US"/>
        </w:rPr>
      </w:pPr>
      <w:bookmarkStart w:id="1" w:name="_Hlk143525639"/>
      <w:r>
        <w:rPr>
          <w:rFonts w:ascii="Constantia" w:eastAsia="Constantia" w:hAnsi="Constantia" w:cs="Constantia"/>
          <w:sz w:val="32"/>
          <w:szCs w:val="32"/>
          <w:lang w:val="en-US"/>
        </w:rPr>
        <w:t xml:space="preserve">Differences in Self-Efficacy, Self-Management, and Achievement Index of Students in the </w:t>
      </w:r>
      <w:proofErr w:type="spellStart"/>
      <w:r>
        <w:rPr>
          <w:rFonts w:ascii="Constantia" w:eastAsia="Constantia" w:hAnsi="Constantia" w:cs="Constantia"/>
          <w:sz w:val="32"/>
          <w:szCs w:val="32"/>
          <w:lang w:val="en-US"/>
        </w:rPr>
        <w:t>Tadris</w:t>
      </w:r>
      <w:proofErr w:type="spellEnd"/>
      <w:r>
        <w:rPr>
          <w:rFonts w:ascii="Constantia" w:eastAsia="Constantia" w:hAnsi="Constantia" w:cs="Constantia"/>
          <w:sz w:val="32"/>
          <w:szCs w:val="32"/>
          <w:lang w:val="en-US"/>
        </w:rPr>
        <w:t xml:space="preserve"> IPS IAIN Kudus Study Program</w:t>
      </w:r>
      <w:r w:rsidR="003E120E" w:rsidRPr="003E120E">
        <w:rPr>
          <w:rFonts w:ascii="Constantia" w:eastAsia="Constantia" w:hAnsi="Constantia" w:cs="Constantia"/>
          <w:sz w:val="32"/>
          <w:szCs w:val="32"/>
          <w:lang w:val="en-US"/>
        </w:rPr>
        <w:t xml:space="preserve"> </w:t>
      </w:r>
    </w:p>
    <w:bookmarkEnd w:id="1"/>
    <w:p w14:paraId="4C30866C" w14:textId="522943F8" w:rsidR="00AD0DC0" w:rsidRDefault="00AD0DC0" w:rsidP="00AD0DC0">
      <w:pPr>
        <w:spacing w:before="240" w:after="240"/>
        <w:jc w:val="center"/>
        <w:rPr>
          <w:i/>
          <w:sz w:val="20"/>
          <w:szCs w:val="20"/>
          <w:vertAlign w:val="superscript"/>
          <w:lang w:val="en-US"/>
        </w:rPr>
      </w:pPr>
      <w:r w:rsidRPr="00AD0DC0">
        <w:rPr>
          <w:i/>
          <w:sz w:val="20"/>
          <w:szCs w:val="20"/>
          <w:lang w:val="en-US"/>
        </w:rPr>
        <w:t>Abi Amar Zubair</w:t>
      </w:r>
      <w:r w:rsidRPr="00AD0DC0">
        <w:rPr>
          <w:i/>
          <w:sz w:val="20"/>
          <w:szCs w:val="20"/>
          <w:vertAlign w:val="superscript"/>
          <w:lang w:val="en-US"/>
        </w:rPr>
        <w:t>1</w:t>
      </w:r>
      <w:r w:rsidRPr="00AD0DC0">
        <w:rPr>
          <w:i/>
          <w:sz w:val="20"/>
          <w:szCs w:val="20"/>
          <w:lang w:val="en-US"/>
        </w:rPr>
        <w:t>, Yusuf Falaq</w:t>
      </w:r>
      <w:r w:rsidRPr="00AD0DC0">
        <w:rPr>
          <w:i/>
          <w:sz w:val="20"/>
          <w:szCs w:val="20"/>
          <w:vertAlign w:val="superscript"/>
          <w:lang w:val="en-US"/>
        </w:rPr>
        <w:t>2</w:t>
      </w:r>
      <w:r w:rsidRPr="00AD0DC0">
        <w:rPr>
          <w:i/>
          <w:sz w:val="20"/>
          <w:szCs w:val="20"/>
          <w:lang w:val="en-US"/>
        </w:rPr>
        <w:t xml:space="preserve">, </w:t>
      </w:r>
      <w:proofErr w:type="spellStart"/>
      <w:r w:rsidRPr="00AD0DC0">
        <w:rPr>
          <w:i/>
          <w:sz w:val="20"/>
          <w:szCs w:val="20"/>
          <w:lang w:val="en-US"/>
        </w:rPr>
        <w:t>Rofiq</w:t>
      </w:r>
      <w:proofErr w:type="spellEnd"/>
      <w:r w:rsidRPr="00AD0DC0">
        <w:rPr>
          <w:i/>
          <w:sz w:val="20"/>
          <w:szCs w:val="20"/>
          <w:lang w:val="en-US"/>
        </w:rPr>
        <w:t xml:space="preserve"> </w:t>
      </w:r>
      <w:proofErr w:type="spellStart"/>
      <w:r w:rsidRPr="00AD0DC0">
        <w:rPr>
          <w:i/>
          <w:sz w:val="20"/>
          <w:szCs w:val="20"/>
          <w:lang w:val="en-US"/>
        </w:rPr>
        <w:t>Faudy</w:t>
      </w:r>
      <w:proofErr w:type="spellEnd"/>
      <w:r w:rsidRPr="00AD0DC0">
        <w:rPr>
          <w:i/>
          <w:sz w:val="20"/>
          <w:szCs w:val="20"/>
          <w:lang w:val="en-US"/>
        </w:rPr>
        <w:t xml:space="preserve"> Akba</w:t>
      </w:r>
      <w:r>
        <w:rPr>
          <w:i/>
          <w:sz w:val="20"/>
          <w:szCs w:val="20"/>
          <w:lang w:val="en-US"/>
        </w:rPr>
        <w:t>r</w:t>
      </w:r>
      <w:r w:rsidRPr="00AD0DC0">
        <w:rPr>
          <w:i/>
          <w:sz w:val="20"/>
          <w:szCs w:val="20"/>
          <w:vertAlign w:val="superscript"/>
          <w:lang w:val="en-US"/>
        </w:rPr>
        <w:t>3</w:t>
      </w:r>
    </w:p>
    <w:p w14:paraId="7CA1CC46" w14:textId="06B2277D" w:rsidR="00AD0DC0" w:rsidRPr="008D069B" w:rsidRDefault="00AD0DC0" w:rsidP="00AD0DC0">
      <w:pPr>
        <w:shd w:val="clear" w:color="auto" w:fill="FFFFFF"/>
        <w:spacing w:after="0" w:line="240" w:lineRule="auto"/>
        <w:jc w:val="center"/>
        <w:rPr>
          <w:sz w:val="20"/>
          <w:szCs w:val="20"/>
          <w:lang w:val="en-US"/>
        </w:rPr>
      </w:pPr>
      <w:r w:rsidRPr="00925582">
        <w:rPr>
          <w:sz w:val="20"/>
          <w:szCs w:val="20"/>
          <w:vertAlign w:val="superscript"/>
          <w:lang w:val="en-US"/>
        </w:rPr>
        <w:t>1,2,3</w:t>
      </w:r>
      <w:r w:rsidRPr="00AD0DC0">
        <w:rPr>
          <w:sz w:val="20"/>
          <w:szCs w:val="20"/>
          <w:lang w:val="en-US"/>
        </w:rPr>
        <w:t>Institut Agama Islam Negeri Kudus</w:t>
      </w:r>
    </w:p>
    <w:p w14:paraId="10D22B89" w14:textId="3452C0C8" w:rsidR="004420F0" w:rsidRPr="00AD0DC0" w:rsidRDefault="00AD0DC0" w:rsidP="00AD0DC0">
      <w:pPr>
        <w:spacing w:after="240"/>
        <w:jc w:val="center"/>
        <w:rPr>
          <w:i/>
          <w:sz w:val="20"/>
          <w:szCs w:val="20"/>
          <w:vertAlign w:val="superscript"/>
          <w:lang w:val="en-US"/>
        </w:rPr>
      </w:pPr>
      <w:r>
        <w:rPr>
          <w:sz w:val="20"/>
          <w:szCs w:val="20"/>
        </w:rPr>
        <w:t>Correspondence: E-mail</w:t>
      </w:r>
      <w:r w:rsidRPr="008D069B">
        <w:rPr>
          <w:sz w:val="20"/>
          <w:szCs w:val="20"/>
          <w:lang w:val="en-US"/>
        </w:rPr>
        <w:t xml:space="preserve">: </w:t>
      </w:r>
      <w:r w:rsidRPr="00AD0DC0">
        <w:rPr>
          <w:color w:val="00B0F0"/>
          <w:sz w:val="20"/>
          <w:szCs w:val="20"/>
          <w:lang w:val="en-US"/>
        </w:rPr>
        <w:t>abiamar07@student.iainkudus.ac.id</w:t>
      </w:r>
      <w:r w:rsidR="00E211AA" w:rsidRPr="008D069B">
        <w:rPr>
          <w:sz w:val="20"/>
          <w:szCs w:val="20"/>
          <w:lang w:val="en-US"/>
        </w:rPr>
        <w:t xml:space="preserve"> </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0E0F277B" w14:textId="2CDE49AA" w:rsidR="00DD3E5B" w:rsidRDefault="00AD0DC0" w:rsidP="00A019D1">
            <w:pPr>
              <w:spacing w:line="240" w:lineRule="auto"/>
              <w:jc w:val="both"/>
            </w:pPr>
            <w:r w:rsidRPr="008D069B">
              <w:rPr>
                <w:noProof/>
                <w:lang w:val="en-US" w:eastAsia="en-US"/>
              </w:rPr>
              <mc:AlternateContent>
                <mc:Choice Requires="wps">
                  <w:drawing>
                    <wp:anchor distT="4294967294" distB="4294967294" distL="114300" distR="114300" simplePos="0" relativeHeight="251668480" behindDoc="0" locked="0" layoutInCell="1" hidden="0" allowOverlap="1" wp14:anchorId="3985795C" wp14:editId="5F318D73">
                      <wp:simplePos x="0" y="0"/>
                      <wp:positionH relativeFrom="margin">
                        <wp:posOffset>-319160</wp:posOffset>
                      </wp:positionH>
                      <wp:positionV relativeFrom="paragraph">
                        <wp:posOffset>4525400</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27E2B62E" id="_x0000_t32" coordsize="21600,21600" o:spt="32" o:oned="t" path="m,l21600,21600e" filled="f">
                      <v:path arrowok="t" fillok="f" o:connecttype="none"/>
                      <o:lock v:ext="edit" shapetype="t"/>
                    </v:shapetype>
                    <v:shape id="Straight Arrow Connector 32" o:spid="_x0000_s1026" type="#_x0000_t32" style="position:absolute;margin-left:-25.15pt;margin-top:356.35pt;width:522.75pt;height:1pt;z-index:25166848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Vi5cGeMA&#13;&#10;AAAQAQAADwAAAGRycy9kb3ducmV2LnhtbEyPQU/DMAyF70j8h8hI3LZ0HWtZ13RCIDSJW0sv3LzG&#13;&#10;tBVNUppsK/8e7wQXS7afP7+X72cziDNNvndWwWoZgSDbON3bVkH9/rp4BOEDWo2Ds6Tghzzsi9ub&#13;&#10;HDPtLrakcxVawRDrM1TQhTBmUvqmI4N+6UayvPt0k8HA7dRKPeGF4WaQcRQl0mBv+UOHIz131HxV&#13;&#10;J6OgXPdNfdBM78uPAyXfmFT1m1L3d/PLjsvTDkSgOfxdwDUD+4eCjR3dyWovBgWLTbRmqYJ0Facg&#13;&#10;WLHdbmIQx+vkIQVZ5PJ/kOIXAAD//wMAUEsBAi0AFAAGAAgAAAAhALaDOJL+AAAA4QEAABMAAAAA&#13;&#10;AAAAAAAAAAAAAAAAAFtDb250ZW50X1R5cGVzXS54bWxQSwECLQAUAAYACAAAACEAOP0h/9YAAACU&#13;&#10;AQAACwAAAAAAAAAAAAAAAAAvAQAAX3JlbHMvLnJlbHNQSwECLQAUAAYACAAAACEA09AcaM0BAACO&#13;&#10;AwAADgAAAAAAAAAAAAAAAAAuAgAAZHJzL2Uyb0RvYy54bWxQSwECLQAUAAYACAAAACEAVi5cGeMA&#13;&#10;AAAQAQAADwAAAAAAAAAAAAAAAAAnBAAAZHJzL2Rvd25yZXYueG1sUEsFBgAAAAAEAAQA8wAAADcF&#13;&#10;AAAAAA==&#13;&#10;" strokecolor="#5b9bd5">
                      <v:stroke startarrowwidth="narrow" startarrowlength="short" endarrowwidth="narrow" endarrowlength="short" joinstyle="miter"/>
                      <w10:wrap anchorx="margin"/>
                    </v:shape>
                  </w:pict>
                </mc:Fallback>
              </mc:AlternateContent>
            </w:r>
            <w:r w:rsidR="00DD3E5B">
              <w:t xml:space="preserve">Gender studies explain the differences in roles, positions, attitudes, behaviour, intelligence, and emotions between men and women. The concepts of study habits, adaptation, and academic assignments trigger differences in batches of students. On the other hand, the double burden students carry apart from academic interests can make students' achievement indexes fail to meet expectations. This triggers differences in intelligence and self-management based on the burden they carry. This research aims to determine whether there are differences in the self-efficacy, self-management, and achievement index of </w:t>
            </w:r>
            <w:proofErr w:type="spellStart"/>
            <w:r w:rsidR="00DD3E5B">
              <w:t>Tadris</w:t>
            </w:r>
            <w:proofErr w:type="spellEnd"/>
            <w:r w:rsidR="00DD3E5B">
              <w:t xml:space="preserve"> IPS IAIN Kudus students in terms of gender, batch of students, and student burden status. This research uses a quantitative approach and a survey method. The results show differences in self-efficacy, self-management, and achievement index based on gender. Women are taller than men. A review of the differences among the batch of students shows differences in self-efficacy and achievement index, while there is no difference in self-management. A review of student loads did not show differences in student self-efficacy, self-management, and achievement index. In conclusion, there are differences in gender, self-efficacy and achievement index based on the batch of students, but no differences in student status.</w:t>
            </w:r>
          </w:p>
          <w:p w14:paraId="1AF90B8C" w14:textId="600BB510" w:rsidR="00DD3E5B" w:rsidRDefault="00DD3E5B" w:rsidP="00A019D1">
            <w:pPr>
              <w:spacing w:line="240" w:lineRule="auto"/>
              <w:jc w:val="both"/>
              <w:rPr>
                <w:color w:val="000000"/>
                <w:lang w:val="en-US"/>
              </w:rPr>
            </w:pPr>
            <w:r w:rsidRPr="008D069B">
              <w:rPr>
                <w:color w:val="000000"/>
                <w:sz w:val="18"/>
                <w:szCs w:val="18"/>
                <w:lang w:val="en-US"/>
              </w:rPr>
              <w:t>© 202</w:t>
            </w:r>
            <w:r w:rsidR="00B83EB5">
              <w:rPr>
                <w:color w:val="000000"/>
                <w:sz w:val="18"/>
                <w:szCs w:val="18"/>
                <w:lang w:val="en-US"/>
              </w:rPr>
              <w:t>4</w:t>
            </w:r>
            <w:r w:rsidRPr="008D069B">
              <w:rPr>
                <w:color w:val="000000"/>
                <w:sz w:val="18"/>
                <w:szCs w:val="18"/>
                <w:lang w:val="en-US"/>
              </w:rPr>
              <w:t xml:space="preserve"> </w:t>
            </w:r>
            <w:proofErr w:type="spellStart"/>
            <w:r>
              <w:rPr>
                <w:sz w:val="18"/>
                <w:szCs w:val="18"/>
                <w:lang w:val="en-US"/>
              </w:rPr>
              <w:t>Fakultas</w:t>
            </w:r>
            <w:proofErr w:type="spellEnd"/>
            <w:r>
              <w:rPr>
                <w:sz w:val="18"/>
                <w:szCs w:val="18"/>
                <w:lang w:val="en-US"/>
              </w:rPr>
              <w:t xml:space="preserve"> Pendidikan </w:t>
            </w:r>
            <w:proofErr w:type="spellStart"/>
            <w:r>
              <w:rPr>
                <w:sz w:val="18"/>
                <w:szCs w:val="18"/>
                <w:lang w:val="en-US"/>
              </w:rPr>
              <w:t>Ilmu</w:t>
            </w:r>
            <w:proofErr w:type="spellEnd"/>
            <w:r>
              <w:rPr>
                <w:sz w:val="18"/>
                <w:szCs w:val="18"/>
                <w:lang w:val="en-US"/>
              </w:rPr>
              <w:t xml:space="preserve"> </w:t>
            </w:r>
            <w:proofErr w:type="spellStart"/>
            <w:r>
              <w:rPr>
                <w:sz w:val="18"/>
                <w:szCs w:val="18"/>
                <w:lang w:val="en-US"/>
              </w:rPr>
              <w:t>Sosial</w:t>
            </w:r>
            <w:proofErr w:type="spellEnd"/>
          </w:p>
          <w:p w14:paraId="15F375FC" w14:textId="7809D26D" w:rsidR="004420F0" w:rsidRPr="008D069B" w:rsidRDefault="004420F0" w:rsidP="00A019D1">
            <w:pPr>
              <w:pBdr>
                <w:top w:val="nil"/>
                <w:left w:val="nil"/>
                <w:bottom w:val="nil"/>
                <w:right w:val="nil"/>
                <w:between w:val="nil"/>
              </w:pBdr>
              <w:spacing w:after="0" w:line="276" w:lineRule="auto"/>
              <w:jc w:val="both"/>
              <w:rPr>
                <w:rFonts w:ascii="Roboto" w:eastAsia="Roboto" w:hAnsi="Roboto" w:cs="Roboto"/>
                <w:color w:val="000000"/>
                <w:sz w:val="18"/>
                <w:szCs w:val="18"/>
                <w:lang w:val="en-US"/>
              </w:rPr>
            </w:pPr>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38842F88"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Received</w:t>
            </w:r>
            <w:r w:rsidR="00AD0DC0">
              <w:rPr>
                <w:i/>
                <w:sz w:val="18"/>
                <w:szCs w:val="18"/>
                <w:lang w:val="en-US"/>
              </w:rPr>
              <w:t>;</w:t>
            </w:r>
            <w:r w:rsidR="00E211AA" w:rsidRPr="008D069B">
              <w:rPr>
                <w:i/>
                <w:sz w:val="18"/>
                <w:szCs w:val="18"/>
                <w:lang w:val="en-US"/>
              </w:rPr>
              <w:t xml:space="preserve"> </w:t>
            </w:r>
            <w:r w:rsidR="00AD0DC0">
              <w:rPr>
                <w:i/>
                <w:sz w:val="18"/>
                <w:szCs w:val="18"/>
                <w:lang w:val="en-US"/>
              </w:rPr>
              <w:t>4</w:t>
            </w:r>
            <w:r w:rsidR="00E211AA" w:rsidRPr="008D069B">
              <w:rPr>
                <w:i/>
                <w:sz w:val="18"/>
                <w:szCs w:val="18"/>
                <w:lang w:val="en-US"/>
              </w:rPr>
              <w:t xml:space="preserve"> </w:t>
            </w:r>
            <w:r w:rsidR="00AD0DC0">
              <w:rPr>
                <w:i/>
                <w:sz w:val="18"/>
                <w:szCs w:val="18"/>
                <w:lang w:val="en-US"/>
              </w:rPr>
              <w:t>Apr</w:t>
            </w:r>
            <w:r w:rsidR="00E211AA" w:rsidRPr="008D069B">
              <w:rPr>
                <w:i/>
                <w:sz w:val="18"/>
                <w:szCs w:val="18"/>
                <w:lang w:val="en-US"/>
              </w:rPr>
              <w:t xml:space="preserve"> </w:t>
            </w:r>
            <w:r w:rsidR="00E91D59" w:rsidRPr="008D069B">
              <w:rPr>
                <w:i/>
                <w:sz w:val="18"/>
                <w:szCs w:val="18"/>
                <w:lang w:val="en-US"/>
              </w:rPr>
              <w:t>202</w:t>
            </w:r>
            <w:r w:rsidR="00AD0DC0">
              <w:rPr>
                <w:i/>
                <w:sz w:val="18"/>
                <w:szCs w:val="18"/>
                <w:lang w:val="en-US"/>
              </w:rPr>
              <w:t>4</w:t>
            </w:r>
          </w:p>
          <w:p w14:paraId="08A6517E" w14:textId="73F92819"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AD0DC0">
              <w:rPr>
                <w:i/>
                <w:sz w:val="18"/>
                <w:szCs w:val="18"/>
                <w:lang w:val="en-US"/>
              </w:rPr>
              <w:t>;</w:t>
            </w:r>
            <w:r w:rsidR="00E211AA" w:rsidRPr="008D069B">
              <w:rPr>
                <w:i/>
                <w:sz w:val="18"/>
                <w:szCs w:val="18"/>
                <w:lang w:val="en-US"/>
              </w:rPr>
              <w:t xml:space="preserve"> </w:t>
            </w:r>
            <w:r w:rsidR="00AD0DC0">
              <w:rPr>
                <w:i/>
                <w:sz w:val="18"/>
                <w:szCs w:val="18"/>
                <w:lang w:val="en-US"/>
              </w:rPr>
              <w:t>20</w:t>
            </w:r>
            <w:r w:rsidR="00E211AA" w:rsidRPr="008D069B">
              <w:rPr>
                <w:i/>
                <w:sz w:val="18"/>
                <w:szCs w:val="18"/>
                <w:lang w:val="en-US"/>
              </w:rPr>
              <w:t xml:space="preserve"> </w:t>
            </w:r>
            <w:proofErr w:type="spellStart"/>
            <w:r w:rsidR="00AD0DC0">
              <w:rPr>
                <w:i/>
                <w:sz w:val="18"/>
                <w:szCs w:val="18"/>
                <w:lang w:val="en-US"/>
              </w:rPr>
              <w:t>Augst</w:t>
            </w:r>
            <w:proofErr w:type="spellEnd"/>
            <w:r w:rsidR="00E211AA" w:rsidRPr="008D069B">
              <w:rPr>
                <w:i/>
                <w:sz w:val="18"/>
                <w:szCs w:val="18"/>
                <w:lang w:val="en-US"/>
              </w:rPr>
              <w:t xml:space="preserve"> </w:t>
            </w:r>
            <w:r w:rsidR="00E91D59" w:rsidRPr="008D069B">
              <w:rPr>
                <w:i/>
                <w:sz w:val="18"/>
                <w:szCs w:val="18"/>
                <w:lang w:val="en-US"/>
              </w:rPr>
              <w:t>202</w:t>
            </w:r>
            <w:r w:rsidR="00AD0DC0">
              <w:rPr>
                <w:i/>
                <w:sz w:val="18"/>
                <w:szCs w:val="18"/>
                <w:lang w:val="en-US"/>
              </w:rPr>
              <w:t>4</w:t>
            </w:r>
          </w:p>
          <w:p w14:paraId="6F90F489" w14:textId="0985FAF4" w:rsidR="004420F0" w:rsidRPr="008D069B" w:rsidRDefault="00E211AA" w:rsidP="00CA76F5">
            <w:pPr>
              <w:spacing w:after="0" w:line="240" w:lineRule="auto"/>
              <w:rPr>
                <w:i/>
                <w:sz w:val="18"/>
                <w:szCs w:val="18"/>
                <w:lang w:val="en-US"/>
              </w:rPr>
            </w:pPr>
            <w:r w:rsidRPr="008D069B">
              <w:rPr>
                <w:i/>
                <w:sz w:val="18"/>
                <w:szCs w:val="18"/>
                <w:lang w:val="en-US"/>
              </w:rPr>
              <w:t>Accepted</w:t>
            </w:r>
            <w:r w:rsidR="00AD0DC0">
              <w:rPr>
                <w:i/>
                <w:sz w:val="18"/>
                <w:szCs w:val="18"/>
                <w:lang w:val="en-US"/>
              </w:rPr>
              <w:t>;</w:t>
            </w:r>
            <w:r w:rsidRPr="008D069B">
              <w:rPr>
                <w:i/>
                <w:sz w:val="18"/>
                <w:szCs w:val="18"/>
                <w:lang w:val="en-US"/>
              </w:rPr>
              <w:t xml:space="preserve"> </w:t>
            </w:r>
            <w:r w:rsidR="00AD0DC0">
              <w:rPr>
                <w:i/>
                <w:sz w:val="18"/>
                <w:szCs w:val="18"/>
                <w:lang w:val="en-US"/>
              </w:rPr>
              <w:t>15 Nov</w:t>
            </w:r>
            <w:r w:rsidRPr="008D069B">
              <w:rPr>
                <w:i/>
                <w:sz w:val="18"/>
                <w:szCs w:val="18"/>
                <w:lang w:val="en-US"/>
              </w:rPr>
              <w:t xml:space="preserve"> </w:t>
            </w:r>
            <w:r w:rsidR="00E91D59" w:rsidRPr="008D069B">
              <w:rPr>
                <w:i/>
                <w:sz w:val="18"/>
                <w:szCs w:val="18"/>
                <w:lang w:val="en-US"/>
              </w:rPr>
              <w:t>20</w:t>
            </w:r>
            <w:r w:rsidR="00AD0DC0">
              <w:rPr>
                <w:i/>
                <w:sz w:val="18"/>
                <w:szCs w:val="18"/>
                <w:lang w:val="en-US"/>
              </w:rPr>
              <w:t>24</w:t>
            </w:r>
          </w:p>
          <w:p w14:paraId="27021A97" w14:textId="694B5197"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AD0DC0">
              <w:rPr>
                <w:i/>
                <w:sz w:val="18"/>
                <w:szCs w:val="18"/>
                <w:lang w:val="en-US"/>
              </w:rPr>
              <w:t>;</w:t>
            </w:r>
            <w:r w:rsidR="00E211AA" w:rsidRPr="008D069B">
              <w:rPr>
                <w:i/>
                <w:sz w:val="18"/>
                <w:szCs w:val="18"/>
                <w:lang w:val="en-US"/>
              </w:rPr>
              <w:t xml:space="preserve"> </w:t>
            </w:r>
            <w:r w:rsidR="00AD0DC0">
              <w:rPr>
                <w:i/>
                <w:sz w:val="18"/>
                <w:szCs w:val="18"/>
                <w:lang w:val="en-US"/>
              </w:rPr>
              <w:t>30 Dec 2024</w:t>
            </w:r>
          </w:p>
          <w:p w14:paraId="4CF9D19D" w14:textId="675A4CA7" w:rsidR="00E9521F" w:rsidRPr="008D069B" w:rsidRDefault="00E9521F" w:rsidP="00CA76F5">
            <w:pPr>
              <w:spacing w:after="0" w:line="240" w:lineRule="auto"/>
              <w:rPr>
                <w:i/>
                <w:sz w:val="18"/>
                <w:szCs w:val="18"/>
                <w:lang w:val="en-US"/>
              </w:rPr>
            </w:pPr>
            <w:r w:rsidRPr="008D069B">
              <w:rPr>
                <w:i/>
                <w:sz w:val="18"/>
                <w:szCs w:val="18"/>
                <w:lang w:val="en-US"/>
              </w:rPr>
              <w:t>Publication</w:t>
            </w:r>
            <w:r w:rsidR="00AD0DC0">
              <w:rPr>
                <w:i/>
                <w:sz w:val="18"/>
                <w:szCs w:val="18"/>
                <w:lang w:val="en-US"/>
              </w:rPr>
              <w:t>;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Default="00E211AA" w:rsidP="00CA76F5">
            <w:pPr>
              <w:spacing w:after="0" w:line="240" w:lineRule="auto"/>
              <w:rPr>
                <w:b/>
                <w:i/>
                <w:sz w:val="18"/>
                <w:szCs w:val="18"/>
                <w:lang w:val="en-US"/>
              </w:rPr>
            </w:pPr>
            <w:r w:rsidRPr="008D069B">
              <w:rPr>
                <w:b/>
                <w:i/>
                <w:sz w:val="18"/>
                <w:szCs w:val="18"/>
                <w:lang w:val="en-US"/>
              </w:rPr>
              <w:t>Keyword:</w:t>
            </w:r>
          </w:p>
          <w:p w14:paraId="2E30A0EF" w14:textId="5907859F" w:rsidR="00AD0DC0" w:rsidRDefault="00AD0DC0" w:rsidP="00705A9D">
            <w:pPr>
              <w:spacing w:after="0" w:line="240" w:lineRule="auto"/>
              <w:rPr>
                <w:i/>
                <w:color w:val="000000"/>
                <w:sz w:val="18"/>
                <w:szCs w:val="18"/>
                <w:lang w:val="en-US"/>
              </w:rPr>
            </w:pPr>
            <w:r>
              <w:rPr>
                <w:i/>
                <w:color w:val="000000"/>
                <w:sz w:val="18"/>
                <w:szCs w:val="18"/>
                <w:lang w:val="en-US"/>
              </w:rPr>
              <w:t xml:space="preserve">Achievement Index, </w:t>
            </w:r>
            <w:r w:rsidRPr="00685C89">
              <w:rPr>
                <w:bCs/>
                <w:i/>
                <w:sz w:val="18"/>
                <w:szCs w:val="18"/>
                <w:lang w:val="en-US"/>
              </w:rPr>
              <w:t>Differences</w:t>
            </w:r>
            <w:r>
              <w:rPr>
                <w:bCs/>
                <w:i/>
                <w:sz w:val="18"/>
                <w:szCs w:val="18"/>
                <w:lang w:val="en-US"/>
              </w:rPr>
              <w:t>,</w:t>
            </w:r>
            <w:r>
              <w:rPr>
                <w:i/>
                <w:color w:val="000000"/>
                <w:sz w:val="18"/>
                <w:szCs w:val="18"/>
                <w:lang w:val="en-US"/>
              </w:rPr>
              <w:t xml:space="preserve"> Self-Efficacy, Self-Management.</w:t>
            </w:r>
          </w:p>
          <w:p w14:paraId="72F2EFD9" w14:textId="71DFBD38" w:rsidR="004420F0" w:rsidRPr="008D069B" w:rsidRDefault="004420F0" w:rsidP="00CA76F5">
            <w:pPr>
              <w:spacing w:after="0" w:line="240" w:lineRule="auto"/>
              <w:rPr>
                <w:i/>
                <w:sz w:val="18"/>
                <w:szCs w:val="18"/>
                <w:lang w:val="en-US"/>
              </w:rPr>
            </w:pPr>
          </w:p>
        </w:tc>
      </w:tr>
    </w:tbl>
    <w:p w14:paraId="246FD218" w14:textId="25F25001" w:rsidR="004420F0" w:rsidRPr="008D069B" w:rsidRDefault="00CA76F5">
      <w:pPr>
        <w:spacing w:line="240" w:lineRule="auto"/>
        <w:rPr>
          <w:b/>
          <w:lang w:val="en-US"/>
        </w:rPr>
        <w:sectPr w:rsidR="004420F0" w:rsidRPr="008D069B" w:rsidSect="00F52B3D">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149"/>
          <w:cols w:space="720"/>
          <w:titlePg/>
        </w:sectPr>
      </w:pPr>
      <w:r w:rsidRPr="008D069B">
        <w:rPr>
          <w:noProof/>
          <w:lang w:val="en-US"/>
        </w:rPr>
        <w:br w:type="textWrapping" w:clear="all"/>
      </w:r>
    </w:p>
    <w:p w14:paraId="70DBA0AF" w14:textId="75E5889A" w:rsidR="004420F0" w:rsidRPr="008D069B" w:rsidRDefault="004420F0">
      <w:pPr>
        <w:spacing w:after="0" w:line="240" w:lineRule="auto"/>
        <w:rPr>
          <w:b/>
          <w:lang w:val="en-US"/>
        </w:rPr>
        <w:sectPr w:rsidR="004420F0" w:rsidRPr="008D069B" w:rsidSect="004331F9">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39764232" w14:textId="460C1F36" w:rsidR="00AC10D1" w:rsidRDefault="00E211AA" w:rsidP="00415755">
      <w:pPr>
        <w:spacing w:line="240" w:lineRule="auto"/>
        <w:jc w:val="both"/>
        <w:rPr>
          <w:b/>
          <w:lang w:val="en-US"/>
        </w:rPr>
      </w:pPr>
      <w:r w:rsidRPr="008D069B">
        <w:rPr>
          <w:lang w:val="en-US"/>
        </w:rPr>
        <w:br w:type="page"/>
      </w:r>
      <w:r w:rsidRPr="008D069B">
        <w:rPr>
          <w:b/>
          <w:lang w:val="en-US"/>
        </w:rPr>
        <w:lastRenderedPageBreak/>
        <w:t>1. INTRODUCTION</w:t>
      </w:r>
    </w:p>
    <w:p w14:paraId="50CD74FA" w14:textId="42773641" w:rsidR="00772326" w:rsidRDefault="00772326" w:rsidP="00596BB2">
      <w:pPr>
        <w:spacing w:after="0" w:line="240" w:lineRule="auto"/>
        <w:ind w:firstLine="284"/>
        <w:jc w:val="both"/>
        <w:rPr>
          <w:rFonts w:asciiTheme="minorHAnsi" w:hAnsiTheme="minorHAnsi" w:cstheme="minorHAnsi"/>
          <w:lang w:val="en-US"/>
        </w:rPr>
      </w:pPr>
      <w:r w:rsidRPr="00772326">
        <w:rPr>
          <w:rFonts w:asciiTheme="minorHAnsi" w:hAnsiTheme="minorHAnsi" w:cstheme="minorHAnsi"/>
          <w:lang w:val="en-US"/>
        </w:rPr>
        <w:t>Life as a student is not uncommon for those who have other activities outside of college, such as actively joining organi</w:t>
      </w:r>
      <w:r w:rsidR="00A1432A">
        <w:rPr>
          <w:rFonts w:asciiTheme="minorHAnsi" w:hAnsiTheme="minorHAnsi" w:cstheme="minorHAnsi"/>
          <w:lang w:val="en-US"/>
        </w:rPr>
        <w:t>z</w:t>
      </w:r>
      <w:r w:rsidRPr="00772326">
        <w:rPr>
          <w:rFonts w:asciiTheme="minorHAnsi" w:hAnsiTheme="minorHAnsi" w:cstheme="minorHAnsi"/>
          <w:lang w:val="en-US"/>
        </w:rPr>
        <w:t xml:space="preserve">ations or working part-time. Those who balance college life with work do so for various reasons. The reasons are varied, from economic to psychological, and are related to the level of development, such as the desire to </w:t>
      </w:r>
      <w:proofErr w:type="spellStart"/>
      <w:r w:rsidRPr="00772326">
        <w:rPr>
          <w:rFonts w:asciiTheme="minorHAnsi" w:hAnsiTheme="minorHAnsi" w:cstheme="minorHAnsi"/>
          <w:lang w:val="en-US"/>
        </w:rPr>
        <w:t>realise</w:t>
      </w:r>
      <w:proofErr w:type="spellEnd"/>
      <w:r w:rsidRPr="00772326">
        <w:rPr>
          <w:rFonts w:asciiTheme="minorHAnsi" w:hAnsiTheme="minorHAnsi" w:cstheme="minorHAnsi"/>
          <w:lang w:val="en-US"/>
        </w:rPr>
        <w:t xml:space="preserve"> oneself, determine one's life independently, and want to be independent</w:t>
      </w:r>
      <w:r w:rsidRPr="000030FC">
        <w:rPr>
          <w:rFonts w:asciiTheme="minorHAnsi" w:hAnsiTheme="minorHAnsi" w:cstheme="minorHAnsi"/>
          <w:lang w:val="en-US"/>
        </w:rPr>
        <w:t xml:space="preserve">. </w:t>
      </w:r>
      <w:r w:rsidRPr="00772326">
        <w:rPr>
          <w:rFonts w:asciiTheme="minorHAnsi" w:hAnsiTheme="minorHAnsi" w:cstheme="minorHAnsi"/>
          <w:lang w:val="en-US"/>
        </w:rPr>
        <w:t xml:space="preserve">There are also financial problems, such as the desire to help family finances, pay for independent college, and gain experience. However, students who work often experience fatigue and lack of sleep, which causes lecture activities not to run well and reduces the quality of work on assignments. Cohen considers student work part-time </w:t>
      </w:r>
      <w:r w:rsidRPr="00FD2F56">
        <w:rPr>
          <w:rStyle w:val="FootnoteReference"/>
          <w:rFonts w:asciiTheme="minorHAnsi" w:hAnsiTheme="minorHAnsi" w:cstheme="minorHAnsi"/>
          <w:color w:val="00B0F0"/>
        </w:rPr>
        <w:fldChar w:fldCharType="begin" w:fldLock="1"/>
      </w:r>
      <w:r>
        <w:rPr>
          <w:rFonts w:asciiTheme="minorHAnsi" w:hAnsiTheme="minorHAnsi" w:cstheme="minorHAnsi"/>
          <w:color w:val="00B0F0"/>
          <w:lang w:val="id-ID"/>
        </w:rPr>
        <w:instrText>ADDIN CSL_CITATION {"citationItems":[{"id":"ITEM-1","itemData":{"DOI":"https://doi.org/10.21009/PIP.352.7","author":[{"dropping-particle":"","family":"Sumanggala","given":"Kadek Jaya","non-dropping-particle":"","parse-names":false,"suffix":""},{"dropping-particle":"","family":"Dhamayanti","given":"Wina","non-dropping-particle":"","parse-names":false,"suffix":""},{"dropping-particle":"","family":"Sastrosupadi","given":"Adji","non-dropping-particle":"","parse-names":false,"suffix":""}],"container-title":"Perspektif Ilmu Pendidikan","id":"ITEM-1","issue":"2","issued":{"date-parts":[["2021"]]},"page":"149-159","title":"Pengaruh Self-Management terhadap Prestasi Belajar Mahasiswa STAB Kertarajasa, Batu","type":"article-journal","volume":"35"},"locator":"150","uris":["http://www.mendeley.com/documents/?uuid=4b025327-5e60-4fcc-9ed5-bf67f2562ae0"]}],"mendeley":{"formattedCitation":"(Sumanggala et al., 2021, p. 150)","plainTextFormattedCitation":"(Sumanggala et al., 2021, p. 150)","previouslyFormattedCitation":"(Sumanggala, Dhamayanti, &amp; Sastrosupadi, 2021, p. 150)"},"properties":{"noteIndex":0},"schema":"https://github.com/citation-style-language/schema/raw/master/csl-citation.json"}</w:instrText>
      </w:r>
      <w:r w:rsidRPr="00FD2F56">
        <w:rPr>
          <w:rStyle w:val="FootnoteReference"/>
          <w:rFonts w:asciiTheme="minorHAnsi" w:hAnsiTheme="minorHAnsi" w:cstheme="minorHAnsi"/>
          <w:color w:val="00B0F0"/>
        </w:rPr>
        <w:fldChar w:fldCharType="separate"/>
      </w:r>
      <w:r w:rsidRPr="00772326">
        <w:rPr>
          <w:rFonts w:asciiTheme="minorHAnsi" w:hAnsiTheme="minorHAnsi" w:cstheme="minorHAnsi"/>
          <w:bCs/>
          <w:noProof/>
          <w:color w:val="00B0F0"/>
          <w:lang w:val="id-ID"/>
        </w:rPr>
        <w:t>(Sumanggala et al., 2021, p. 150)</w:t>
      </w:r>
      <w:r w:rsidRPr="00FD2F56">
        <w:rPr>
          <w:rStyle w:val="FootnoteReference"/>
          <w:rFonts w:asciiTheme="minorHAnsi" w:hAnsiTheme="minorHAnsi" w:cstheme="minorHAnsi"/>
          <w:color w:val="00B0F0"/>
        </w:rPr>
        <w:fldChar w:fldCharType="end"/>
      </w:r>
      <w:r w:rsidRPr="000030FC">
        <w:rPr>
          <w:rFonts w:asciiTheme="minorHAnsi" w:hAnsiTheme="minorHAnsi" w:cstheme="minorHAnsi"/>
          <w:lang w:val="id-ID"/>
        </w:rPr>
        <w:t>.</w:t>
      </w:r>
      <w:r w:rsidRPr="00772326">
        <w:rPr>
          <w:rFonts w:asciiTheme="minorHAnsi" w:hAnsiTheme="minorHAnsi" w:cstheme="minorHAnsi"/>
          <w:lang w:val="en-US"/>
        </w:rPr>
        <w:t xml:space="preserve"> </w:t>
      </w:r>
    </w:p>
    <w:p w14:paraId="23892D5A" w14:textId="341E5242" w:rsidR="00772326" w:rsidRDefault="00772326" w:rsidP="00596BB2">
      <w:pPr>
        <w:spacing w:after="0" w:line="240" w:lineRule="auto"/>
        <w:ind w:firstLine="284"/>
        <w:jc w:val="both"/>
        <w:rPr>
          <w:rFonts w:asciiTheme="minorHAnsi" w:hAnsiTheme="minorHAnsi" w:cstheme="minorHAnsi"/>
          <w:lang w:val="en-US"/>
        </w:rPr>
      </w:pPr>
      <w:r w:rsidRPr="00772326">
        <w:rPr>
          <w:rFonts w:asciiTheme="minorHAnsi" w:hAnsiTheme="minorHAnsi" w:cstheme="minorHAnsi"/>
          <w:lang w:val="en-US"/>
        </w:rPr>
        <w:t>Students who participate in organi</w:t>
      </w:r>
      <w:r w:rsidR="00A1432A">
        <w:rPr>
          <w:rFonts w:asciiTheme="minorHAnsi" w:hAnsiTheme="minorHAnsi" w:cstheme="minorHAnsi"/>
          <w:lang w:val="en-US"/>
        </w:rPr>
        <w:t>z</w:t>
      </w:r>
      <w:r w:rsidRPr="00772326">
        <w:rPr>
          <w:rFonts w:asciiTheme="minorHAnsi" w:hAnsiTheme="minorHAnsi" w:cstheme="minorHAnsi"/>
          <w:lang w:val="en-US"/>
        </w:rPr>
        <w:t>ations have many benefits. They will gain knowledge that cannot be obtained in the classroom, develop new thinking and decision-making habits, develop soft skills such as communication skills, increase courage and leadership spirit, and much more. However, it is common for students to be too interested in participating in campus activities and influencing academic activities. The fact is that a situation like this can have an impact on a student's academic achievement index.</w:t>
      </w:r>
    </w:p>
    <w:p w14:paraId="3DDCEA63" w14:textId="05FF0D7D" w:rsidR="001D05B3" w:rsidRPr="001D05B3" w:rsidRDefault="001D05B3" w:rsidP="00596BB2">
      <w:pPr>
        <w:spacing w:after="0" w:line="240" w:lineRule="auto"/>
        <w:ind w:firstLine="284"/>
        <w:jc w:val="both"/>
        <w:rPr>
          <w:rFonts w:asciiTheme="minorHAnsi" w:hAnsiTheme="minorHAnsi" w:cstheme="minorHAnsi"/>
          <w:lang w:val="en-US"/>
        </w:rPr>
      </w:pPr>
      <w:r w:rsidRPr="001D05B3">
        <w:rPr>
          <w:rFonts w:asciiTheme="minorHAnsi" w:hAnsiTheme="minorHAnsi" w:cstheme="minorHAnsi"/>
          <w:lang w:val="en-US"/>
        </w:rPr>
        <w:t xml:space="preserve">Results of an interview with Mr. Ahmad Fatah, </w:t>
      </w:r>
      <w:proofErr w:type="spellStart"/>
      <w:r w:rsidRPr="001D05B3">
        <w:rPr>
          <w:rFonts w:asciiTheme="minorHAnsi" w:hAnsiTheme="minorHAnsi" w:cstheme="minorHAnsi"/>
          <w:lang w:val="en-US"/>
        </w:rPr>
        <w:t>S.Pd.I</w:t>
      </w:r>
      <w:proofErr w:type="spellEnd"/>
      <w:r w:rsidRPr="001D05B3">
        <w:rPr>
          <w:rFonts w:asciiTheme="minorHAnsi" w:hAnsiTheme="minorHAnsi" w:cstheme="minorHAnsi"/>
          <w:lang w:val="en-US"/>
        </w:rPr>
        <w:t xml:space="preserve">., M.S.I., Head of </w:t>
      </w:r>
      <w:proofErr w:type="spellStart"/>
      <w:r w:rsidRPr="001D05B3">
        <w:rPr>
          <w:rFonts w:asciiTheme="minorHAnsi" w:hAnsiTheme="minorHAnsi" w:cstheme="minorHAnsi"/>
          <w:lang w:val="en-US"/>
        </w:rPr>
        <w:t>Tadris</w:t>
      </w:r>
      <w:proofErr w:type="spellEnd"/>
      <w:r w:rsidRPr="001D05B3">
        <w:rPr>
          <w:rFonts w:asciiTheme="minorHAnsi" w:hAnsiTheme="minorHAnsi" w:cstheme="minorHAnsi"/>
          <w:lang w:val="en-US"/>
        </w:rPr>
        <w:t xml:space="preserve"> IPS IAIN Kudus Study </w:t>
      </w:r>
      <w:proofErr w:type="spellStart"/>
      <w:r w:rsidRPr="001D05B3">
        <w:rPr>
          <w:rFonts w:asciiTheme="minorHAnsi" w:hAnsiTheme="minorHAnsi" w:cstheme="minorHAnsi"/>
          <w:lang w:val="en-US"/>
        </w:rPr>
        <w:t>Programme</w:t>
      </w:r>
      <w:proofErr w:type="spellEnd"/>
      <w:r w:rsidRPr="001D05B3">
        <w:rPr>
          <w:rFonts w:asciiTheme="minorHAnsi" w:hAnsiTheme="minorHAnsi" w:cstheme="minorHAnsi"/>
          <w:lang w:val="en-US"/>
        </w:rPr>
        <w:t>, regarding the dual responsibilities borne by students. He says student involvement in campus organi</w:t>
      </w:r>
      <w:r w:rsidR="00A1432A">
        <w:rPr>
          <w:rFonts w:asciiTheme="minorHAnsi" w:hAnsiTheme="minorHAnsi" w:cstheme="minorHAnsi"/>
          <w:lang w:val="en-US"/>
        </w:rPr>
        <w:t>z</w:t>
      </w:r>
      <w:r w:rsidRPr="001D05B3">
        <w:rPr>
          <w:rFonts w:asciiTheme="minorHAnsi" w:hAnsiTheme="minorHAnsi" w:cstheme="minorHAnsi"/>
          <w:lang w:val="en-US"/>
        </w:rPr>
        <w:t>ations is very important and can be an essential part of campus culture. If a student is not involved in an organi</w:t>
      </w:r>
      <w:r w:rsidR="00A1432A">
        <w:rPr>
          <w:rFonts w:asciiTheme="minorHAnsi" w:hAnsiTheme="minorHAnsi" w:cstheme="minorHAnsi"/>
          <w:lang w:val="en-US"/>
        </w:rPr>
        <w:t>z</w:t>
      </w:r>
      <w:r w:rsidRPr="001D05B3">
        <w:rPr>
          <w:rFonts w:asciiTheme="minorHAnsi" w:hAnsiTheme="minorHAnsi" w:cstheme="minorHAnsi"/>
          <w:lang w:val="en-US"/>
        </w:rPr>
        <w:t>ation, his or her development will be hampered. Students who work have clear reasons, such as meeting their needs. Students who cannot manage time for both tasks will experience negative consequences.</w:t>
      </w:r>
    </w:p>
    <w:p w14:paraId="5F18A178" w14:textId="7DEFF05E" w:rsidR="001D05B3" w:rsidRPr="001D05B3" w:rsidRDefault="001D05B3" w:rsidP="00596BB2">
      <w:pPr>
        <w:spacing w:after="0" w:line="240" w:lineRule="auto"/>
        <w:ind w:firstLine="284"/>
        <w:jc w:val="both"/>
        <w:rPr>
          <w:rFonts w:asciiTheme="minorHAnsi" w:hAnsiTheme="minorHAnsi" w:cstheme="minorHAnsi"/>
          <w:lang w:val="en-US"/>
        </w:rPr>
      </w:pPr>
      <w:r w:rsidRPr="001D05B3">
        <w:rPr>
          <w:rFonts w:asciiTheme="minorHAnsi" w:hAnsiTheme="minorHAnsi" w:cstheme="minorHAnsi"/>
          <w:lang w:val="en-US"/>
        </w:rPr>
        <w:t xml:space="preserve">When they are new students, they may have a different mindset. This is because they often need to learn about what it is like to be a student. Students undergo a transition period from high school to college. Therefore, newly admitted students experience a different environment </w:t>
      </w:r>
      <w:r w:rsidRPr="00FD2F56">
        <w:rPr>
          <w:rStyle w:val="FootnoteReference"/>
          <w:rFonts w:asciiTheme="minorHAnsi" w:hAnsiTheme="minorHAnsi" w:cstheme="minorHAnsi"/>
          <w:color w:val="00B0F0"/>
        </w:rPr>
        <w:fldChar w:fldCharType="begin" w:fldLock="1"/>
      </w:r>
      <w:r w:rsidRPr="00FD2F56">
        <w:rPr>
          <w:rFonts w:asciiTheme="minorHAnsi" w:hAnsiTheme="minorHAnsi" w:cstheme="minorHAnsi"/>
          <w:color w:val="00B0F0"/>
        </w:rPr>
        <w:instrText>ADDIN CSL_CITATION {"citationItems":[{"id":"ITEM-1","itemData":{"author":[{"dropping-particle":"","family":"Irfan","given":"M.","non-dropping-particle":"","parse-names":false,"suffix":""},{"dropping-particle":"","family":"Suprapti","given":"Veronika","non-dropping-particle":"","parse-names":false,"suffix":""}],"container-title":"Jurnal Psikologi Pendidikan dan Perkembangan","id":"ITEM-1","issue":"3","issued":{"date-parts":[["2014"]]},"page":"172-178","title":"Hubungan Self-Efficacy dengan Penyesuaian Diri terhadap Perguruan Tinggi pada Mahasiswa Baru Fakultas Psikologi Universitas Airlangga","type":"article-journal","volume":"3"},"locator":"173","uris":["http://www.mendeley.com/documents/?uuid=8bcb09ea-80a4-4d9b-893a-f790c634fc0f"]}],"mendeley":{"formattedCitation":"(Irfan &amp; Suprapti, 2014, p. 173)","plainTextFormattedCitation":"(Irfan &amp; Suprapti, 2014, p. 173)","previouslyFormattedCitation":"(Irfan &amp; Suprapti, 2014, p. 173)"},"properties":{"noteIndex":0},"schema":"https://github.com/citation-style-language/schema/raw/master/csl-citation.json"}</w:instrText>
      </w:r>
      <w:r w:rsidRPr="00FD2F56">
        <w:rPr>
          <w:rStyle w:val="FootnoteReference"/>
          <w:rFonts w:asciiTheme="minorHAnsi" w:hAnsiTheme="minorHAnsi" w:cstheme="minorHAnsi"/>
          <w:color w:val="00B0F0"/>
        </w:rPr>
        <w:fldChar w:fldCharType="separate"/>
      </w:r>
      <w:r w:rsidRPr="00FD2F56">
        <w:rPr>
          <w:rFonts w:asciiTheme="minorHAnsi" w:hAnsiTheme="minorHAnsi" w:cstheme="minorHAnsi"/>
          <w:bCs/>
          <w:noProof/>
          <w:color w:val="00B0F0"/>
          <w:lang w:val="id-ID"/>
        </w:rPr>
        <w:t>(Irfan &amp; Suprapti, 2014, p. 173)</w:t>
      </w:r>
      <w:r w:rsidRPr="00FD2F56">
        <w:rPr>
          <w:rStyle w:val="FootnoteReference"/>
          <w:rFonts w:asciiTheme="minorHAnsi" w:hAnsiTheme="minorHAnsi" w:cstheme="minorHAnsi"/>
          <w:color w:val="00B0F0"/>
        </w:rPr>
        <w:fldChar w:fldCharType="end"/>
      </w:r>
      <w:r w:rsidRPr="000030FC">
        <w:rPr>
          <w:rFonts w:asciiTheme="minorHAnsi" w:hAnsiTheme="minorHAnsi" w:cstheme="minorHAnsi"/>
        </w:rPr>
        <w:t>.</w:t>
      </w:r>
      <w:r w:rsidRPr="001D05B3">
        <w:rPr>
          <w:rFonts w:asciiTheme="minorHAnsi" w:hAnsiTheme="minorHAnsi" w:cstheme="minorHAnsi"/>
          <w:lang w:val="en-US"/>
        </w:rPr>
        <w:t xml:space="preserve"> </w:t>
      </w:r>
    </w:p>
    <w:p w14:paraId="4EF759B3" w14:textId="7AC6F3CE" w:rsidR="001D05B3" w:rsidRPr="001D05B3" w:rsidRDefault="001D05B3" w:rsidP="00596BB2">
      <w:pPr>
        <w:spacing w:after="0" w:line="240" w:lineRule="auto"/>
        <w:ind w:firstLine="284"/>
        <w:jc w:val="both"/>
        <w:rPr>
          <w:rFonts w:asciiTheme="minorHAnsi" w:hAnsiTheme="minorHAnsi" w:cstheme="minorHAnsi"/>
          <w:lang w:val="en-US"/>
        </w:rPr>
      </w:pPr>
      <w:r w:rsidRPr="001D05B3">
        <w:rPr>
          <w:rFonts w:asciiTheme="minorHAnsi" w:hAnsiTheme="minorHAnsi" w:cstheme="minorHAnsi"/>
          <w:lang w:val="en-US"/>
        </w:rPr>
        <w:t xml:space="preserve">The interview results with Mr. Ahmad Fatah show that the difficulties new students face are social and academic adaptations. Students begin to adapt in the third or fourth semester. This was conveyed by Mrs. Noor </w:t>
      </w:r>
      <w:proofErr w:type="spellStart"/>
      <w:r w:rsidRPr="001D05B3">
        <w:rPr>
          <w:rFonts w:asciiTheme="minorHAnsi" w:hAnsiTheme="minorHAnsi" w:cstheme="minorHAnsi"/>
          <w:lang w:val="en-US"/>
        </w:rPr>
        <w:t>Fatmawati</w:t>
      </w:r>
      <w:proofErr w:type="spellEnd"/>
      <w:r w:rsidRPr="001D05B3">
        <w:rPr>
          <w:rFonts w:asciiTheme="minorHAnsi" w:hAnsiTheme="minorHAnsi" w:cstheme="minorHAnsi"/>
          <w:lang w:val="en-US"/>
        </w:rPr>
        <w:t xml:space="preserve">, </w:t>
      </w:r>
      <w:proofErr w:type="spellStart"/>
      <w:r w:rsidRPr="001D05B3">
        <w:rPr>
          <w:rFonts w:asciiTheme="minorHAnsi" w:hAnsiTheme="minorHAnsi" w:cstheme="minorHAnsi"/>
          <w:lang w:val="en-US"/>
        </w:rPr>
        <w:t>M.Pd</w:t>
      </w:r>
      <w:proofErr w:type="spellEnd"/>
      <w:r w:rsidRPr="001D05B3">
        <w:rPr>
          <w:rFonts w:asciiTheme="minorHAnsi" w:hAnsiTheme="minorHAnsi" w:cstheme="minorHAnsi"/>
          <w:lang w:val="en-US"/>
        </w:rPr>
        <w:t xml:space="preserve">., secretary of the IPS IAIN Kudus </w:t>
      </w:r>
      <w:proofErr w:type="spellStart"/>
      <w:r w:rsidRPr="001D05B3">
        <w:rPr>
          <w:rFonts w:asciiTheme="minorHAnsi" w:hAnsiTheme="minorHAnsi" w:cstheme="minorHAnsi"/>
          <w:lang w:val="en-US"/>
        </w:rPr>
        <w:t>Tadris</w:t>
      </w:r>
      <w:proofErr w:type="spellEnd"/>
      <w:r w:rsidRPr="001D05B3">
        <w:rPr>
          <w:rFonts w:asciiTheme="minorHAnsi" w:hAnsiTheme="minorHAnsi" w:cstheme="minorHAnsi"/>
          <w:lang w:val="en-US"/>
        </w:rPr>
        <w:t xml:space="preserve"> Study Program. In other words, new students have a more minor tendency to adapt to the college environment. In other words, new students need time to adjust</w:t>
      </w:r>
      <w:r>
        <w:rPr>
          <w:rFonts w:asciiTheme="minorHAnsi" w:hAnsiTheme="minorHAnsi" w:cstheme="minorHAnsi"/>
          <w:lang w:val="en-US"/>
        </w:rPr>
        <w:t xml:space="preserve"> </w:t>
      </w:r>
      <w:r w:rsidRPr="00FD2F56">
        <w:rPr>
          <w:rStyle w:val="FootnoteReference"/>
          <w:rFonts w:asciiTheme="minorHAnsi" w:hAnsiTheme="minorHAnsi" w:cstheme="minorHAnsi"/>
          <w:color w:val="00B0F0"/>
        </w:rPr>
        <w:fldChar w:fldCharType="begin" w:fldLock="1"/>
      </w:r>
      <w:r w:rsidRPr="00FD2F56">
        <w:rPr>
          <w:rFonts w:asciiTheme="minorHAnsi" w:hAnsiTheme="minorHAnsi" w:cstheme="minorHAnsi"/>
          <w:color w:val="00B0F0"/>
        </w:rPr>
        <w:instrText>ADDIN CSL_CITATION {"citationItems":[{"id":"ITEM-1","itemData":{"DOI":"https://doi.org/10.21009/JPPP.021.05","author":[{"dropping-particle":"","family":"Iflah","given":"","non-dropping-particle":"","parse-names":false,"suffix":""},{"dropping-particle":"","family":"Listyasari","given":"Winda Dwi","non-dropping-particle":"","parse-names":false,"suffix":""}],"container-title":"Jurnal Penelitian dan Pengukuran Psikologi","id":"ITEM-1","issue":"1","issued":{"date-parts":[["2013"]]},"page":"33-36","title":"Gambaran Penyesuaian Diri Mahasiswa Baru","type":"article-journal","volume":"2"},"locator":"33","uris":["http://www.mendeley.com/documents/?uuid=5458312c-2b82-4ccd-b452-bd69639b070c"]}],"mendeley":{"formattedCitation":"(Iflah &amp; Listyasari, 2013, p. 33)","plainTextFormattedCitation":"(Iflah &amp; Listyasari, 2013, p. 33)","previouslyFormattedCitation":"(Iflah &amp; Listyasari, 2013, p. 33)"},"properties":{"noteIndex":0},"schema":"https://github.com/citation-style-language/schema/raw/master/csl-citation.json"}</w:instrText>
      </w:r>
      <w:r w:rsidRPr="00FD2F56">
        <w:rPr>
          <w:rStyle w:val="FootnoteReference"/>
          <w:rFonts w:asciiTheme="minorHAnsi" w:hAnsiTheme="minorHAnsi" w:cstheme="minorHAnsi"/>
          <w:color w:val="00B0F0"/>
        </w:rPr>
        <w:fldChar w:fldCharType="separate"/>
      </w:r>
      <w:r w:rsidRPr="00FD2F56">
        <w:rPr>
          <w:rFonts w:asciiTheme="minorHAnsi" w:hAnsiTheme="minorHAnsi" w:cstheme="minorHAnsi"/>
          <w:bCs/>
          <w:noProof/>
          <w:color w:val="00B0F0"/>
          <w:lang w:val="id-ID"/>
        </w:rPr>
        <w:t>(Iflah &amp; Listyasari, 2013, p. 33)</w:t>
      </w:r>
      <w:r w:rsidRPr="00FD2F56">
        <w:rPr>
          <w:rStyle w:val="FootnoteReference"/>
          <w:rFonts w:asciiTheme="minorHAnsi" w:hAnsiTheme="minorHAnsi" w:cstheme="minorHAnsi"/>
          <w:color w:val="00B0F0"/>
        </w:rPr>
        <w:fldChar w:fldCharType="end"/>
      </w:r>
      <w:r w:rsidRPr="000030FC">
        <w:rPr>
          <w:rFonts w:asciiTheme="minorHAnsi" w:hAnsiTheme="minorHAnsi" w:cstheme="minorHAnsi"/>
        </w:rPr>
        <w:t>.</w:t>
      </w:r>
    </w:p>
    <w:p w14:paraId="27658C00" w14:textId="3DAA9B74" w:rsidR="001D05B3" w:rsidRDefault="001D05B3" w:rsidP="00596BB2">
      <w:pPr>
        <w:spacing w:after="0" w:line="240" w:lineRule="auto"/>
        <w:ind w:firstLine="284"/>
        <w:jc w:val="both"/>
        <w:rPr>
          <w:rFonts w:asciiTheme="minorHAnsi" w:hAnsiTheme="minorHAnsi" w:cstheme="minorHAnsi"/>
          <w:lang w:val="en-US"/>
        </w:rPr>
      </w:pPr>
      <w:r w:rsidRPr="001D05B3">
        <w:rPr>
          <w:rFonts w:asciiTheme="minorHAnsi" w:hAnsiTheme="minorHAnsi" w:cstheme="minorHAnsi"/>
          <w:lang w:val="en-US"/>
        </w:rPr>
        <w:t>Referred to as "culture shock," the freshman transition involves significant social and psychological relearning. These include difficulties with new concepts, friends and teachers with different beliefs and values, new freedoms and opportunities, and different academic, personal, and social demands</w:t>
      </w:r>
      <w:r w:rsidRPr="007A4F95">
        <w:rPr>
          <w:rFonts w:asciiTheme="minorHAnsi" w:eastAsia="Times New Roman" w:hAnsiTheme="minorHAnsi" w:cstheme="minorHAnsi"/>
          <w:lang w:val="id-ID" w:eastAsia="id-ID"/>
        </w:rPr>
        <w:t xml:space="preserve">. </w:t>
      </w:r>
      <w:r w:rsidRPr="001D05B3">
        <w:rPr>
          <w:rFonts w:asciiTheme="minorHAnsi" w:hAnsiTheme="minorHAnsi" w:cstheme="minorHAnsi"/>
          <w:lang w:val="en-US"/>
        </w:rPr>
        <w:t xml:space="preserve">Another issue in students' lives arises when lecturers assign assignments they often complete near the deadline. Several </w:t>
      </w:r>
      <w:proofErr w:type="spellStart"/>
      <w:r w:rsidRPr="001D05B3">
        <w:rPr>
          <w:rFonts w:asciiTheme="minorHAnsi" w:hAnsiTheme="minorHAnsi" w:cstheme="minorHAnsi"/>
          <w:lang w:val="en-US"/>
        </w:rPr>
        <w:t>Tadris</w:t>
      </w:r>
      <w:proofErr w:type="spellEnd"/>
      <w:r w:rsidRPr="001D05B3">
        <w:rPr>
          <w:rFonts w:asciiTheme="minorHAnsi" w:hAnsiTheme="minorHAnsi" w:cstheme="minorHAnsi"/>
          <w:lang w:val="en-US"/>
        </w:rPr>
        <w:t xml:space="preserve"> IPS IAIN Kudus students experienced this problem. Their inability to manage time effectively is evident in their procrastination </w:t>
      </w:r>
      <w:proofErr w:type="spellStart"/>
      <w:r w:rsidRPr="001D05B3">
        <w:rPr>
          <w:rFonts w:asciiTheme="minorHAnsi" w:hAnsiTheme="minorHAnsi" w:cstheme="minorHAnsi"/>
          <w:lang w:val="en-US"/>
        </w:rPr>
        <w:t>behaviour</w:t>
      </w:r>
      <w:proofErr w:type="spellEnd"/>
      <w:r w:rsidRPr="001D05B3">
        <w:rPr>
          <w:rFonts w:asciiTheme="minorHAnsi" w:hAnsiTheme="minorHAnsi" w:cstheme="minorHAnsi"/>
          <w:lang w:val="en-US"/>
        </w:rPr>
        <w:t>. This will impact the quality of the assignment content</w:t>
      </w:r>
      <w:r>
        <w:rPr>
          <w:rFonts w:asciiTheme="minorHAnsi" w:hAnsiTheme="minorHAnsi" w:cstheme="minorHAnsi"/>
          <w:lang w:val="en-US"/>
        </w:rPr>
        <w:t xml:space="preserve"> </w:t>
      </w:r>
      <w:r w:rsidRPr="00FD2F56">
        <w:rPr>
          <w:rStyle w:val="FootnoteReference"/>
          <w:rFonts w:asciiTheme="minorHAnsi" w:hAnsiTheme="minorHAnsi" w:cstheme="minorHAnsi"/>
          <w:color w:val="00B0F0"/>
        </w:rPr>
        <w:fldChar w:fldCharType="begin" w:fldLock="1"/>
      </w:r>
      <w:r w:rsidRPr="00FD2F56">
        <w:rPr>
          <w:rFonts w:asciiTheme="minorHAnsi" w:hAnsiTheme="minorHAnsi" w:cstheme="minorHAnsi"/>
          <w:color w:val="00B0F0"/>
        </w:rPr>
        <w:instrText>ADDIN CSL_CITATION {"citationItems":[{"id":"ITEM-1","itemData":{"author":[{"dropping-particle":"","family":"Putri","given":"Dhea Dinda","non-dropping-particle":"","parse-names":false,"suffix":""},{"dropping-particle":"","family":"Sudaryat","given":"Yayat","non-dropping-particle":"","parse-names":false,"suffix":""}],"container-title":"eProceedings of Art &amp; Design","id":"ITEM-1","issue":"2","issued":{"date-parts":[["2020"]]},"page":"2428-2437","title":"Perancangan Storyboard untuk Film Animasi Pendek 2D Tentang Prokrastinasi di Kalangan Mahasiswa Berjudul \"Escape\"","type":"article-journal","volume":"7"},"locator":"2433","uris":["http://www.mendeley.com/documents/?uuid=ffa10d67-277d-4a45-9701-7e7be9f4797a"]}],"mendeley":{"formattedCitation":"(Putri &amp; Sudaryat, 2020, p. 2433)","plainTextFormattedCitation":"(Putri &amp; Sudaryat, 2020, p. 2433)","previouslyFormattedCitation":"(Putri &amp; Sudaryat, 2020, p. 2433)"},"properties":{"noteIndex":0},"schema":"https://github.com/citation-style-language/schema/raw/master/csl-citation.json"}</w:instrText>
      </w:r>
      <w:r w:rsidRPr="00FD2F56">
        <w:rPr>
          <w:rStyle w:val="FootnoteReference"/>
          <w:rFonts w:asciiTheme="minorHAnsi" w:hAnsiTheme="minorHAnsi" w:cstheme="minorHAnsi"/>
          <w:color w:val="00B0F0"/>
        </w:rPr>
        <w:fldChar w:fldCharType="separate"/>
      </w:r>
      <w:r w:rsidRPr="00FD2F56">
        <w:rPr>
          <w:rFonts w:asciiTheme="minorHAnsi" w:hAnsiTheme="minorHAnsi" w:cstheme="minorHAnsi"/>
          <w:bCs/>
          <w:noProof/>
          <w:color w:val="00B0F0"/>
          <w:lang w:val="id-ID"/>
        </w:rPr>
        <w:t>(Putri &amp; Sudaryat, 2020, p. 2433)</w:t>
      </w:r>
      <w:r w:rsidRPr="00FD2F56">
        <w:rPr>
          <w:rStyle w:val="FootnoteReference"/>
          <w:rFonts w:asciiTheme="minorHAnsi" w:hAnsiTheme="minorHAnsi" w:cstheme="minorHAnsi"/>
          <w:color w:val="00B0F0"/>
        </w:rPr>
        <w:fldChar w:fldCharType="end"/>
      </w:r>
      <w:r w:rsidRPr="000030FC">
        <w:rPr>
          <w:rFonts w:asciiTheme="minorHAnsi" w:hAnsiTheme="minorHAnsi" w:cstheme="minorHAnsi"/>
          <w:lang w:val="en-US"/>
        </w:rPr>
        <w:t>.</w:t>
      </w:r>
      <w:r w:rsidRPr="001D05B3">
        <w:rPr>
          <w:rFonts w:asciiTheme="minorHAnsi" w:hAnsiTheme="minorHAnsi" w:cstheme="minorHAnsi"/>
          <w:lang w:val="en-US"/>
        </w:rPr>
        <w:t xml:space="preserve"> Therefore, we can conclude that students' self-management skills during assignment completion </w:t>
      </w:r>
      <w:proofErr w:type="gramStart"/>
      <w:r w:rsidRPr="001D05B3">
        <w:rPr>
          <w:rFonts w:asciiTheme="minorHAnsi" w:hAnsiTheme="minorHAnsi" w:cstheme="minorHAnsi"/>
          <w:lang w:val="en-US"/>
        </w:rPr>
        <w:t>lead</w:t>
      </w:r>
      <w:proofErr w:type="gramEnd"/>
      <w:r w:rsidRPr="001D05B3">
        <w:rPr>
          <w:rFonts w:asciiTheme="minorHAnsi" w:hAnsiTheme="minorHAnsi" w:cstheme="minorHAnsi"/>
          <w:lang w:val="en-US"/>
        </w:rPr>
        <w:t xml:space="preserve"> to adverse outcomes.</w:t>
      </w:r>
    </w:p>
    <w:p w14:paraId="06F08901" w14:textId="216A78B0" w:rsidR="006E3AA5" w:rsidRPr="006E3AA5" w:rsidRDefault="006E3AA5" w:rsidP="00596BB2">
      <w:pPr>
        <w:spacing w:after="0" w:line="240" w:lineRule="auto"/>
        <w:ind w:firstLine="284"/>
        <w:jc w:val="both"/>
        <w:rPr>
          <w:rFonts w:asciiTheme="minorHAnsi" w:hAnsiTheme="minorHAnsi" w:cstheme="minorHAnsi"/>
          <w:lang w:val="en-US"/>
        </w:rPr>
      </w:pPr>
      <w:r w:rsidRPr="006E3AA5">
        <w:rPr>
          <w:rFonts w:asciiTheme="minorHAnsi" w:hAnsiTheme="minorHAnsi" w:cstheme="minorHAnsi"/>
          <w:lang w:val="en-US"/>
        </w:rPr>
        <w:t>Academic stress can arise from students who cannot control themselves. In the second and third years, students will be given assignments such as carrying out practicums, designing interventions, and writing papers. This is thought to cause academic stress. Academic stress is caused by various factors, including self-management</w:t>
      </w:r>
      <w:r>
        <w:rPr>
          <w:rFonts w:asciiTheme="minorHAnsi" w:hAnsiTheme="minorHAnsi" w:cstheme="minorHAnsi"/>
          <w:lang w:val="en-US"/>
        </w:rPr>
        <w:t xml:space="preserve"> </w:t>
      </w:r>
      <w:r w:rsidRPr="00AF706B">
        <w:rPr>
          <w:rStyle w:val="FootnoteReference"/>
          <w:rFonts w:asciiTheme="minorHAnsi" w:hAnsiTheme="minorHAnsi" w:cstheme="minorHAnsi"/>
          <w:color w:val="00B0F0"/>
        </w:rPr>
        <w:fldChar w:fldCharType="begin" w:fldLock="1"/>
      </w:r>
      <w:r w:rsidRPr="00AF706B">
        <w:rPr>
          <w:rFonts w:asciiTheme="minorHAnsi" w:hAnsiTheme="minorHAnsi" w:cstheme="minorHAnsi"/>
          <w:color w:val="00B0F0"/>
        </w:rPr>
        <w:instrText>ADDIN CSL_CITATION {"citationItems":[{"id":"ITEM-1","itemData":{"DOI":"https://doi.org/10.33508/exp.v9i2.3350","author":[{"dropping-particle":"","family":"Febriana","given":"Ivana","non-dropping-particle":"","parse-names":false,"suffix":""},{"dropping-particle":"","family":"Simanjuntak","given":"Ermida","non-dropping-particle":"","parse-names":false,"suffix":""}],"container-title":"Jurnal Experientia","id":"ITEM-1","issue":"2","issued":{"date-parts":[["2021"]]},"page":"144-153","title":"Self Regulated Learning dan Stres Akademik pada Mahasiswa","type":"article-journal","volume":"9"},"locator":"145","uris":["http://www.mendeley.com/documents/?uuid=312701fe-1d64-4c71-aae3-d394837b357b"]}],"mendeley":{"formattedCitation":"(Febriana &amp; Simanjuntak, 2021, p. 145)","plainTextFormattedCitation":"(Febriana &amp; Simanjuntak, 2021, p. 145)","previouslyFormattedCitation":"(Febriana &amp; Simanjuntak, 2021, p. 145)"},"properties":{"noteIndex":0},"schema":"https://github.com/citation-style-language/schema/raw/master/csl-citation.json"}</w:instrText>
      </w:r>
      <w:r w:rsidRPr="00AF706B">
        <w:rPr>
          <w:rStyle w:val="FootnoteReference"/>
          <w:rFonts w:asciiTheme="minorHAnsi" w:hAnsiTheme="minorHAnsi" w:cstheme="minorHAnsi"/>
          <w:color w:val="00B0F0"/>
        </w:rPr>
        <w:fldChar w:fldCharType="separate"/>
      </w:r>
      <w:r w:rsidRPr="00AF706B">
        <w:rPr>
          <w:rFonts w:asciiTheme="minorHAnsi" w:hAnsiTheme="minorHAnsi" w:cstheme="minorHAnsi"/>
          <w:bCs/>
          <w:noProof/>
          <w:color w:val="00B0F0"/>
          <w:lang w:val="id-ID"/>
        </w:rPr>
        <w:t>(Febriana &amp; Simanjuntak, 2021, p. 145)</w:t>
      </w:r>
      <w:r w:rsidRPr="00AF706B">
        <w:rPr>
          <w:rStyle w:val="FootnoteReference"/>
          <w:rFonts w:asciiTheme="minorHAnsi" w:hAnsiTheme="minorHAnsi" w:cstheme="minorHAnsi"/>
          <w:color w:val="00B0F0"/>
        </w:rPr>
        <w:fldChar w:fldCharType="end"/>
      </w:r>
      <w:r w:rsidRPr="000030FC">
        <w:rPr>
          <w:rFonts w:asciiTheme="minorHAnsi" w:hAnsiTheme="minorHAnsi" w:cstheme="minorHAnsi"/>
          <w:lang w:val="en-US"/>
        </w:rPr>
        <w:t xml:space="preserve">. </w:t>
      </w:r>
      <w:r w:rsidRPr="006E3AA5">
        <w:rPr>
          <w:rFonts w:asciiTheme="minorHAnsi" w:hAnsiTheme="minorHAnsi" w:cstheme="minorHAnsi"/>
          <w:lang w:val="en-US"/>
        </w:rPr>
        <w:t xml:space="preserve">Third-year students need help in the world of lectures because courses are starting to progress towards study </w:t>
      </w:r>
      <w:proofErr w:type="spellStart"/>
      <w:r w:rsidRPr="006E3AA5">
        <w:rPr>
          <w:rFonts w:asciiTheme="minorHAnsi" w:hAnsiTheme="minorHAnsi" w:cstheme="minorHAnsi"/>
          <w:lang w:val="en-US"/>
        </w:rPr>
        <w:t>programmes</w:t>
      </w:r>
      <w:proofErr w:type="spellEnd"/>
      <w:r w:rsidRPr="006E3AA5">
        <w:rPr>
          <w:rFonts w:asciiTheme="minorHAnsi" w:hAnsiTheme="minorHAnsi" w:cstheme="minorHAnsi"/>
          <w:lang w:val="en-US"/>
        </w:rPr>
        <w:t xml:space="preserve"> and are considered increasingly tricky. Intermediate-level students usually need help managing time between lectures and activities outside of </w:t>
      </w:r>
      <w:r w:rsidRPr="006E3AA5">
        <w:rPr>
          <w:rFonts w:asciiTheme="minorHAnsi" w:hAnsiTheme="minorHAnsi" w:cstheme="minorHAnsi"/>
          <w:lang w:val="en-US"/>
        </w:rPr>
        <w:lastRenderedPageBreak/>
        <w:t xml:space="preserve">college </w:t>
      </w:r>
      <w:r w:rsidRPr="001D05B3">
        <w:rPr>
          <w:rStyle w:val="FootnoteReference"/>
          <w:rFonts w:asciiTheme="minorHAnsi" w:hAnsiTheme="minorHAnsi" w:cstheme="minorHAnsi"/>
          <w:color w:val="00B0F0"/>
        </w:rPr>
        <w:fldChar w:fldCharType="begin" w:fldLock="1"/>
      </w:r>
      <w:r w:rsidRPr="001D05B3">
        <w:rPr>
          <w:rFonts w:asciiTheme="minorHAnsi" w:hAnsiTheme="minorHAnsi" w:cstheme="minorHAnsi"/>
          <w:color w:val="00B0F0"/>
        </w:rPr>
        <w:instrText>ADDIN CSL_CITATION {"citationItems":[{"id":"ITEM-1","itemData":{"author":[{"dropping-particle":"","family":"Salim","given":"Frensen","non-dropping-particle":"","parse-names":false,"suffix":""},{"dropping-particle":"","family":"Fakhturrozi","given":"Muhammad","non-dropping-particle":"","parse-names":false,"suffix":""}],"container-title":"Jurnal Psikologi","id":"ITEM-1","issue":"2","issued":{"date-parts":[["2020"]]},"page":"175-187","title":"Efikasi Diri Akademik dan Resiliensi pada Mahasiswa","type":"article-journal","volume":"16"},"locator":"176","uris":["http://www.mendeley.com/documents/?uuid=79ffe463-d7ef-4c6b-a310-a13b981d7eba"]}],"mendeley":{"formattedCitation":"(Salim &amp; Fakhturrozi, 2020, p. 176)","plainTextFormattedCitation":"(Salim &amp; Fakhturrozi, 2020, p. 176)","previouslyFormattedCitation":"(Salim &amp; Fakhturrozi, 2020, p. 176)"},"properties":{"noteIndex":0},"schema":"https://github.com/citation-style-language/schema/raw/master/csl-citation.json"}</w:instrText>
      </w:r>
      <w:r w:rsidRPr="001D05B3">
        <w:rPr>
          <w:rStyle w:val="FootnoteReference"/>
          <w:rFonts w:asciiTheme="minorHAnsi" w:hAnsiTheme="minorHAnsi" w:cstheme="minorHAnsi"/>
          <w:color w:val="00B0F0"/>
        </w:rPr>
        <w:fldChar w:fldCharType="separate"/>
      </w:r>
      <w:r w:rsidRPr="001D05B3">
        <w:rPr>
          <w:rFonts w:asciiTheme="minorHAnsi" w:hAnsiTheme="minorHAnsi" w:cstheme="minorHAnsi"/>
          <w:bCs/>
          <w:noProof/>
          <w:color w:val="00B0F0"/>
          <w:lang w:val="id-ID"/>
        </w:rPr>
        <w:t>(Salim &amp; Fakhturrozi, 2020, p. 176)</w:t>
      </w:r>
      <w:r w:rsidRPr="001D05B3">
        <w:rPr>
          <w:rStyle w:val="FootnoteReference"/>
          <w:rFonts w:asciiTheme="minorHAnsi" w:hAnsiTheme="minorHAnsi" w:cstheme="minorHAnsi"/>
          <w:color w:val="00B0F0"/>
        </w:rPr>
        <w:fldChar w:fldCharType="end"/>
      </w:r>
      <w:r w:rsidRPr="000030FC">
        <w:rPr>
          <w:rFonts w:asciiTheme="minorHAnsi" w:hAnsiTheme="minorHAnsi" w:cstheme="minorHAnsi"/>
          <w:lang w:val="en-US"/>
        </w:rPr>
        <w:t xml:space="preserve">. </w:t>
      </w:r>
      <w:r w:rsidRPr="006E3AA5">
        <w:rPr>
          <w:rFonts w:asciiTheme="minorHAnsi" w:hAnsiTheme="minorHAnsi" w:cstheme="minorHAnsi"/>
          <w:lang w:val="en-US"/>
        </w:rPr>
        <w:t xml:space="preserve">When someone becomes a student, they face a number of problems, including too many assignments, poor time management, and many demands that must be met </w:t>
      </w:r>
      <w:r w:rsidRPr="00AF706B">
        <w:rPr>
          <w:rStyle w:val="FootnoteReference"/>
          <w:rFonts w:asciiTheme="minorHAnsi" w:hAnsiTheme="minorHAnsi" w:cstheme="minorHAnsi"/>
          <w:color w:val="00B0F0"/>
        </w:rPr>
        <w:fldChar w:fldCharType="begin" w:fldLock="1"/>
      </w:r>
      <w:r>
        <w:rPr>
          <w:rFonts w:asciiTheme="minorHAnsi" w:hAnsiTheme="minorHAnsi" w:cstheme="minorHAnsi"/>
          <w:color w:val="00B0F0"/>
        </w:rPr>
        <w:instrText>ADDIN CSL_CITATION {"citationItems":[{"id":"ITEM-1","itemData":{"DOI":"https://doi.org/10.26740/bikotetik.v1n2.p43-52","author":[{"dropping-particle":"","family":"Sagita","given":"Dony Darma","non-dropping-particle":"","parse-names":false,"suffix":""},{"dropping-particle":"","family":"Daharnis","given":"","non-dropping-particle":"","parse-names":false,"suffix":""},{"dropping-particle":"","family":"Syahniar","given":"","non-dropping-particle":"","parse-names":false,"suffix":""}],"container-title":"Bikotetik","id":"ITEM-1","issue":"2","issued":{"date-parts":[["2017"]]},"page":"43-52","title":"Hubungan Self Efficacy, Motivasi Berprestasi, Prokrastinasi Akademik dan Stres Akademik Mahasiswa","type":"article-journal","volume":"1"},"locator":"44","uris":["http://www.mendeley.com/documents/?uuid=5ab00118-d0a8-4c13-9485-362aed3432ed"]}],"mendeley":{"formattedCitation":"(Sagita et al., 2017, p. 44)","plainTextFormattedCitation":"(Sagita et al., 2017, p. 44)","previouslyFormattedCitation":"(Sagita, Daharnis, &amp; Syahniar, 2017, p. 44)"},"properties":{"noteIndex":0},"schema":"https://github.com/citation-style-language/schema/raw/master/csl-citation.json"}</w:instrText>
      </w:r>
      <w:r w:rsidRPr="00AF706B">
        <w:rPr>
          <w:rStyle w:val="FootnoteReference"/>
          <w:rFonts w:asciiTheme="minorHAnsi" w:hAnsiTheme="minorHAnsi" w:cstheme="minorHAnsi"/>
          <w:color w:val="00B0F0"/>
        </w:rPr>
        <w:fldChar w:fldCharType="separate"/>
      </w:r>
      <w:r w:rsidRPr="00772326">
        <w:rPr>
          <w:rFonts w:asciiTheme="minorHAnsi" w:hAnsiTheme="minorHAnsi" w:cstheme="minorHAnsi"/>
          <w:bCs/>
          <w:noProof/>
          <w:color w:val="00B0F0"/>
          <w:lang w:val="id-ID"/>
        </w:rPr>
        <w:t>(Sagita et al., 2017, p. 44)</w:t>
      </w:r>
      <w:r w:rsidRPr="00AF706B">
        <w:rPr>
          <w:rStyle w:val="FootnoteReference"/>
          <w:rFonts w:asciiTheme="minorHAnsi" w:hAnsiTheme="minorHAnsi" w:cstheme="minorHAnsi"/>
          <w:color w:val="00B0F0"/>
        </w:rPr>
        <w:fldChar w:fldCharType="end"/>
      </w:r>
      <w:r w:rsidRPr="000030FC">
        <w:rPr>
          <w:rFonts w:asciiTheme="minorHAnsi" w:hAnsiTheme="minorHAnsi" w:cstheme="minorHAnsi"/>
          <w:lang w:val="en-US"/>
        </w:rPr>
        <w:t xml:space="preserve">. </w:t>
      </w:r>
      <w:r w:rsidRPr="006E3AA5">
        <w:rPr>
          <w:rFonts w:asciiTheme="minorHAnsi" w:hAnsiTheme="minorHAnsi" w:cstheme="minorHAnsi"/>
          <w:lang w:val="en-US"/>
        </w:rPr>
        <w:t>Students can experience stress if these demands are not appropriately met</w:t>
      </w:r>
      <w:r>
        <w:rPr>
          <w:rFonts w:asciiTheme="minorHAnsi" w:hAnsiTheme="minorHAnsi" w:cstheme="minorHAnsi"/>
          <w:lang w:val="en-US"/>
        </w:rPr>
        <w:t xml:space="preserve"> </w:t>
      </w:r>
      <w:r w:rsidRPr="00AF706B">
        <w:rPr>
          <w:rStyle w:val="FootnoteReference"/>
          <w:rFonts w:asciiTheme="minorHAnsi" w:hAnsiTheme="minorHAnsi" w:cstheme="minorHAnsi"/>
          <w:color w:val="00B0F0"/>
        </w:rPr>
        <w:fldChar w:fldCharType="begin" w:fldLock="1"/>
      </w:r>
      <w:r w:rsidRPr="00AF706B">
        <w:rPr>
          <w:rFonts w:asciiTheme="minorHAnsi" w:hAnsiTheme="minorHAnsi" w:cstheme="minorHAnsi"/>
          <w:color w:val="00B0F0"/>
        </w:rPr>
        <w:instrText>ADDIN CSL_CITATION {"citationItems":[{"id":"ITEM-1","itemData":{"author":[{"dropping-particle":"","family":"Sarafino","given":"Edward P.","non-dropping-particle":"","parse-names":false,"suffix":""},{"dropping-particle":"","family":"Smith","given":"Timothy W.","non-dropping-particle":"","parse-names":false,"suffix":""}],"id":"ITEM-1","issued":{"date-parts":[["2017"]]},"publisher":"John Wiley &amp; Sons","publisher-place":"Hoboken","title":"Health Psychology: Biopsychosocial Interactions Ninth Edition","type":"book"},"locator":"61","uris":["http://www.mendeley.com/documents/?uuid=ffb4ebf8-93cd-4e2d-a288-27c0553fef37"]}],"mendeley":{"formattedCitation":"(Sarafino &amp; Smith, 2017, p. 61)","plainTextFormattedCitation":"(Sarafino &amp; Smith, 2017, p. 61)","previouslyFormattedCitation":"(Sarafino &amp; Smith, 2017, p. 61)"},"properties":{"noteIndex":0},"schema":"https://github.com/citation-style-language/schema/raw/master/csl-citation.json"}</w:instrText>
      </w:r>
      <w:r w:rsidRPr="00AF706B">
        <w:rPr>
          <w:rStyle w:val="FootnoteReference"/>
          <w:rFonts w:asciiTheme="minorHAnsi" w:hAnsiTheme="minorHAnsi" w:cstheme="minorHAnsi"/>
          <w:color w:val="00B0F0"/>
        </w:rPr>
        <w:fldChar w:fldCharType="separate"/>
      </w:r>
      <w:r w:rsidRPr="00AF706B">
        <w:rPr>
          <w:rFonts w:asciiTheme="minorHAnsi" w:hAnsiTheme="minorHAnsi" w:cstheme="minorHAnsi"/>
          <w:bCs/>
          <w:noProof/>
          <w:color w:val="00B0F0"/>
          <w:lang w:val="id-ID"/>
        </w:rPr>
        <w:t>(Sarafino &amp; Smith, 2017, p. 61)</w:t>
      </w:r>
      <w:r w:rsidRPr="00AF706B">
        <w:rPr>
          <w:rStyle w:val="FootnoteReference"/>
          <w:rFonts w:asciiTheme="minorHAnsi" w:hAnsiTheme="minorHAnsi" w:cstheme="minorHAnsi"/>
          <w:color w:val="00B0F0"/>
        </w:rPr>
        <w:fldChar w:fldCharType="end"/>
      </w:r>
      <w:r w:rsidRPr="000030FC">
        <w:rPr>
          <w:rFonts w:asciiTheme="minorHAnsi" w:hAnsiTheme="minorHAnsi" w:cstheme="minorHAnsi"/>
        </w:rPr>
        <w:t>.</w:t>
      </w:r>
      <w:r w:rsidRPr="006E3AA5">
        <w:rPr>
          <w:rFonts w:asciiTheme="minorHAnsi" w:hAnsiTheme="minorHAnsi" w:cstheme="minorHAnsi"/>
          <w:lang w:val="en-US"/>
        </w:rPr>
        <w:t xml:space="preserve"> </w:t>
      </w:r>
    </w:p>
    <w:p w14:paraId="54C497CB" w14:textId="5032A881" w:rsidR="006E3AA5" w:rsidRPr="006E3AA5" w:rsidRDefault="006E3AA5" w:rsidP="00596BB2">
      <w:pPr>
        <w:spacing w:after="0" w:line="240" w:lineRule="auto"/>
        <w:ind w:firstLine="284"/>
        <w:jc w:val="both"/>
        <w:rPr>
          <w:rFonts w:asciiTheme="minorHAnsi" w:hAnsiTheme="minorHAnsi" w:cstheme="minorHAnsi"/>
          <w:lang w:val="en-US"/>
        </w:rPr>
      </w:pPr>
      <w:r w:rsidRPr="006E3AA5">
        <w:rPr>
          <w:rFonts w:asciiTheme="minorHAnsi" w:hAnsiTheme="minorHAnsi" w:cstheme="minorHAnsi"/>
          <w:lang w:val="en-US"/>
        </w:rPr>
        <w:t xml:space="preserve">Student life is approaching the end of the study period, the circle of friends is experiencing a decline, and there is a critical phase of mental and physical health problems. </w:t>
      </w:r>
      <w:r w:rsidR="00F52F6A">
        <w:rPr>
          <w:rFonts w:asciiTheme="minorHAnsi" w:hAnsiTheme="minorHAnsi" w:cstheme="minorHAnsi"/>
          <w:lang w:val="en-US"/>
        </w:rPr>
        <w:t>Bachelor degree</w:t>
      </w:r>
      <w:r w:rsidRPr="006E3AA5">
        <w:rPr>
          <w:rFonts w:asciiTheme="minorHAnsi" w:hAnsiTheme="minorHAnsi" w:cstheme="minorHAnsi"/>
          <w:lang w:val="en-US"/>
        </w:rPr>
        <w:t xml:space="preserve"> students receive a final assignment to complete at this stage. Lectures usually last for eight semesters or take four years. However, the study will only exclude them if they complete the task within the allotted time</w:t>
      </w:r>
      <w:r w:rsidR="00667035">
        <w:rPr>
          <w:rFonts w:asciiTheme="minorHAnsi" w:hAnsiTheme="minorHAnsi" w:cstheme="minorHAnsi"/>
          <w:lang w:val="en-US"/>
        </w:rPr>
        <w:t>.</w:t>
      </w:r>
    </w:p>
    <w:p w14:paraId="15003BF0" w14:textId="551A8044" w:rsidR="006E3AA5" w:rsidRPr="006E3AA5" w:rsidRDefault="006E3AA5" w:rsidP="00596BB2">
      <w:pPr>
        <w:spacing w:after="0" w:line="240" w:lineRule="auto"/>
        <w:ind w:firstLine="284"/>
        <w:jc w:val="both"/>
        <w:rPr>
          <w:rFonts w:asciiTheme="minorHAnsi" w:hAnsiTheme="minorHAnsi" w:cstheme="minorHAnsi"/>
          <w:lang w:val="en-US"/>
        </w:rPr>
      </w:pPr>
      <w:r w:rsidRPr="006E3AA5">
        <w:rPr>
          <w:rFonts w:asciiTheme="minorHAnsi" w:hAnsiTheme="minorHAnsi" w:cstheme="minorHAnsi"/>
          <w:lang w:val="en-US"/>
        </w:rPr>
        <w:t>Two internal and external components are responsible for final-year students' difficulties in completing their final assignments. Internal factors include limited research time, lack of references, repeated revisions, difficulty determining the problem, title, measuring tools, and thesis sample. External factors include supervisors who are challenging to find, economic problems, a lack of consultation with supervisors, and supervisor</w:t>
      </w:r>
      <w:r w:rsidRPr="000030FC">
        <w:rPr>
          <w:rFonts w:asciiTheme="minorHAnsi" w:hAnsiTheme="minorHAnsi" w:cstheme="minorHAnsi"/>
          <w:lang w:val="en-US"/>
        </w:rPr>
        <w:t xml:space="preserve">. </w:t>
      </w:r>
      <w:r w:rsidRPr="006E3AA5">
        <w:rPr>
          <w:rFonts w:asciiTheme="minorHAnsi" w:hAnsiTheme="minorHAnsi" w:cstheme="minorHAnsi"/>
          <w:lang w:val="en-US"/>
        </w:rPr>
        <w:t xml:space="preserve">Other internal factors, such as lack of motivation, laziness about doing work, and not concentrating, as well as external factors, such as difficulty dividing time, lack of rest time, and fatigue, can hinder students from completing their final assignments </w:t>
      </w:r>
      <w:r w:rsidRPr="00AF706B">
        <w:rPr>
          <w:rStyle w:val="FootnoteReference"/>
          <w:rFonts w:asciiTheme="minorHAnsi" w:hAnsiTheme="minorHAnsi" w:cstheme="minorHAnsi"/>
          <w:color w:val="00B0F0"/>
        </w:rPr>
        <w:fldChar w:fldCharType="begin" w:fldLock="1"/>
      </w:r>
      <w:r w:rsidRPr="00AF706B">
        <w:rPr>
          <w:rFonts w:asciiTheme="minorHAnsi" w:hAnsiTheme="minorHAnsi" w:cstheme="minorHAnsi"/>
          <w:color w:val="00B0F0"/>
        </w:rPr>
        <w:instrText>ADDIN CSL_CITATION {"citationItems":[{"id":"ITEM-1","itemData":{"DOI":"https://doi.org/10.33373/kop.v3i1.265","author":[{"dropping-particle":"","family":"Etika","given":"Nur","non-dropping-particle":"","parse-names":false,"suffix":""},{"dropping-particle":"","family":"Hasibuan","given":"Wilda Fasim","non-dropping-particle":"","parse-names":false,"suffix":""}],"container-title":"Jurnal Kopasta","id":"ITEM-1","issue":"1","issued":{"date-parts":[["2016"]]},"page":"40-52","title":"Deskripsi Masalah Mahasiswa yang Sedang Menyelesaikan Skripsi","type":"article-journal","volume":"3"},"locator":"40","uris":["http://www.mendeley.com/documents/?uuid=87d7f448-550c-4b4c-a91a-14677d3c7998"]}],"mendeley":{"formattedCitation":"(Etika &amp; Hasibuan, 2016, p. 40)","plainTextFormattedCitation":"(Etika &amp; Hasibuan, 2016, p. 40)","previouslyFormattedCitation":"(Etika &amp; Hasibuan, 2016, p. 40)"},"properties":{"noteIndex":0},"schema":"https://github.com/citation-style-language/schema/raw/master/csl-citation.json"}</w:instrText>
      </w:r>
      <w:r w:rsidRPr="00AF706B">
        <w:rPr>
          <w:rStyle w:val="FootnoteReference"/>
          <w:rFonts w:asciiTheme="minorHAnsi" w:hAnsiTheme="minorHAnsi" w:cstheme="minorHAnsi"/>
          <w:color w:val="00B0F0"/>
        </w:rPr>
        <w:fldChar w:fldCharType="separate"/>
      </w:r>
      <w:r w:rsidRPr="00AF706B">
        <w:rPr>
          <w:rFonts w:asciiTheme="minorHAnsi" w:hAnsiTheme="minorHAnsi" w:cstheme="minorHAnsi"/>
          <w:bCs/>
          <w:noProof/>
          <w:color w:val="00B0F0"/>
          <w:lang w:val="id-ID"/>
        </w:rPr>
        <w:t>(Etika &amp; Hasibuan, 2016, p. 40)</w:t>
      </w:r>
      <w:r w:rsidRPr="00AF706B">
        <w:rPr>
          <w:rStyle w:val="FootnoteReference"/>
          <w:rFonts w:asciiTheme="minorHAnsi" w:hAnsiTheme="minorHAnsi" w:cstheme="minorHAnsi"/>
          <w:color w:val="00B0F0"/>
        </w:rPr>
        <w:fldChar w:fldCharType="end"/>
      </w:r>
      <w:r w:rsidRPr="000030FC">
        <w:rPr>
          <w:rFonts w:asciiTheme="minorHAnsi" w:hAnsiTheme="minorHAnsi" w:cstheme="minorHAnsi"/>
          <w:lang w:val="en-US"/>
        </w:rPr>
        <w:t>.</w:t>
      </w:r>
      <w:r w:rsidRPr="006E3AA5">
        <w:rPr>
          <w:rFonts w:asciiTheme="minorHAnsi" w:hAnsiTheme="minorHAnsi" w:cstheme="minorHAnsi"/>
          <w:lang w:val="en-US"/>
        </w:rPr>
        <w:t xml:space="preserve"> </w:t>
      </w:r>
    </w:p>
    <w:p w14:paraId="45081CF6" w14:textId="22436B4E" w:rsidR="006E3AA5" w:rsidRPr="006E3AA5" w:rsidRDefault="006E3AA5" w:rsidP="00596BB2">
      <w:pPr>
        <w:spacing w:after="0" w:line="240" w:lineRule="auto"/>
        <w:ind w:firstLine="284"/>
        <w:jc w:val="both"/>
        <w:rPr>
          <w:rFonts w:asciiTheme="minorHAnsi" w:hAnsiTheme="minorHAnsi" w:cstheme="minorHAnsi"/>
          <w:lang w:val="en-US"/>
        </w:rPr>
      </w:pPr>
      <w:r w:rsidRPr="006E3AA5">
        <w:rPr>
          <w:rFonts w:asciiTheme="minorHAnsi" w:hAnsiTheme="minorHAnsi" w:cstheme="minorHAnsi"/>
          <w:lang w:val="en-US"/>
        </w:rPr>
        <w:t xml:space="preserve">Final students are just some of the students who experience the drop-out phenomenon. The academic sanction at the Kudus State Islamic Institute is dropping out of studies. This can happen for students with a cumulative achievement index of less than 2.00 in the second, fourth, sixth, and eighth semesters </w:t>
      </w:r>
      <w:r w:rsidRPr="00AF706B">
        <w:rPr>
          <w:rStyle w:val="FootnoteReference"/>
          <w:rFonts w:asciiTheme="minorHAnsi" w:hAnsiTheme="minorHAnsi" w:cstheme="minorHAnsi"/>
          <w:color w:val="00B0F0"/>
        </w:rPr>
        <w:fldChar w:fldCharType="begin" w:fldLock="1"/>
      </w:r>
      <w:r w:rsidRPr="00AF706B">
        <w:rPr>
          <w:rFonts w:asciiTheme="minorHAnsi" w:hAnsiTheme="minorHAnsi" w:cstheme="minorHAnsi"/>
          <w:color w:val="00B0F0"/>
        </w:rPr>
        <w:instrText>ADDIN CSL_CITATION {"citationItems":[{"id":"ITEM-1","itemData":{"author":[{"dropping-particle":"","family":"Mundakir","given":"","non-dropping-particle":"","parse-names":false,"suffix":""},{"dropping-particle":"","family":"Supa'at","given":"","non-dropping-particle":"","parse-names":false,"suffix":""},{"dropping-particle":"","family":"Ihsan","given":"","non-dropping-particle":"","parse-names":false,"suffix":""},{"dropping-particle":"","family":"Aris","given":"Nur","non-dropping-particle":"","parse-names":false,"suffix":""},{"dropping-particle":"","family":"Hadi","given":"Nor","non-dropping-particle":"","parse-names":false,"suffix":""},{"dropping-particle":"","family":"Kasdi","given":"Abdurrohman","non-dropping-particle":"","parse-names":false,"suffix":""},{"dropping-particle":"","family":"Sukarsa","given":"Karsa","non-dropping-particle":"","parse-names":false,"suffix":""},{"dropping-particle":"","family":"Karim","given":"Abdul","non-dropping-particle":"","parse-names":false,"suffix":""},{"dropping-particle":"","family":"Ismayawati","given":"Any","non-dropping-particle":"","parse-names":false,"suffix":""},{"dropping-particle":"","family":"Supriyadi","given":"","non-dropping-particle":"","parse-names":false,"suffix":""},{"dropping-particle":"","family":"Masrukhin","given":"","non-dropping-particle":"","parse-names":false,"suffix":""},{"dropping-particle":"","family":"Masturin","given":"","non-dropping-particle":"","parse-names":false,"suffix":""},{"dropping-particle":"","family":"Nuha","given":"Ulin","non-dropping-particle":"","parse-names":false,"suffix":""},{"dropping-particle":"","family":"Na'im","given":"Abdul Haris","non-dropping-particle":"","parse-names":false,"suffix":""},{"dropping-particle":"","family":"Rahmawaty","given":"Anita","non-dropping-particle":"","parse-names":false,"suffix":""},{"dropping-particle":"","family":"Shofaussamawati","given":"","non-dropping-particle":"","parse-names":false,"suffix":""},{"dropping-particle":"","family":"Saliyo","given":"","non-dropping-particle":"","parse-names":false,"suffix":""},{"dropping-particle":"","family":"Hakim","given":"M. Arif","non-dropping-particle":"","parse-names":false,"suffix":""},{"dropping-particle":"","family":"Wahyudi","given":"Agus","non-dropping-particle":"","parse-names":false,"suffix":""}],"id":"ITEM-1","issued":{"date-parts":[["2019"]]},"publisher":"Institut Agama Islam Negeri Kudus","publisher-place":"Kudus","title":"Pedoman Akademik Program Sarjana IAIN Kudus","type":"book"},"locator":"46","uris":["http://www.mendeley.com/documents/?uuid=ae0d67ff-d940-43ed-9e74-e2f6b9997b61"]}],"mendeley":{"formattedCitation":"(Mundakir et al., 2019, p. 46)","plainTextFormattedCitation":"(Mundakir et al., 2019, p. 46)","previouslyFormattedCitation":"(Mundakir et al., 2019, p. 46)"},"properties":{"noteIndex":0},"schema":"https://github.com/citation-style-language/schema/raw/master/csl-citation.json"}</w:instrText>
      </w:r>
      <w:r w:rsidRPr="00AF706B">
        <w:rPr>
          <w:rStyle w:val="FootnoteReference"/>
          <w:rFonts w:asciiTheme="minorHAnsi" w:hAnsiTheme="minorHAnsi" w:cstheme="minorHAnsi"/>
          <w:color w:val="00B0F0"/>
        </w:rPr>
        <w:fldChar w:fldCharType="separate"/>
      </w:r>
      <w:r w:rsidRPr="00AF706B">
        <w:rPr>
          <w:rFonts w:asciiTheme="minorHAnsi" w:hAnsiTheme="minorHAnsi" w:cstheme="minorHAnsi"/>
          <w:bCs/>
          <w:noProof/>
          <w:color w:val="00B0F0"/>
          <w:lang w:val="id-ID"/>
        </w:rPr>
        <w:t>(Mundakir et al., 2019, p. 46)</w:t>
      </w:r>
      <w:r w:rsidRPr="00AF706B">
        <w:rPr>
          <w:rStyle w:val="FootnoteReference"/>
          <w:rFonts w:asciiTheme="minorHAnsi" w:hAnsiTheme="minorHAnsi" w:cstheme="minorHAnsi"/>
          <w:color w:val="00B0F0"/>
        </w:rPr>
        <w:fldChar w:fldCharType="end"/>
      </w:r>
      <w:r w:rsidRPr="000030FC">
        <w:rPr>
          <w:rFonts w:asciiTheme="minorHAnsi" w:hAnsiTheme="minorHAnsi" w:cstheme="minorHAnsi"/>
          <w:lang w:val="en-US"/>
        </w:rPr>
        <w:t>.</w:t>
      </w:r>
      <w:r w:rsidRPr="006E3AA5">
        <w:rPr>
          <w:rFonts w:asciiTheme="minorHAnsi" w:hAnsiTheme="minorHAnsi" w:cstheme="minorHAnsi"/>
          <w:lang w:val="en-US"/>
        </w:rPr>
        <w:t xml:space="preserve"> </w:t>
      </w:r>
    </w:p>
    <w:p w14:paraId="729F8AB7" w14:textId="2D0CE383" w:rsidR="006E3AA5" w:rsidRDefault="006E3AA5" w:rsidP="00596BB2">
      <w:pPr>
        <w:spacing w:after="0" w:line="240" w:lineRule="auto"/>
        <w:ind w:firstLine="284"/>
        <w:jc w:val="both"/>
        <w:rPr>
          <w:rFonts w:asciiTheme="minorHAnsi" w:hAnsiTheme="minorHAnsi" w:cstheme="minorHAnsi"/>
          <w:lang w:val="en-US"/>
        </w:rPr>
      </w:pPr>
      <w:r w:rsidRPr="006E3AA5">
        <w:rPr>
          <w:rFonts w:asciiTheme="minorHAnsi" w:hAnsiTheme="minorHAnsi" w:cstheme="minorHAnsi"/>
          <w:lang w:val="en-US"/>
        </w:rPr>
        <w:t xml:space="preserve">This research aims to determine whether there are differences in self-efficacy, self-management, and achievement index among </w:t>
      </w:r>
      <w:proofErr w:type="spellStart"/>
      <w:r w:rsidRPr="006E3AA5">
        <w:rPr>
          <w:rFonts w:asciiTheme="minorHAnsi" w:hAnsiTheme="minorHAnsi" w:cstheme="minorHAnsi"/>
          <w:lang w:val="en-US"/>
        </w:rPr>
        <w:t>Tadris</w:t>
      </w:r>
      <w:proofErr w:type="spellEnd"/>
      <w:r w:rsidRPr="006E3AA5">
        <w:rPr>
          <w:rFonts w:asciiTheme="minorHAnsi" w:hAnsiTheme="minorHAnsi" w:cstheme="minorHAnsi"/>
          <w:lang w:val="en-US"/>
        </w:rPr>
        <w:t xml:space="preserve"> IPS IAIN Kudus students in terms of differences in gender, </w:t>
      </w:r>
      <w:r w:rsidR="00CF2430">
        <w:rPr>
          <w:rFonts w:asciiTheme="minorHAnsi" w:hAnsiTheme="minorHAnsi" w:cstheme="minorHAnsi"/>
          <w:lang w:val="en-US"/>
        </w:rPr>
        <w:t xml:space="preserve">batch of </w:t>
      </w:r>
      <w:r w:rsidRPr="006E3AA5">
        <w:rPr>
          <w:rFonts w:asciiTheme="minorHAnsi" w:hAnsiTheme="minorHAnsi" w:cstheme="minorHAnsi"/>
          <w:lang w:val="en-US"/>
        </w:rPr>
        <w:t>student</w:t>
      </w:r>
      <w:r w:rsidR="00CF2430">
        <w:rPr>
          <w:rFonts w:asciiTheme="minorHAnsi" w:hAnsiTheme="minorHAnsi" w:cstheme="minorHAnsi"/>
          <w:lang w:val="en-US"/>
        </w:rPr>
        <w:t>s</w:t>
      </w:r>
      <w:r w:rsidRPr="006E3AA5">
        <w:rPr>
          <w:rFonts w:asciiTheme="minorHAnsi" w:hAnsiTheme="minorHAnsi" w:cstheme="minorHAnsi"/>
          <w:lang w:val="en-US"/>
        </w:rPr>
        <w:t>, and student burden status.</w:t>
      </w:r>
    </w:p>
    <w:p w14:paraId="5E2214E3" w14:textId="44924D49" w:rsidR="006832B0" w:rsidRDefault="00E211AA" w:rsidP="00415755">
      <w:pPr>
        <w:spacing w:line="240" w:lineRule="auto"/>
        <w:jc w:val="both"/>
        <w:rPr>
          <w:b/>
          <w:lang w:val="en-US"/>
        </w:rPr>
      </w:pPr>
      <w:r w:rsidRPr="008D069B">
        <w:rPr>
          <w:b/>
          <w:lang w:val="en-US"/>
        </w:rPr>
        <w:t xml:space="preserve">2. </w:t>
      </w:r>
      <w:r w:rsidR="00180DA7">
        <w:rPr>
          <w:b/>
          <w:lang w:val="en-US"/>
        </w:rPr>
        <w:t>LITERATURE REVIEW</w:t>
      </w:r>
    </w:p>
    <w:p w14:paraId="08F51D69" w14:textId="6EB3ECFD" w:rsidR="00180DA7" w:rsidRPr="008D069B" w:rsidRDefault="00180DA7" w:rsidP="008160D5">
      <w:pPr>
        <w:spacing w:after="0" w:line="240" w:lineRule="auto"/>
        <w:jc w:val="both"/>
        <w:rPr>
          <w:b/>
          <w:lang w:val="en-US"/>
        </w:rPr>
      </w:pPr>
      <w:r>
        <w:rPr>
          <w:b/>
          <w:lang w:val="en-US"/>
        </w:rPr>
        <w:t>2</w:t>
      </w:r>
      <w:r w:rsidRPr="008D069B">
        <w:rPr>
          <w:b/>
          <w:lang w:val="en-US"/>
        </w:rPr>
        <w:t xml:space="preserve">.1. </w:t>
      </w:r>
      <w:r w:rsidR="003C5CB6">
        <w:rPr>
          <w:b/>
          <w:lang w:val="en-US"/>
        </w:rPr>
        <w:t>Self-Efficacy</w:t>
      </w:r>
    </w:p>
    <w:p w14:paraId="04E12955" w14:textId="654550B7" w:rsidR="00B2585F" w:rsidRPr="00596BB2" w:rsidRDefault="00B2585F" w:rsidP="008160D5">
      <w:pPr>
        <w:spacing w:after="0" w:line="240" w:lineRule="auto"/>
        <w:ind w:firstLine="274"/>
        <w:jc w:val="both"/>
        <w:rPr>
          <w:rFonts w:asciiTheme="minorHAnsi" w:eastAsia="Times New Roman" w:hAnsiTheme="minorHAnsi" w:cstheme="minorHAnsi"/>
          <w:lang w:val="id-ID" w:eastAsia="id-ID"/>
        </w:rPr>
      </w:pPr>
      <w:r w:rsidRPr="00596BB2">
        <w:rPr>
          <w:rFonts w:asciiTheme="minorHAnsi" w:eastAsia="Times New Roman" w:hAnsiTheme="minorHAnsi" w:cstheme="minorHAnsi"/>
          <w:lang w:val="id-ID" w:eastAsia="id-ID"/>
        </w:rPr>
        <w:t xml:space="preserve">The </w:t>
      </w:r>
      <w:proofErr w:type="spellStart"/>
      <w:r w:rsidRPr="00596BB2">
        <w:rPr>
          <w:rFonts w:asciiTheme="minorHAnsi" w:eastAsia="Times New Roman" w:hAnsiTheme="minorHAnsi" w:cstheme="minorHAnsi"/>
          <w:lang w:val="id-ID" w:eastAsia="id-ID"/>
        </w:rPr>
        <w:t>self-efficacy</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theory</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was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introduced</w:t>
      </w:r>
      <w:proofErr w:type="spellEnd"/>
      <w:r w:rsidRPr="00596BB2">
        <w:rPr>
          <w:rFonts w:asciiTheme="minorHAnsi" w:eastAsia="Times New Roman" w:hAnsiTheme="minorHAnsi" w:cstheme="minorHAnsi"/>
          <w:lang w:val="id-ID" w:eastAsia="id-ID"/>
        </w:rPr>
        <w:t xml:space="preserve"> </w:t>
      </w:r>
      <w:r w:rsidR="00667035">
        <w:rPr>
          <w:rFonts w:asciiTheme="minorHAnsi" w:eastAsia="Times New Roman" w:hAnsiTheme="minorHAnsi" w:cstheme="minorHAnsi"/>
          <w:lang w:val="en-US" w:eastAsia="id-ID"/>
        </w:rPr>
        <w:t xml:space="preserve">popular </w:t>
      </w:r>
      <w:proofErr w:type="spellStart"/>
      <w:r w:rsidRPr="00596BB2">
        <w:rPr>
          <w:rFonts w:asciiTheme="minorHAnsi" w:eastAsia="Times New Roman" w:hAnsiTheme="minorHAnsi" w:cstheme="minorHAnsi"/>
          <w:lang w:val="id-ID" w:eastAsia="id-ID"/>
        </w:rPr>
        <w:t>by</w:t>
      </w:r>
      <w:proofErr w:type="spellEnd"/>
      <w:r w:rsidRPr="00596BB2">
        <w:rPr>
          <w:rFonts w:asciiTheme="minorHAnsi" w:eastAsia="Times New Roman" w:hAnsiTheme="minorHAnsi" w:cstheme="minorHAnsi"/>
          <w:lang w:val="id-ID" w:eastAsia="id-ID"/>
        </w:rPr>
        <w:t xml:space="preserve"> Albert </w:t>
      </w:r>
      <w:proofErr w:type="spellStart"/>
      <w:r w:rsidRPr="00596BB2">
        <w:rPr>
          <w:rFonts w:asciiTheme="minorHAnsi" w:eastAsia="Times New Roman" w:hAnsiTheme="minorHAnsi" w:cstheme="minorHAnsi"/>
          <w:lang w:val="id-ID" w:eastAsia="id-ID"/>
        </w:rPr>
        <w:t>Bandura</w:t>
      </w:r>
      <w:proofErr w:type="spellEnd"/>
      <w:r w:rsidRPr="00596BB2">
        <w:rPr>
          <w:rFonts w:asciiTheme="minorHAnsi" w:eastAsia="Times New Roman" w:hAnsiTheme="minorHAnsi" w:cstheme="minorHAnsi"/>
          <w:lang w:val="id-ID" w:eastAsia="id-ID"/>
        </w:rPr>
        <w:t xml:space="preserve"> in 1977. </w:t>
      </w:r>
      <w:r w:rsidR="00667035">
        <w:rPr>
          <w:rFonts w:asciiTheme="minorHAnsi" w:eastAsia="Times New Roman" w:hAnsiTheme="minorHAnsi" w:cstheme="minorHAnsi"/>
          <w:lang w:val="en-US" w:eastAsia="id-ID"/>
        </w:rPr>
        <w:t>S</w:t>
      </w:r>
      <w:proofErr w:type="spellStart"/>
      <w:r w:rsidRPr="00596BB2">
        <w:rPr>
          <w:rFonts w:asciiTheme="minorHAnsi" w:eastAsia="Times New Roman" w:hAnsiTheme="minorHAnsi" w:cstheme="minorHAnsi"/>
          <w:lang w:val="id-ID" w:eastAsia="id-ID"/>
        </w:rPr>
        <w:t>elf-efficacy</w:t>
      </w:r>
      <w:proofErr w:type="spellEnd"/>
      <w:r w:rsidRPr="00596BB2">
        <w:rPr>
          <w:rFonts w:asciiTheme="minorHAnsi" w:eastAsia="Times New Roman" w:hAnsiTheme="minorHAnsi" w:cstheme="minorHAnsi"/>
          <w:lang w:val="id-ID" w:eastAsia="id-ID"/>
        </w:rPr>
        <w:t xml:space="preserve"> as </w:t>
      </w:r>
      <w:proofErr w:type="spellStart"/>
      <w:r w:rsidRPr="00596BB2">
        <w:rPr>
          <w:rFonts w:asciiTheme="minorHAnsi" w:eastAsia="Times New Roman" w:hAnsiTheme="minorHAnsi" w:cstheme="minorHAnsi"/>
          <w:lang w:val="id-ID" w:eastAsia="id-ID"/>
        </w:rPr>
        <w:t>an</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individual's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belief</w:t>
      </w:r>
      <w:proofErr w:type="spellEnd"/>
      <w:r w:rsidRPr="00596BB2">
        <w:rPr>
          <w:rFonts w:asciiTheme="minorHAnsi" w:eastAsia="Times New Roman" w:hAnsiTheme="minorHAnsi" w:cstheme="minorHAnsi"/>
          <w:lang w:val="id-ID" w:eastAsia="id-ID"/>
        </w:rPr>
        <w:t xml:space="preserve"> in </w:t>
      </w:r>
      <w:proofErr w:type="spellStart"/>
      <w:r w:rsidRPr="00596BB2">
        <w:rPr>
          <w:rFonts w:asciiTheme="minorHAnsi" w:eastAsia="Times New Roman" w:hAnsiTheme="minorHAnsi" w:cstheme="minorHAnsi"/>
          <w:lang w:val="id-ID" w:eastAsia="id-ID"/>
        </w:rPr>
        <w:t>their</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skills</w:t>
      </w:r>
      <w:proofErr w:type="spellEnd"/>
      <w:r w:rsidRPr="00596BB2">
        <w:rPr>
          <w:rFonts w:asciiTheme="minorHAnsi" w:eastAsia="Times New Roman" w:hAnsiTheme="minorHAnsi" w:cstheme="minorHAnsi"/>
          <w:lang w:val="id-ID" w:eastAsia="id-ID"/>
        </w:rPr>
        <w:t xml:space="preserve"> in </w:t>
      </w:r>
      <w:proofErr w:type="spellStart"/>
      <w:r w:rsidRPr="00596BB2">
        <w:rPr>
          <w:rFonts w:asciiTheme="minorHAnsi" w:eastAsia="Times New Roman" w:hAnsiTheme="minorHAnsi" w:cstheme="minorHAnsi"/>
          <w:lang w:val="id-ID" w:eastAsia="id-ID"/>
        </w:rPr>
        <w:t>producing</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and</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demonstrating</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abilities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when</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doing</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something</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that</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influences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life</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events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Self-efficacy</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can</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measure</w:t>
      </w:r>
      <w:proofErr w:type="spellEnd"/>
      <w:r w:rsidRPr="00596BB2">
        <w:rPr>
          <w:rFonts w:asciiTheme="minorHAnsi" w:eastAsia="Times New Roman" w:hAnsiTheme="minorHAnsi" w:cstheme="minorHAnsi"/>
          <w:lang w:val="id-ID" w:eastAsia="id-ID"/>
        </w:rPr>
        <w:t xml:space="preserve"> a </w:t>
      </w:r>
      <w:proofErr w:type="spellStart"/>
      <w:r w:rsidRPr="00596BB2">
        <w:rPr>
          <w:rFonts w:asciiTheme="minorHAnsi" w:eastAsia="Times New Roman" w:hAnsiTheme="minorHAnsi" w:cstheme="minorHAnsi"/>
          <w:lang w:val="id-ID" w:eastAsia="id-ID"/>
        </w:rPr>
        <w:t>person's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confidence</w:t>
      </w:r>
      <w:proofErr w:type="spellEnd"/>
      <w:r w:rsidRPr="00596BB2">
        <w:rPr>
          <w:rFonts w:asciiTheme="minorHAnsi" w:eastAsia="Times New Roman" w:hAnsiTheme="minorHAnsi" w:cstheme="minorHAnsi"/>
          <w:lang w:val="id-ID" w:eastAsia="id-ID"/>
        </w:rPr>
        <w:t xml:space="preserve"> in </w:t>
      </w:r>
      <w:proofErr w:type="spellStart"/>
      <w:r w:rsidRPr="00596BB2">
        <w:rPr>
          <w:rFonts w:asciiTheme="minorHAnsi" w:eastAsia="Times New Roman" w:hAnsiTheme="minorHAnsi" w:cstheme="minorHAnsi"/>
          <w:lang w:val="id-ID" w:eastAsia="id-ID"/>
        </w:rPr>
        <w:t>what</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they</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feel</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and</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think</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and</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their</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motivation</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to</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do</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something</w:t>
      </w:r>
      <w:proofErr w:type="spellEnd"/>
      <w:r w:rsidRPr="00596BB2">
        <w:rPr>
          <w:rFonts w:asciiTheme="minorHAnsi" w:hAnsiTheme="minorHAnsi" w:cstheme="minorHAnsi"/>
        </w:rPr>
        <w:t xml:space="preserve">. </w:t>
      </w:r>
      <w:r w:rsidRPr="00596BB2">
        <w:rPr>
          <w:rFonts w:asciiTheme="minorHAnsi" w:eastAsia="Times New Roman" w:hAnsiTheme="minorHAnsi" w:cstheme="minorHAnsi"/>
          <w:lang w:val="id-ID" w:eastAsia="id-ID"/>
        </w:rPr>
        <w:t xml:space="preserve">A </w:t>
      </w:r>
      <w:proofErr w:type="spellStart"/>
      <w:r w:rsidRPr="00596BB2">
        <w:rPr>
          <w:rFonts w:asciiTheme="minorHAnsi" w:eastAsia="Times New Roman" w:hAnsiTheme="minorHAnsi" w:cstheme="minorHAnsi"/>
          <w:lang w:val="id-ID" w:eastAsia="id-ID"/>
        </w:rPr>
        <w:t>person's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self-confidence</w:t>
      </w:r>
      <w:proofErr w:type="spellEnd"/>
      <w:r w:rsidRPr="00596BB2">
        <w:rPr>
          <w:rFonts w:asciiTheme="minorHAnsi" w:eastAsia="Times New Roman" w:hAnsiTheme="minorHAnsi" w:cstheme="minorHAnsi"/>
          <w:lang w:val="id-ID" w:eastAsia="id-ID"/>
        </w:rPr>
        <w:t xml:space="preserve"> in </w:t>
      </w:r>
      <w:proofErr w:type="spellStart"/>
      <w:r w:rsidRPr="00596BB2">
        <w:rPr>
          <w:rFonts w:asciiTheme="minorHAnsi" w:eastAsia="Times New Roman" w:hAnsiTheme="minorHAnsi" w:cstheme="minorHAnsi"/>
          <w:lang w:val="id-ID" w:eastAsia="id-ID"/>
        </w:rPr>
        <w:t>their</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ability</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to</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achieve</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specific</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goals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is</w:t>
      </w:r>
      <w:proofErr w:type="spellEnd"/>
      <w:r w:rsidRPr="00596BB2">
        <w:rPr>
          <w:rFonts w:asciiTheme="minorHAnsi" w:eastAsia="Times New Roman" w:hAnsiTheme="minorHAnsi" w:cstheme="minorHAnsi"/>
          <w:lang w:val="id-ID" w:eastAsia="id-ID"/>
        </w:rPr>
        <w:t xml:space="preserve"> </w:t>
      </w:r>
      <w:proofErr w:type="spellStart"/>
      <w:r w:rsidRPr="00596BB2">
        <w:rPr>
          <w:rFonts w:asciiTheme="minorHAnsi" w:eastAsia="Times New Roman" w:hAnsiTheme="minorHAnsi" w:cstheme="minorHAnsi"/>
          <w:lang w:val="id-ID" w:eastAsia="id-ID"/>
        </w:rPr>
        <w:t>known</w:t>
      </w:r>
      <w:proofErr w:type="spellEnd"/>
      <w:r w:rsidRPr="00596BB2">
        <w:rPr>
          <w:rFonts w:asciiTheme="minorHAnsi" w:eastAsia="Times New Roman" w:hAnsiTheme="minorHAnsi" w:cstheme="minorHAnsi"/>
          <w:lang w:val="id-ID" w:eastAsia="id-ID"/>
        </w:rPr>
        <w:t xml:space="preserve"> as </w:t>
      </w:r>
      <w:proofErr w:type="spellStart"/>
      <w:r w:rsidRPr="00596BB2">
        <w:rPr>
          <w:rFonts w:asciiTheme="minorHAnsi" w:eastAsia="Times New Roman" w:hAnsiTheme="minorHAnsi" w:cstheme="minorHAnsi"/>
          <w:lang w:val="id-ID" w:eastAsia="id-ID"/>
        </w:rPr>
        <w:t>self-efficacy</w:t>
      </w:r>
      <w:proofErr w:type="spellEnd"/>
      <w:r w:rsidRPr="00596BB2">
        <w:rPr>
          <w:rFonts w:asciiTheme="minorHAnsi" w:eastAsia="Times New Roman" w:hAnsiTheme="minorHAnsi" w:cstheme="minorHAnsi"/>
          <w:lang w:val="id-ID" w:eastAsia="id-ID"/>
        </w:rPr>
        <w:t>.</w:t>
      </w:r>
    </w:p>
    <w:p w14:paraId="1A8DC974" w14:textId="01DE4F90" w:rsidR="00B2585F" w:rsidRPr="00667035" w:rsidRDefault="00667035" w:rsidP="008160D5">
      <w:pPr>
        <w:spacing w:after="0" w:line="240" w:lineRule="auto"/>
        <w:ind w:firstLine="274"/>
        <w:jc w:val="both"/>
        <w:rPr>
          <w:rFonts w:asciiTheme="minorHAnsi" w:eastAsia="Times New Roman" w:hAnsiTheme="minorHAnsi" w:cstheme="minorHAnsi"/>
          <w:lang w:val="en-US" w:eastAsia="id-ID"/>
        </w:rPr>
      </w:pPr>
      <w:r>
        <w:rPr>
          <w:rFonts w:asciiTheme="minorHAnsi" w:eastAsia="Times New Roman" w:hAnsiTheme="minorHAnsi" w:cstheme="minorHAnsi"/>
          <w:lang w:val="en-US" w:eastAsia="id-ID"/>
        </w:rPr>
        <w:t>S</w:t>
      </w:r>
      <w:proofErr w:type="spellStart"/>
      <w:r w:rsidR="00B2585F" w:rsidRPr="00596BB2">
        <w:rPr>
          <w:rFonts w:asciiTheme="minorHAnsi" w:eastAsia="Times New Roman" w:hAnsiTheme="minorHAnsi" w:cstheme="minorHAnsi"/>
          <w:lang w:val="id-ID" w:eastAsia="id-ID"/>
        </w:rPr>
        <w:t>elf-efficacy</w:t>
      </w:r>
      <w:proofErr w:type="spellEnd"/>
      <w:r w:rsidR="00B2585F" w:rsidRPr="00596BB2">
        <w:rPr>
          <w:rFonts w:asciiTheme="minorHAnsi" w:eastAsia="Times New Roman" w:hAnsiTheme="minorHAnsi" w:cstheme="minorHAnsi"/>
          <w:lang w:val="id-ID" w:eastAsia="id-ID"/>
        </w:rPr>
        <w:t xml:space="preserve"> has </w:t>
      </w:r>
      <w:proofErr w:type="spellStart"/>
      <w:r w:rsidR="00B2585F" w:rsidRPr="00596BB2">
        <w:rPr>
          <w:rFonts w:asciiTheme="minorHAnsi" w:eastAsia="Times New Roman" w:hAnsiTheme="minorHAnsi" w:cstheme="minorHAnsi"/>
          <w:lang w:val="id-ID" w:eastAsia="id-ID"/>
        </w:rPr>
        <w:t>three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dimensions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components</w:t>
      </w:r>
      <w:proofErr w:type="spellEnd"/>
      <w:r w:rsidR="00B2585F" w:rsidRPr="00596BB2">
        <w:rPr>
          <w:rFonts w:asciiTheme="minorHAnsi" w:eastAsia="Times New Roman" w:hAnsiTheme="minorHAnsi" w:cstheme="minorHAnsi"/>
          <w:lang w:val="id-ID" w:eastAsia="id-ID"/>
        </w:rPr>
        <w:t xml:space="preserve">. The </w:t>
      </w:r>
      <w:proofErr w:type="spellStart"/>
      <w:r w:rsidR="00B2585F" w:rsidRPr="00596BB2">
        <w:rPr>
          <w:rFonts w:asciiTheme="minorHAnsi" w:eastAsia="Times New Roman" w:hAnsiTheme="minorHAnsi" w:cstheme="minorHAnsi"/>
          <w:lang w:val="id-ID" w:eastAsia="id-ID"/>
        </w:rPr>
        <w:t>first</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is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the</w:t>
      </w:r>
      <w:proofErr w:type="spellEnd"/>
      <w:r w:rsidR="00B2585F" w:rsidRPr="00596BB2">
        <w:rPr>
          <w:rFonts w:asciiTheme="minorHAnsi" w:eastAsia="Times New Roman" w:hAnsiTheme="minorHAnsi" w:cstheme="minorHAnsi"/>
          <w:lang w:val="id-ID" w:eastAsia="id-ID"/>
        </w:rPr>
        <w:t xml:space="preserve"> level </w:t>
      </w:r>
      <w:proofErr w:type="spellStart"/>
      <w:r w:rsidR="00B2585F" w:rsidRPr="00596BB2">
        <w:rPr>
          <w:rFonts w:asciiTheme="minorHAnsi" w:eastAsia="Times New Roman" w:hAnsiTheme="minorHAnsi" w:cstheme="minorHAnsi"/>
          <w:lang w:val="id-ID" w:eastAsia="id-ID"/>
        </w:rPr>
        <w:t>or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magnitude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which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measures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how</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high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low</w:t>
      </w:r>
      <w:proofErr w:type="spellEnd"/>
      <w:r w:rsidR="00B2585F" w:rsidRPr="00596BB2">
        <w:rPr>
          <w:rFonts w:asciiTheme="minorHAnsi" w:eastAsia="Times New Roman" w:hAnsiTheme="minorHAnsi" w:cstheme="minorHAnsi"/>
          <w:lang w:val="id-ID" w:eastAsia="id-ID"/>
        </w:rPr>
        <w:t xml:space="preserve"> a </w:t>
      </w:r>
      <w:proofErr w:type="spellStart"/>
      <w:r w:rsidR="00B2585F" w:rsidRPr="00596BB2">
        <w:rPr>
          <w:rFonts w:asciiTheme="minorHAnsi" w:eastAsia="Times New Roman" w:hAnsiTheme="minorHAnsi" w:cstheme="minorHAnsi"/>
          <w:lang w:val="id-ID" w:eastAsia="id-ID"/>
        </w:rPr>
        <w:t>person's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ability</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to</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feel</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confident</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is.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Second</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is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strength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which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measures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the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strength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of</w:t>
      </w:r>
      <w:proofErr w:type="spellEnd"/>
      <w:r w:rsidR="00B2585F" w:rsidRPr="00596BB2">
        <w:rPr>
          <w:rFonts w:asciiTheme="minorHAnsi" w:eastAsia="Times New Roman" w:hAnsiTheme="minorHAnsi" w:cstheme="minorHAnsi"/>
          <w:lang w:val="id-ID" w:eastAsia="id-ID"/>
        </w:rPr>
        <w:t xml:space="preserve"> a </w:t>
      </w:r>
      <w:proofErr w:type="spellStart"/>
      <w:r w:rsidR="00B2585F" w:rsidRPr="00596BB2">
        <w:rPr>
          <w:rFonts w:asciiTheme="minorHAnsi" w:eastAsia="Times New Roman" w:hAnsiTheme="minorHAnsi" w:cstheme="minorHAnsi"/>
          <w:lang w:val="id-ID" w:eastAsia="id-ID"/>
        </w:rPr>
        <w:t>person's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belief</w:t>
      </w:r>
      <w:proofErr w:type="spellEnd"/>
      <w:r w:rsidR="00B2585F" w:rsidRPr="00596BB2">
        <w:rPr>
          <w:rFonts w:asciiTheme="minorHAnsi" w:eastAsia="Times New Roman" w:hAnsiTheme="minorHAnsi" w:cstheme="minorHAnsi"/>
          <w:lang w:val="id-ID" w:eastAsia="id-ID"/>
        </w:rPr>
        <w:t xml:space="preserve"> in </w:t>
      </w:r>
      <w:proofErr w:type="spellStart"/>
      <w:r w:rsidR="00B2585F" w:rsidRPr="00596BB2">
        <w:rPr>
          <w:rFonts w:asciiTheme="minorHAnsi" w:eastAsia="Times New Roman" w:hAnsiTheme="minorHAnsi" w:cstheme="minorHAnsi"/>
          <w:lang w:val="id-ID" w:eastAsia="id-ID"/>
        </w:rPr>
        <w:t>their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sense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of</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belief</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which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includes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the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ability</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to</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survive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by</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overcoming</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challenges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and</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obstacles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Third</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generalisation</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or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strength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measures</w:t>
      </w:r>
      <w:proofErr w:type="spellEnd"/>
      <w:r w:rsidR="00B2585F" w:rsidRPr="00596BB2">
        <w:rPr>
          <w:rFonts w:asciiTheme="minorHAnsi" w:eastAsia="Times New Roman" w:hAnsiTheme="minorHAnsi" w:cstheme="minorHAnsi"/>
          <w:lang w:val="id-ID" w:eastAsia="id-ID"/>
        </w:rPr>
        <w:t xml:space="preserve"> a </w:t>
      </w:r>
      <w:proofErr w:type="spellStart"/>
      <w:r w:rsidR="00B2585F" w:rsidRPr="00596BB2">
        <w:rPr>
          <w:rFonts w:asciiTheme="minorHAnsi" w:eastAsia="Times New Roman" w:hAnsiTheme="minorHAnsi" w:cstheme="minorHAnsi"/>
          <w:lang w:val="id-ID" w:eastAsia="id-ID"/>
        </w:rPr>
        <w:t>person's</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strength</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and</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resilience</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regarding</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their</w:t>
      </w:r>
      <w:proofErr w:type="spellEnd"/>
      <w:r w:rsidR="00B2585F" w:rsidRPr="00596BB2">
        <w:rPr>
          <w:rFonts w:asciiTheme="minorHAnsi" w:eastAsia="Times New Roman" w:hAnsiTheme="minorHAnsi" w:cstheme="minorHAnsi"/>
          <w:lang w:val="id-ID" w:eastAsia="id-ID"/>
        </w:rPr>
        <w:t xml:space="preserve"> </w:t>
      </w:r>
      <w:proofErr w:type="spellStart"/>
      <w:r w:rsidR="00B2585F" w:rsidRPr="00596BB2">
        <w:rPr>
          <w:rFonts w:asciiTheme="minorHAnsi" w:eastAsia="Times New Roman" w:hAnsiTheme="minorHAnsi" w:cstheme="minorHAnsi"/>
          <w:lang w:val="id-ID" w:eastAsia="id-ID"/>
        </w:rPr>
        <w:t>abilities</w:t>
      </w:r>
      <w:proofErr w:type="spellEnd"/>
      <w:r>
        <w:rPr>
          <w:rFonts w:asciiTheme="minorHAnsi" w:eastAsia="Times New Roman" w:hAnsiTheme="minorHAnsi" w:cstheme="minorHAnsi"/>
          <w:lang w:val="en-US" w:eastAsia="id-ID"/>
        </w:rPr>
        <w:t>.</w:t>
      </w:r>
    </w:p>
    <w:p w14:paraId="46996AF5" w14:textId="77777777" w:rsidR="00B2585F" w:rsidRDefault="00B2585F" w:rsidP="008160D5">
      <w:pPr>
        <w:spacing w:after="0" w:line="240" w:lineRule="auto"/>
        <w:ind w:firstLine="274"/>
        <w:jc w:val="both"/>
        <w:rPr>
          <w:rFonts w:asciiTheme="minorHAnsi" w:eastAsia="Times New Roman" w:hAnsiTheme="minorHAnsi" w:cstheme="minorHAnsi"/>
          <w:lang w:val="id-ID" w:eastAsia="id-ID"/>
        </w:rPr>
      </w:pPr>
    </w:p>
    <w:p w14:paraId="1F4686AD" w14:textId="472E6CBF" w:rsidR="00180DA7" w:rsidRDefault="00180DA7" w:rsidP="008160D5">
      <w:pPr>
        <w:pBdr>
          <w:top w:val="nil"/>
          <w:left w:val="nil"/>
          <w:bottom w:val="nil"/>
          <w:right w:val="nil"/>
          <w:between w:val="nil"/>
        </w:pBdr>
        <w:spacing w:after="0" w:line="240" w:lineRule="auto"/>
        <w:jc w:val="both"/>
        <w:rPr>
          <w:b/>
          <w:lang w:val="en-US"/>
        </w:rPr>
      </w:pPr>
      <w:r>
        <w:rPr>
          <w:b/>
          <w:lang w:val="en-US"/>
        </w:rPr>
        <w:t>2</w:t>
      </w:r>
      <w:r w:rsidRPr="008D069B">
        <w:rPr>
          <w:b/>
          <w:lang w:val="en-US"/>
        </w:rPr>
        <w:t>.</w:t>
      </w:r>
      <w:r w:rsidR="00D94E28">
        <w:rPr>
          <w:b/>
          <w:lang w:val="en-US"/>
        </w:rPr>
        <w:t>2</w:t>
      </w:r>
      <w:r w:rsidRPr="008D069B">
        <w:rPr>
          <w:b/>
          <w:lang w:val="en-US"/>
        </w:rPr>
        <w:t xml:space="preserve">. </w:t>
      </w:r>
      <w:r w:rsidR="00A22F9D">
        <w:rPr>
          <w:b/>
          <w:lang w:val="en-US"/>
        </w:rPr>
        <w:t>Self-Management</w:t>
      </w:r>
    </w:p>
    <w:p w14:paraId="598A1F42" w14:textId="77777777" w:rsidR="00B2585F" w:rsidRPr="00596BB2" w:rsidRDefault="00B2585F" w:rsidP="00AF706B">
      <w:pPr>
        <w:pBdr>
          <w:top w:val="nil"/>
          <w:left w:val="nil"/>
          <w:bottom w:val="nil"/>
          <w:right w:val="nil"/>
          <w:between w:val="nil"/>
        </w:pBdr>
        <w:spacing w:after="0" w:line="240" w:lineRule="auto"/>
        <w:ind w:firstLine="270"/>
        <w:jc w:val="both"/>
        <w:rPr>
          <w:rFonts w:asciiTheme="minorHAnsi" w:hAnsiTheme="minorHAnsi" w:cstheme="minorHAnsi"/>
          <w:i/>
          <w:iCs/>
        </w:rPr>
      </w:pPr>
      <w:proofErr w:type="spellStart"/>
      <w:r w:rsidRPr="00596BB2">
        <w:rPr>
          <w:rFonts w:asciiTheme="minorHAnsi" w:hAnsiTheme="minorHAnsi" w:cstheme="minorHAnsi"/>
          <w:bCs/>
          <w:lang w:val="en-US"/>
        </w:rPr>
        <w:t>Gie</w:t>
      </w:r>
      <w:proofErr w:type="spellEnd"/>
      <w:r w:rsidRPr="00596BB2">
        <w:rPr>
          <w:rFonts w:asciiTheme="minorHAnsi" w:hAnsiTheme="minorHAnsi" w:cstheme="minorHAnsi"/>
          <w:bCs/>
          <w:lang w:val="en-US"/>
        </w:rPr>
        <w:t xml:space="preserve"> explains self-management as an effort to push oneself to progress, manage abilities, and develop life. Susanto believes that self-regulation can encourage the desire to fulfil needs, influencing a person's academic success. </w:t>
      </w:r>
      <w:proofErr w:type="spellStart"/>
      <w:r w:rsidRPr="00596BB2">
        <w:rPr>
          <w:rFonts w:asciiTheme="minorHAnsi" w:hAnsiTheme="minorHAnsi" w:cstheme="minorHAnsi"/>
          <w:bCs/>
          <w:lang w:val="en-US"/>
        </w:rPr>
        <w:t>Adricondro</w:t>
      </w:r>
      <w:proofErr w:type="spellEnd"/>
      <w:r w:rsidRPr="00596BB2">
        <w:rPr>
          <w:rFonts w:asciiTheme="minorHAnsi" w:hAnsiTheme="minorHAnsi" w:cstheme="minorHAnsi"/>
          <w:bCs/>
          <w:lang w:val="en-US"/>
        </w:rPr>
        <w:t xml:space="preserve"> said self-management is a person's ability to monitor themselves, including feelings, thoughts, and </w:t>
      </w:r>
      <w:proofErr w:type="spellStart"/>
      <w:r w:rsidRPr="00596BB2">
        <w:rPr>
          <w:rFonts w:asciiTheme="minorHAnsi" w:hAnsiTheme="minorHAnsi" w:cstheme="minorHAnsi"/>
          <w:bCs/>
          <w:lang w:val="en-US"/>
        </w:rPr>
        <w:t>behaviour</w:t>
      </w:r>
      <w:proofErr w:type="spellEnd"/>
      <w:r w:rsidRPr="00596BB2">
        <w:rPr>
          <w:rFonts w:asciiTheme="minorHAnsi" w:hAnsiTheme="minorHAnsi" w:cstheme="minorHAnsi"/>
          <w:bCs/>
          <w:lang w:val="en-US"/>
        </w:rPr>
        <w:t xml:space="preserve">, to achieve learning goals </w:t>
      </w:r>
      <w:r w:rsidRPr="00596BB2">
        <w:rPr>
          <w:rStyle w:val="FootnoteReference"/>
          <w:rFonts w:asciiTheme="minorHAnsi" w:hAnsiTheme="minorHAnsi" w:cstheme="minorHAnsi"/>
          <w:color w:val="00B0F0"/>
        </w:rPr>
        <w:fldChar w:fldCharType="begin" w:fldLock="1"/>
      </w:r>
      <w:r w:rsidRPr="00596BB2">
        <w:rPr>
          <w:rFonts w:asciiTheme="minorHAnsi" w:hAnsiTheme="minorHAnsi" w:cstheme="minorHAnsi"/>
          <w:color w:val="00B0F0"/>
        </w:rPr>
        <w:instrText>ADDIN CSL_CITATION {"citationItems":[{"id":"ITEM-1","itemData":{"author":[{"dropping-particle":"","family":"Welha","given":"Three Putri","non-dropping-particle":"","parse-names":false,"suffix":""}],"id":"ITEM-1","issued":{"date-parts":[["2021"]]},"publisher":"Skripsi, Universitas Mulawarman","title":"Pengaruh Motivasi Berprestasi dan Manajemen Diri terhadap Prokrastinasi Akademik pada Mahasiswa yang Berkuliah Sambil Bekerja","type":"thesis"},"locator":"27","uris":["http://www.mendeley.com/documents/?uuid=3dabbac3-a327-4bb7-a3c1-1612803fcebd"]}],"mendeley":{"formattedCitation":"(Welha, 2021, p. 27)","plainTextFormattedCitation":"(Welha, 2021, p. 27)","previouslyFormattedCitation":"(Welha, 2021, p. 27)"},"properties":{"noteIndex":0},"schema":"https://github.com/citation-style-language/schema/raw/master/csl-citation.json"}</w:instrText>
      </w:r>
      <w:r w:rsidRPr="00596BB2">
        <w:rPr>
          <w:rStyle w:val="FootnoteReference"/>
          <w:rFonts w:asciiTheme="minorHAnsi" w:hAnsiTheme="minorHAnsi" w:cstheme="minorHAnsi"/>
          <w:color w:val="00B0F0"/>
        </w:rPr>
        <w:fldChar w:fldCharType="separate"/>
      </w:r>
      <w:r w:rsidRPr="00596BB2">
        <w:rPr>
          <w:rFonts w:asciiTheme="minorHAnsi" w:hAnsiTheme="minorHAnsi" w:cstheme="minorHAnsi"/>
          <w:bCs/>
          <w:noProof/>
          <w:color w:val="00B0F0"/>
          <w:lang w:val="id-ID"/>
        </w:rPr>
        <w:t>(Welha, 2021, p. 27)</w:t>
      </w:r>
      <w:r w:rsidRPr="00596BB2">
        <w:rPr>
          <w:rStyle w:val="FootnoteReference"/>
          <w:rFonts w:asciiTheme="minorHAnsi" w:hAnsiTheme="minorHAnsi" w:cstheme="minorHAnsi"/>
          <w:color w:val="00B0F0"/>
        </w:rPr>
        <w:fldChar w:fldCharType="end"/>
      </w:r>
      <w:r w:rsidRPr="00596BB2">
        <w:rPr>
          <w:rFonts w:asciiTheme="minorHAnsi" w:hAnsiTheme="minorHAnsi" w:cstheme="minorHAnsi"/>
        </w:rPr>
        <w:t xml:space="preserve">. </w:t>
      </w:r>
      <w:r w:rsidRPr="00596BB2">
        <w:rPr>
          <w:rFonts w:asciiTheme="minorHAnsi" w:hAnsiTheme="minorHAnsi" w:cstheme="minorHAnsi"/>
          <w:bCs/>
          <w:lang w:val="en-US"/>
        </w:rPr>
        <w:t xml:space="preserve">This research focuses on academic self-management, </w:t>
      </w:r>
      <w:proofErr w:type="spellStart"/>
      <w:r w:rsidRPr="00596BB2">
        <w:rPr>
          <w:rFonts w:asciiTheme="minorHAnsi" w:hAnsiTheme="minorHAnsi" w:cstheme="minorHAnsi"/>
          <w:bCs/>
          <w:lang w:val="en-US"/>
        </w:rPr>
        <w:t>popularised</w:t>
      </w:r>
      <w:proofErr w:type="spellEnd"/>
      <w:r w:rsidRPr="00596BB2">
        <w:rPr>
          <w:rFonts w:asciiTheme="minorHAnsi" w:hAnsiTheme="minorHAnsi" w:cstheme="minorHAnsi"/>
          <w:bCs/>
          <w:lang w:val="en-US"/>
        </w:rPr>
        <w:t xml:space="preserve"> by Myron H. Dembo: "Academic self-management is a key term in understanding successful learners. Academic self-management controls the factors that influence their learning" </w:t>
      </w:r>
      <w:r w:rsidRPr="00596BB2">
        <w:rPr>
          <w:rStyle w:val="FootnoteReference"/>
          <w:rFonts w:asciiTheme="minorHAnsi" w:hAnsiTheme="minorHAnsi" w:cstheme="minorHAnsi"/>
          <w:i/>
          <w:iCs/>
          <w:color w:val="00B0F0"/>
        </w:rPr>
        <w:fldChar w:fldCharType="begin" w:fldLock="1"/>
      </w:r>
      <w:r w:rsidRPr="00596BB2">
        <w:rPr>
          <w:rFonts w:asciiTheme="minorHAnsi" w:hAnsiTheme="minorHAnsi" w:cstheme="minorHAnsi"/>
          <w:iCs/>
          <w:color w:val="00B0F0"/>
        </w:rPr>
        <w:instrText>ADDIN CSL_CITATION {"citationItems":[{"id":"ITEM-1","itemData":{"DOI":"https://doi.org/10.4324/9780429400711","author":[{"dropping-particle":"","family":"Seli","given":"Helena","non-dropping-particle":"","parse-names":false,"suffix":""},{"dropping-particle":"","family":"Dembo","given":"Myron H.","non-dropping-particle":"","parse-names":false,"suffix":""}],"id":"ITEM-1","issued":{"date-parts":[["2020"]]},"publisher":"Routledge","publisher-place":"New York","title":"Motivation and Learning Strategies for College Success: A Focus on Self-Regulated Learning Sixth Edition","type":"book"},"locator":"3","uris":["http://www.mendeley.com/documents/?uuid=e882bf3e-f468-4d0f-b9c9-ef1c6fc24f12"]}],"mendeley":{"formattedCitation":"(Seli &amp; Dembo, 2020, p. 3)","plainTextFormattedCitation":"(Seli &amp; Dembo, 2020, p. 3)","previouslyFormattedCitation":"(Seli &amp; Dembo, 2020, p. 3)"},"properties":{"noteIndex":0},"schema":"https://github.com/citation-style-language/schema/raw/master/csl-citation.json"}</w:instrText>
      </w:r>
      <w:r w:rsidRPr="00596BB2">
        <w:rPr>
          <w:rStyle w:val="FootnoteReference"/>
          <w:rFonts w:asciiTheme="minorHAnsi" w:hAnsiTheme="minorHAnsi" w:cstheme="minorHAnsi"/>
          <w:i/>
          <w:iCs/>
          <w:color w:val="00B0F0"/>
        </w:rPr>
        <w:fldChar w:fldCharType="separate"/>
      </w:r>
      <w:r w:rsidRPr="00596BB2">
        <w:rPr>
          <w:rFonts w:asciiTheme="minorHAnsi" w:hAnsiTheme="minorHAnsi" w:cstheme="minorHAnsi"/>
          <w:bCs/>
          <w:iCs/>
          <w:noProof/>
          <w:color w:val="00B0F0"/>
          <w:lang w:val="id-ID"/>
        </w:rPr>
        <w:t>(Seli &amp; Dembo, 2020, p. 3)</w:t>
      </w:r>
      <w:r w:rsidRPr="00596BB2">
        <w:rPr>
          <w:rStyle w:val="FootnoteReference"/>
          <w:rFonts w:asciiTheme="minorHAnsi" w:hAnsiTheme="minorHAnsi" w:cstheme="minorHAnsi"/>
          <w:i/>
          <w:iCs/>
          <w:color w:val="00B0F0"/>
        </w:rPr>
        <w:fldChar w:fldCharType="end"/>
      </w:r>
      <w:r w:rsidRPr="00596BB2">
        <w:rPr>
          <w:rFonts w:asciiTheme="minorHAnsi" w:hAnsiTheme="minorHAnsi" w:cstheme="minorHAnsi"/>
          <w:i/>
          <w:iCs/>
        </w:rPr>
        <w:t xml:space="preserve">. </w:t>
      </w:r>
    </w:p>
    <w:p w14:paraId="01AFD264" w14:textId="5041614A" w:rsidR="00B2585F" w:rsidRPr="00596BB2" w:rsidRDefault="00B2585F" w:rsidP="00A019D1">
      <w:pPr>
        <w:pBdr>
          <w:top w:val="nil"/>
          <w:left w:val="nil"/>
          <w:bottom w:val="nil"/>
          <w:right w:val="nil"/>
          <w:between w:val="nil"/>
        </w:pBdr>
        <w:spacing w:after="240" w:line="240" w:lineRule="auto"/>
        <w:ind w:firstLine="270"/>
        <w:jc w:val="both"/>
        <w:rPr>
          <w:rFonts w:asciiTheme="minorHAnsi" w:hAnsiTheme="minorHAnsi" w:cstheme="minorHAnsi"/>
          <w:bCs/>
          <w:lang w:val="en-US"/>
        </w:rPr>
      </w:pPr>
      <w:r w:rsidRPr="00596BB2">
        <w:rPr>
          <w:rFonts w:asciiTheme="minorHAnsi" w:hAnsiTheme="minorHAnsi" w:cstheme="minorHAnsi"/>
          <w:bCs/>
          <w:lang w:val="en-US"/>
        </w:rPr>
        <w:t xml:space="preserve">According to Dembo, there are five dimensions of academic self-management. The first is motivation, consisting of beliefs, goals, hopes, and perceptions. Second are learning methods, </w:t>
      </w:r>
      <w:r w:rsidRPr="00596BB2">
        <w:rPr>
          <w:rFonts w:asciiTheme="minorHAnsi" w:hAnsiTheme="minorHAnsi" w:cstheme="minorHAnsi"/>
          <w:bCs/>
          <w:lang w:val="en-US"/>
        </w:rPr>
        <w:lastRenderedPageBreak/>
        <w:t xml:space="preserve">where appropriate learning methods and styles are needed to achieve optimal results. Third is the use of time, which </w:t>
      </w:r>
      <w:proofErr w:type="spellStart"/>
      <w:r w:rsidRPr="00596BB2">
        <w:rPr>
          <w:rFonts w:asciiTheme="minorHAnsi" w:hAnsiTheme="minorHAnsi" w:cstheme="minorHAnsi"/>
          <w:bCs/>
          <w:lang w:val="en-US"/>
        </w:rPr>
        <w:t>emphasises</w:t>
      </w:r>
      <w:proofErr w:type="spellEnd"/>
      <w:r w:rsidRPr="00596BB2">
        <w:rPr>
          <w:rFonts w:asciiTheme="minorHAnsi" w:hAnsiTheme="minorHAnsi" w:cstheme="minorHAnsi"/>
          <w:bCs/>
          <w:lang w:val="en-US"/>
        </w:rPr>
        <w:t xml:space="preserve"> the importance of time management in achieving academic success. Fourth, the physical and social environment, where high-achieving individuals often ask for help from others, creates a good learning environment. Individuals with this condition know when they should work alone or collaborate with others. Fifth, performance is when a person's characteristics can be monitored and controlled between initial goals and results </w:t>
      </w:r>
      <w:r w:rsidRPr="00596BB2">
        <w:rPr>
          <w:rStyle w:val="FootnoteReference"/>
          <w:rFonts w:asciiTheme="minorHAnsi" w:hAnsiTheme="minorHAnsi" w:cstheme="minorHAnsi"/>
          <w:color w:val="00B0F0"/>
        </w:rPr>
        <w:fldChar w:fldCharType="begin" w:fldLock="1"/>
      </w:r>
      <w:r w:rsidRPr="00596BB2">
        <w:rPr>
          <w:rFonts w:asciiTheme="minorHAnsi" w:hAnsiTheme="minorHAnsi" w:cstheme="minorHAnsi"/>
          <w:color w:val="00B0F0"/>
        </w:rPr>
        <w:instrText>ADDIN CSL_CITATION {"citationItems":[{"id":"ITEM-1","itemData":{"DOI":"https://doi.org/10.4324/9780429400711","author":[{"dropping-particle":"","family":"Seli","given":"Helena","non-dropping-particle":"","parse-names":false,"suffix":""},{"dropping-particle":"","family":"Dembo","given":"Myron H.","non-dropping-particle":"","parse-names":false,"suffix":""}],"id":"ITEM-1","issued":{"date-parts":[["2020"]]},"publisher":"Routledge","publisher-place":"New York","title":"Motivation and Learning Strategies for College Success: A Focus on Self-Regulated Learning Sixth Edition","type":"book"},"locator":"7-12","uris":["http://www.mendeley.com/documents/?uuid=e882bf3e-f468-4d0f-b9c9-ef1c6fc24f12"]}],"mendeley":{"formattedCitation":"(Seli &amp; Dembo, 2020, pp. 7–12)","plainTextFormattedCitation":"(Seli &amp; Dembo, 2020, pp. 7–12)","previouslyFormattedCitation":"(Seli &amp; Dembo, 2020, pp. 7–12)"},"properties":{"noteIndex":0},"schema":"https://github.com/citation-style-language/schema/raw/master/csl-citation.json"}</w:instrText>
      </w:r>
      <w:r w:rsidRPr="00596BB2">
        <w:rPr>
          <w:rStyle w:val="FootnoteReference"/>
          <w:rFonts w:asciiTheme="minorHAnsi" w:hAnsiTheme="minorHAnsi" w:cstheme="minorHAnsi"/>
          <w:color w:val="00B0F0"/>
        </w:rPr>
        <w:fldChar w:fldCharType="separate"/>
      </w:r>
      <w:r w:rsidRPr="00596BB2">
        <w:rPr>
          <w:rFonts w:asciiTheme="minorHAnsi" w:hAnsiTheme="minorHAnsi" w:cstheme="minorHAnsi"/>
          <w:bCs/>
          <w:noProof/>
          <w:color w:val="00B0F0"/>
          <w:lang w:val="id-ID"/>
        </w:rPr>
        <w:t>(Seli &amp; Dembo, 2020, pp. 7–12)</w:t>
      </w:r>
      <w:r w:rsidRPr="00596BB2">
        <w:rPr>
          <w:rStyle w:val="FootnoteReference"/>
          <w:rFonts w:asciiTheme="minorHAnsi" w:hAnsiTheme="minorHAnsi" w:cstheme="minorHAnsi"/>
          <w:color w:val="00B0F0"/>
        </w:rPr>
        <w:fldChar w:fldCharType="end"/>
      </w:r>
      <w:r w:rsidRPr="00596BB2">
        <w:rPr>
          <w:rFonts w:asciiTheme="minorHAnsi" w:hAnsiTheme="minorHAnsi" w:cstheme="minorHAnsi"/>
        </w:rPr>
        <w:t>.</w:t>
      </w:r>
    </w:p>
    <w:p w14:paraId="309469A1" w14:textId="77777777" w:rsidR="00450504" w:rsidRPr="007E2FEF" w:rsidRDefault="00450504" w:rsidP="007E2FEF">
      <w:pPr>
        <w:spacing w:after="0" w:line="240" w:lineRule="auto"/>
        <w:rPr>
          <w:rFonts w:ascii="Times New Roman" w:eastAsia="Times New Roman" w:hAnsi="Times New Roman" w:cs="Times New Roman"/>
          <w:lang w:val="id-ID" w:eastAsia="id-ID"/>
        </w:rPr>
      </w:pPr>
    </w:p>
    <w:p w14:paraId="68688AD8" w14:textId="40B9818A" w:rsidR="00F83985" w:rsidRPr="00FA6504" w:rsidRDefault="00E211AA" w:rsidP="00FA6504">
      <w:pPr>
        <w:spacing w:line="240" w:lineRule="auto"/>
        <w:jc w:val="both"/>
        <w:rPr>
          <w:b/>
          <w:lang w:val="en-US"/>
        </w:rPr>
      </w:pPr>
      <w:r w:rsidRPr="008D069B">
        <w:rPr>
          <w:b/>
          <w:lang w:val="en-US"/>
        </w:rPr>
        <w:t xml:space="preserve">3. </w:t>
      </w:r>
      <w:r w:rsidR="00180DA7">
        <w:rPr>
          <w:b/>
          <w:lang w:val="en-US"/>
        </w:rPr>
        <w:t>METHOD</w:t>
      </w:r>
    </w:p>
    <w:p w14:paraId="4A0407EA" w14:textId="06913980" w:rsidR="00CD065D" w:rsidRPr="00596BB2" w:rsidRDefault="00CD065D" w:rsidP="000168C0">
      <w:pPr>
        <w:pStyle w:val="1PENULIS"/>
        <w:spacing w:line="240" w:lineRule="auto"/>
        <w:ind w:firstLine="284"/>
        <w:jc w:val="both"/>
        <w:rPr>
          <w:rFonts w:asciiTheme="minorHAnsi" w:hAnsiTheme="minorHAnsi" w:cstheme="minorHAnsi"/>
          <w:i w:val="0"/>
          <w:iCs/>
          <w:lang w:val="id-ID" w:eastAsia="id-ID"/>
        </w:rPr>
      </w:pPr>
      <w:r w:rsidRPr="00596BB2">
        <w:rPr>
          <w:rFonts w:asciiTheme="minorHAnsi" w:hAnsiTheme="minorHAnsi" w:cstheme="minorHAnsi"/>
          <w:i w:val="0"/>
          <w:iCs/>
          <w:lang w:val="id-ID" w:eastAsia="id-ID"/>
        </w:rPr>
        <w:t xml:space="preserve">In </w:t>
      </w:r>
      <w:proofErr w:type="spellStart"/>
      <w:r w:rsidRPr="00596BB2">
        <w:rPr>
          <w:rFonts w:asciiTheme="minorHAnsi" w:hAnsiTheme="minorHAnsi" w:cstheme="minorHAnsi"/>
          <w:i w:val="0"/>
          <w:iCs/>
          <w:lang w:val="id-ID" w:eastAsia="id-ID"/>
        </w:rPr>
        <w:t>this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field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of</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research</w:t>
      </w:r>
      <w:proofErr w:type="spellEnd"/>
      <w:r w:rsidRPr="00596BB2">
        <w:rPr>
          <w:rFonts w:asciiTheme="minorHAnsi" w:hAnsiTheme="minorHAnsi" w:cstheme="minorHAnsi"/>
          <w:i w:val="0"/>
          <w:iCs/>
          <w:lang w:val="id-ID" w:eastAsia="id-ID"/>
        </w:rPr>
        <w:t xml:space="preserve">, a </w:t>
      </w:r>
      <w:proofErr w:type="spellStart"/>
      <w:r w:rsidRPr="00596BB2">
        <w:rPr>
          <w:rFonts w:asciiTheme="minorHAnsi" w:hAnsiTheme="minorHAnsi" w:cstheme="minorHAnsi"/>
          <w:i w:val="0"/>
          <w:iCs/>
          <w:lang w:val="id-ID" w:eastAsia="id-ID"/>
        </w:rPr>
        <w:t>quantitative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approach</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was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used</w:t>
      </w:r>
      <w:proofErr w:type="spellEnd"/>
      <w:r w:rsidRPr="00596BB2">
        <w:rPr>
          <w:rFonts w:asciiTheme="minorHAnsi" w:hAnsiTheme="minorHAnsi" w:cstheme="minorHAnsi"/>
          <w:i w:val="0"/>
          <w:iCs/>
          <w:lang w:val="id-ID" w:eastAsia="id-ID"/>
        </w:rPr>
        <w:t xml:space="preserve">. A </w:t>
      </w:r>
      <w:proofErr w:type="spellStart"/>
      <w:r w:rsidRPr="00596BB2">
        <w:rPr>
          <w:rFonts w:asciiTheme="minorHAnsi" w:hAnsiTheme="minorHAnsi" w:cstheme="minorHAnsi"/>
          <w:i w:val="0"/>
          <w:iCs/>
          <w:lang w:val="id-ID" w:eastAsia="id-ID"/>
        </w:rPr>
        <w:t>survey</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design</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was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carried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out</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and</w:t>
      </w:r>
      <w:proofErr w:type="spellEnd"/>
      <w:r w:rsidRPr="00596BB2">
        <w:rPr>
          <w:rFonts w:asciiTheme="minorHAnsi" w:hAnsiTheme="minorHAnsi" w:cstheme="minorHAnsi"/>
          <w:i w:val="0"/>
          <w:iCs/>
          <w:lang w:val="id-ID" w:eastAsia="id-ID"/>
        </w:rPr>
        <w:t xml:space="preserve"> data </w:t>
      </w:r>
      <w:proofErr w:type="spellStart"/>
      <w:r w:rsidRPr="00596BB2">
        <w:rPr>
          <w:rFonts w:asciiTheme="minorHAnsi" w:hAnsiTheme="minorHAnsi" w:cstheme="minorHAnsi"/>
          <w:i w:val="0"/>
          <w:iCs/>
          <w:lang w:val="id-ID" w:eastAsia="id-ID"/>
        </w:rPr>
        <w:t>was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collected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using</w:t>
      </w:r>
      <w:proofErr w:type="spellEnd"/>
      <w:r w:rsidRPr="00596BB2">
        <w:rPr>
          <w:rFonts w:asciiTheme="minorHAnsi" w:hAnsiTheme="minorHAnsi" w:cstheme="minorHAnsi"/>
          <w:i w:val="0"/>
          <w:iCs/>
          <w:lang w:val="id-ID" w:eastAsia="id-ID"/>
        </w:rPr>
        <w:t xml:space="preserve"> a </w:t>
      </w:r>
      <w:proofErr w:type="spellStart"/>
      <w:r w:rsidRPr="00596BB2">
        <w:rPr>
          <w:rFonts w:asciiTheme="minorHAnsi" w:hAnsiTheme="minorHAnsi" w:cstheme="minorHAnsi"/>
          <w:i w:val="0"/>
          <w:iCs/>
          <w:lang w:val="id-ID" w:eastAsia="id-ID"/>
        </w:rPr>
        <w:t>questionnaire</w:t>
      </w:r>
      <w:proofErr w:type="spellEnd"/>
      <w:r w:rsidRPr="00596BB2">
        <w:rPr>
          <w:rFonts w:asciiTheme="minorHAnsi" w:hAnsiTheme="minorHAnsi" w:cstheme="minorHAnsi"/>
          <w:i w:val="0"/>
          <w:iCs/>
          <w:lang w:val="id-ID" w:eastAsia="id-ID"/>
        </w:rPr>
        <w:t xml:space="preserve">, not a </w:t>
      </w:r>
      <w:proofErr w:type="spellStart"/>
      <w:r w:rsidRPr="00596BB2">
        <w:rPr>
          <w:rFonts w:asciiTheme="minorHAnsi" w:hAnsiTheme="minorHAnsi" w:cstheme="minorHAnsi"/>
          <w:i w:val="0"/>
          <w:iCs/>
          <w:lang w:val="id-ID" w:eastAsia="id-ID"/>
        </w:rPr>
        <w:t>tool</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practised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by</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the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researcher</w:t>
      </w:r>
      <w:proofErr w:type="spellEnd"/>
      <w:r w:rsidRPr="00596BB2">
        <w:rPr>
          <w:rFonts w:asciiTheme="minorHAnsi" w:hAnsiTheme="minorHAnsi" w:cstheme="minorHAnsi"/>
          <w:i w:val="0"/>
          <w:iCs/>
          <w:lang w:val="id-ID" w:eastAsia="id-ID"/>
        </w:rPr>
        <w:t xml:space="preserve">. The </w:t>
      </w:r>
      <w:proofErr w:type="spellStart"/>
      <w:r w:rsidRPr="00596BB2">
        <w:rPr>
          <w:rFonts w:asciiTheme="minorHAnsi" w:hAnsiTheme="minorHAnsi" w:cstheme="minorHAnsi"/>
          <w:i w:val="0"/>
          <w:iCs/>
          <w:lang w:val="id-ID" w:eastAsia="id-ID"/>
        </w:rPr>
        <w:t>population</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of</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this</w:t>
      </w:r>
      <w:proofErr w:type="spellEnd"/>
      <w:r w:rsidRPr="00596BB2">
        <w:rPr>
          <w:rFonts w:asciiTheme="minorHAnsi" w:hAnsiTheme="minorHAnsi" w:cstheme="minorHAnsi"/>
          <w:i w:val="0"/>
          <w:iCs/>
          <w:lang w:val="id-ID" w:eastAsia="id-ID"/>
        </w:rPr>
        <w:t xml:space="preserve"> study </w:t>
      </w:r>
      <w:proofErr w:type="spellStart"/>
      <w:r w:rsidRPr="00596BB2">
        <w:rPr>
          <w:rFonts w:asciiTheme="minorHAnsi" w:hAnsiTheme="minorHAnsi" w:cstheme="minorHAnsi"/>
          <w:i w:val="0"/>
          <w:iCs/>
          <w:lang w:val="id-ID" w:eastAsia="id-ID"/>
        </w:rPr>
        <w:t>was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all</w:t>
      </w:r>
      <w:proofErr w:type="spellEnd"/>
      <w:r w:rsidRPr="00596BB2">
        <w:rPr>
          <w:rFonts w:asciiTheme="minorHAnsi" w:hAnsiTheme="minorHAnsi" w:cstheme="minorHAnsi"/>
          <w:i w:val="0"/>
          <w:iCs/>
          <w:lang w:val="id-ID" w:eastAsia="id-ID"/>
        </w:rPr>
        <w:t xml:space="preserve"> 387 </w:t>
      </w:r>
      <w:proofErr w:type="spellStart"/>
      <w:r w:rsidRPr="00596BB2">
        <w:rPr>
          <w:rFonts w:asciiTheme="minorHAnsi" w:hAnsiTheme="minorHAnsi" w:cstheme="minorHAnsi"/>
          <w:i w:val="0"/>
          <w:iCs/>
          <w:lang w:val="id-ID" w:eastAsia="id-ID"/>
        </w:rPr>
        <w:t>students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of</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the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Tadris</w:t>
      </w:r>
      <w:proofErr w:type="spellEnd"/>
      <w:r w:rsidRPr="00596BB2">
        <w:rPr>
          <w:rFonts w:asciiTheme="minorHAnsi" w:hAnsiTheme="minorHAnsi" w:cstheme="minorHAnsi"/>
          <w:i w:val="0"/>
          <w:iCs/>
          <w:lang w:val="id-ID" w:eastAsia="id-ID"/>
        </w:rPr>
        <w:t xml:space="preserve"> IPS IAIN Kudus Study </w:t>
      </w:r>
      <w:proofErr w:type="spellStart"/>
      <w:r w:rsidRPr="00596BB2">
        <w:rPr>
          <w:rFonts w:asciiTheme="minorHAnsi" w:hAnsiTheme="minorHAnsi" w:cstheme="minorHAnsi"/>
          <w:i w:val="0"/>
          <w:iCs/>
          <w:lang w:val="id-ID" w:eastAsia="id-ID"/>
        </w:rPr>
        <w:t>Programme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class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of</w:t>
      </w:r>
      <w:proofErr w:type="spellEnd"/>
      <w:r w:rsidRPr="00596BB2">
        <w:rPr>
          <w:rFonts w:asciiTheme="minorHAnsi" w:hAnsiTheme="minorHAnsi" w:cstheme="minorHAnsi"/>
          <w:i w:val="0"/>
          <w:iCs/>
          <w:lang w:val="id-ID" w:eastAsia="id-ID"/>
        </w:rPr>
        <w:t xml:space="preserve"> 2020, 2021, 2022, </w:t>
      </w:r>
      <w:proofErr w:type="spellStart"/>
      <w:r w:rsidRPr="00596BB2">
        <w:rPr>
          <w:rFonts w:asciiTheme="minorHAnsi" w:hAnsiTheme="minorHAnsi" w:cstheme="minorHAnsi"/>
          <w:i w:val="0"/>
          <w:iCs/>
          <w:lang w:val="id-ID" w:eastAsia="id-ID"/>
        </w:rPr>
        <w:t>and</w:t>
      </w:r>
      <w:proofErr w:type="spellEnd"/>
      <w:r w:rsidRPr="00596BB2">
        <w:rPr>
          <w:rFonts w:asciiTheme="minorHAnsi" w:hAnsiTheme="minorHAnsi" w:cstheme="minorHAnsi"/>
          <w:i w:val="0"/>
          <w:iCs/>
          <w:lang w:val="id-ID" w:eastAsia="id-ID"/>
        </w:rPr>
        <w:t xml:space="preserve"> 2023. Sampling </w:t>
      </w:r>
      <w:proofErr w:type="spellStart"/>
      <w:r w:rsidRPr="00596BB2">
        <w:rPr>
          <w:rFonts w:asciiTheme="minorHAnsi" w:hAnsiTheme="minorHAnsi" w:cstheme="minorHAnsi"/>
          <w:i w:val="0"/>
          <w:iCs/>
          <w:lang w:val="id-ID" w:eastAsia="id-ID"/>
        </w:rPr>
        <w:t>was</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carried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out</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using</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probability</w:t>
      </w:r>
      <w:proofErr w:type="spellEnd"/>
      <w:r w:rsidRPr="00596BB2">
        <w:rPr>
          <w:rFonts w:asciiTheme="minorHAnsi" w:hAnsiTheme="minorHAnsi" w:cstheme="minorHAnsi"/>
          <w:i w:val="0"/>
          <w:iCs/>
          <w:lang w:val="id-ID" w:eastAsia="id-ID"/>
        </w:rPr>
        <w:t xml:space="preserve"> sampling, </w:t>
      </w:r>
      <w:proofErr w:type="spellStart"/>
      <w:r w:rsidRPr="00596BB2">
        <w:rPr>
          <w:rFonts w:asciiTheme="minorHAnsi" w:hAnsiTheme="minorHAnsi" w:cstheme="minorHAnsi"/>
          <w:i w:val="0"/>
          <w:iCs/>
          <w:lang w:val="id-ID" w:eastAsia="id-ID"/>
        </w:rPr>
        <w:t>namely</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proportionate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stratified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random</w:t>
      </w:r>
      <w:proofErr w:type="spellEnd"/>
      <w:r w:rsidRPr="00596BB2">
        <w:rPr>
          <w:rFonts w:asciiTheme="minorHAnsi" w:hAnsiTheme="minorHAnsi" w:cstheme="minorHAnsi"/>
          <w:i w:val="0"/>
          <w:iCs/>
          <w:lang w:val="id-ID" w:eastAsia="id-ID"/>
        </w:rPr>
        <w:t xml:space="preserve"> sampling </w:t>
      </w:r>
      <w:proofErr w:type="spellStart"/>
      <w:r w:rsidRPr="00596BB2">
        <w:rPr>
          <w:rFonts w:asciiTheme="minorHAnsi" w:hAnsiTheme="minorHAnsi" w:cstheme="minorHAnsi"/>
          <w:i w:val="0"/>
          <w:iCs/>
          <w:lang w:val="id-ID" w:eastAsia="id-ID"/>
        </w:rPr>
        <w:t>using</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the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Yamane</w:t>
      </w:r>
      <w:proofErr w:type="spellEnd"/>
      <w:r w:rsidRPr="00596BB2">
        <w:rPr>
          <w:rFonts w:asciiTheme="minorHAnsi" w:hAnsiTheme="minorHAnsi" w:cstheme="minorHAnsi"/>
          <w:i w:val="0"/>
          <w:iCs/>
          <w:lang w:val="id-ID" w:eastAsia="id-ID"/>
        </w:rPr>
        <w:t>/</w:t>
      </w:r>
      <w:proofErr w:type="spellStart"/>
      <w:r w:rsidRPr="00596BB2">
        <w:rPr>
          <w:rFonts w:asciiTheme="minorHAnsi" w:hAnsiTheme="minorHAnsi" w:cstheme="minorHAnsi"/>
          <w:i w:val="0"/>
          <w:iCs/>
          <w:lang w:val="id-ID" w:eastAsia="id-ID"/>
        </w:rPr>
        <w:t>Slovin</w:t>
      </w:r>
      <w:proofErr w:type="spellEnd"/>
      <w:r w:rsidRPr="00596BB2">
        <w:rPr>
          <w:rFonts w:asciiTheme="minorHAnsi" w:hAnsiTheme="minorHAnsi" w:cstheme="minorHAnsi"/>
          <w:i w:val="0"/>
          <w:iCs/>
          <w:lang w:val="id-ID" w:eastAsia="id-ID"/>
        </w:rPr>
        <w:t xml:space="preserve"> formula, </w:t>
      </w:r>
      <w:proofErr w:type="spellStart"/>
      <w:r w:rsidRPr="00596BB2">
        <w:rPr>
          <w:rFonts w:asciiTheme="minorHAnsi" w:hAnsiTheme="minorHAnsi" w:cstheme="minorHAnsi"/>
          <w:i w:val="0"/>
          <w:iCs/>
          <w:lang w:val="id-ID" w:eastAsia="id-ID"/>
        </w:rPr>
        <w:t>then</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calculated</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using</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the</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proportional</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allocation</w:t>
      </w:r>
      <w:proofErr w:type="spellEnd"/>
      <w:r w:rsidRPr="00596BB2">
        <w:rPr>
          <w:rFonts w:asciiTheme="minorHAnsi" w:hAnsiTheme="minorHAnsi" w:cstheme="minorHAnsi"/>
          <w:i w:val="0"/>
          <w:iCs/>
          <w:lang w:val="id-ID" w:eastAsia="id-ID"/>
        </w:rPr>
        <w:t xml:space="preserve"> formula, </w:t>
      </w:r>
      <w:proofErr w:type="spellStart"/>
      <w:r w:rsidRPr="00596BB2">
        <w:rPr>
          <w:rFonts w:asciiTheme="minorHAnsi" w:hAnsiTheme="minorHAnsi" w:cstheme="minorHAnsi"/>
          <w:i w:val="0"/>
          <w:iCs/>
          <w:lang w:val="id-ID" w:eastAsia="id-ID"/>
        </w:rPr>
        <w:t>which</w:t>
      </w:r>
      <w:proofErr w:type="spellEnd"/>
      <w:r w:rsidRPr="00596BB2">
        <w:rPr>
          <w:rFonts w:asciiTheme="minorHAnsi" w:hAnsiTheme="minorHAnsi" w:cstheme="minorHAnsi"/>
          <w:i w:val="0"/>
          <w:iCs/>
          <w:lang w:val="id-ID" w:eastAsia="id-ID"/>
        </w:rPr>
        <w:t xml:space="preserve"> </w:t>
      </w:r>
      <w:proofErr w:type="spellStart"/>
      <w:r w:rsidRPr="00596BB2">
        <w:rPr>
          <w:rFonts w:asciiTheme="minorHAnsi" w:hAnsiTheme="minorHAnsi" w:cstheme="minorHAnsi"/>
          <w:i w:val="0"/>
          <w:iCs/>
          <w:lang w:val="id-ID" w:eastAsia="id-ID"/>
        </w:rPr>
        <w:t>obtained</w:t>
      </w:r>
      <w:proofErr w:type="spellEnd"/>
      <w:r w:rsidRPr="00596BB2">
        <w:rPr>
          <w:rFonts w:asciiTheme="minorHAnsi" w:hAnsiTheme="minorHAnsi" w:cstheme="minorHAnsi"/>
          <w:i w:val="0"/>
          <w:iCs/>
          <w:lang w:val="id-ID" w:eastAsia="id-ID"/>
        </w:rPr>
        <w:t xml:space="preserve"> 198 </w:t>
      </w:r>
      <w:proofErr w:type="spellStart"/>
      <w:r w:rsidRPr="00596BB2">
        <w:rPr>
          <w:rFonts w:asciiTheme="minorHAnsi" w:hAnsiTheme="minorHAnsi" w:cstheme="minorHAnsi"/>
          <w:i w:val="0"/>
          <w:iCs/>
          <w:lang w:val="id-ID" w:eastAsia="id-ID"/>
        </w:rPr>
        <w:t>students</w:t>
      </w:r>
      <w:proofErr w:type="spellEnd"/>
      <w:r w:rsidRPr="00596BB2">
        <w:rPr>
          <w:rFonts w:asciiTheme="minorHAnsi" w:hAnsiTheme="minorHAnsi" w:cstheme="minorHAnsi"/>
          <w:i w:val="0"/>
          <w:iCs/>
          <w:lang w:val="id-ID" w:eastAsia="id-ID"/>
        </w:rPr>
        <w:t xml:space="preserve"> as </w:t>
      </w:r>
      <w:proofErr w:type="spellStart"/>
      <w:r w:rsidRPr="00596BB2">
        <w:rPr>
          <w:rFonts w:asciiTheme="minorHAnsi" w:hAnsiTheme="minorHAnsi" w:cstheme="minorHAnsi"/>
          <w:i w:val="0"/>
          <w:iCs/>
          <w:lang w:val="id-ID" w:eastAsia="id-ID"/>
        </w:rPr>
        <w:t>samples</w:t>
      </w:r>
      <w:proofErr w:type="spellEnd"/>
      <w:r w:rsidRPr="00596BB2">
        <w:rPr>
          <w:rFonts w:asciiTheme="minorHAnsi" w:hAnsiTheme="minorHAnsi" w:cstheme="minorHAnsi"/>
          <w:i w:val="0"/>
          <w:iCs/>
          <w:lang w:val="id-ID" w:eastAsia="id-ID"/>
        </w:rPr>
        <w:t>.</w:t>
      </w:r>
    </w:p>
    <w:p w14:paraId="3395D1CF" w14:textId="4DD8F37F" w:rsidR="00F83985" w:rsidRPr="00CD3086" w:rsidRDefault="006927C8" w:rsidP="00C63977">
      <w:pPr>
        <w:pStyle w:val="1PENULIS"/>
        <w:spacing w:after="0" w:line="240" w:lineRule="auto"/>
        <w:rPr>
          <w:i w:val="0"/>
          <w:iCs/>
        </w:rPr>
      </w:pPr>
      <w:bookmarkStart w:id="2" w:name="_Hlk162865526"/>
      <w:r w:rsidRPr="00CD3086">
        <w:rPr>
          <w:b/>
          <w:bCs/>
          <w:i w:val="0"/>
          <w:iCs/>
        </w:rPr>
        <w:t>Table 1.</w:t>
      </w:r>
      <w:r w:rsidR="00F0252C" w:rsidRPr="00CD3086">
        <w:rPr>
          <w:i w:val="0"/>
          <w:iCs/>
        </w:rPr>
        <w:t xml:space="preserve"> Population and</w:t>
      </w:r>
      <w:r w:rsidRPr="00CD3086">
        <w:rPr>
          <w:i w:val="0"/>
          <w:iCs/>
        </w:rPr>
        <w:t xml:space="preserve"> </w:t>
      </w:r>
      <w:r w:rsidR="008150B3" w:rsidRPr="00CD3086">
        <w:rPr>
          <w:i w:val="0"/>
          <w:iCs/>
        </w:rPr>
        <w:t>Sample</w:t>
      </w:r>
    </w:p>
    <w:tbl>
      <w:tblPr>
        <w:tblStyle w:val="TableGrid"/>
        <w:tblW w:w="0" w:type="auto"/>
        <w:tblLook w:val="04A0" w:firstRow="1" w:lastRow="0" w:firstColumn="1" w:lastColumn="0" w:noHBand="0" w:noVBand="1"/>
      </w:tblPr>
      <w:tblGrid>
        <w:gridCol w:w="3005"/>
        <w:gridCol w:w="3005"/>
        <w:gridCol w:w="3006"/>
      </w:tblGrid>
      <w:tr w:rsidR="00B02AB5" w:rsidRPr="00CD3086" w14:paraId="5835E234" w14:textId="77777777" w:rsidTr="004E5986">
        <w:tc>
          <w:tcPr>
            <w:tcW w:w="3005" w:type="dxa"/>
            <w:tcBorders>
              <w:left w:val="nil"/>
              <w:bottom w:val="single" w:sz="4" w:space="0" w:color="auto"/>
              <w:right w:val="nil"/>
            </w:tcBorders>
          </w:tcPr>
          <w:p w14:paraId="51504B6F" w14:textId="166133B6" w:rsidR="00B02AB5" w:rsidRPr="00CD3086" w:rsidRDefault="00B02AB5" w:rsidP="00FA6504">
            <w:pPr>
              <w:pStyle w:val="ListParagraph"/>
              <w:ind w:left="0"/>
              <w:jc w:val="both"/>
              <w:rPr>
                <w:rFonts w:ascii="Calibri" w:hAnsi="Calibri"/>
                <w:b/>
                <w:bCs/>
                <w:sz w:val="20"/>
                <w:szCs w:val="20"/>
              </w:rPr>
            </w:pPr>
            <w:r w:rsidRPr="00CD3086">
              <w:rPr>
                <w:rFonts w:ascii="Calibri" w:hAnsi="Calibri"/>
                <w:b/>
                <w:bCs/>
                <w:sz w:val="20"/>
                <w:szCs w:val="20"/>
              </w:rPr>
              <w:t>Batch of Students</w:t>
            </w:r>
          </w:p>
        </w:tc>
        <w:tc>
          <w:tcPr>
            <w:tcW w:w="3005" w:type="dxa"/>
            <w:tcBorders>
              <w:left w:val="nil"/>
              <w:bottom w:val="single" w:sz="4" w:space="0" w:color="auto"/>
              <w:right w:val="nil"/>
            </w:tcBorders>
          </w:tcPr>
          <w:p w14:paraId="106ACECC" w14:textId="51461789" w:rsidR="00B02AB5" w:rsidRPr="00CD3086" w:rsidRDefault="004E5986" w:rsidP="00FA6504">
            <w:pPr>
              <w:pStyle w:val="ListParagraph"/>
              <w:ind w:left="0"/>
              <w:jc w:val="both"/>
              <w:rPr>
                <w:rFonts w:ascii="Calibri" w:hAnsi="Calibri"/>
                <w:b/>
                <w:bCs/>
                <w:sz w:val="20"/>
                <w:szCs w:val="20"/>
              </w:rPr>
            </w:pPr>
            <w:r w:rsidRPr="00CD3086">
              <w:rPr>
                <w:rFonts w:ascii="Calibri" w:hAnsi="Calibri"/>
                <w:b/>
                <w:bCs/>
                <w:sz w:val="20"/>
                <w:szCs w:val="20"/>
              </w:rPr>
              <w:t>Number of</w:t>
            </w:r>
            <w:r w:rsidR="00B02AB5" w:rsidRPr="00CD3086">
              <w:rPr>
                <w:rFonts w:ascii="Calibri" w:hAnsi="Calibri"/>
                <w:b/>
                <w:bCs/>
                <w:sz w:val="20"/>
                <w:szCs w:val="20"/>
              </w:rPr>
              <w:t xml:space="preserve"> Students</w:t>
            </w:r>
          </w:p>
        </w:tc>
        <w:tc>
          <w:tcPr>
            <w:tcW w:w="3006" w:type="dxa"/>
            <w:tcBorders>
              <w:left w:val="nil"/>
              <w:bottom w:val="single" w:sz="4" w:space="0" w:color="auto"/>
              <w:right w:val="nil"/>
            </w:tcBorders>
          </w:tcPr>
          <w:p w14:paraId="6C8C2A0B" w14:textId="22546BFA" w:rsidR="00B02AB5" w:rsidRPr="00CD3086" w:rsidRDefault="00B02AB5" w:rsidP="00FA6504">
            <w:pPr>
              <w:pStyle w:val="ListParagraph"/>
              <w:ind w:left="0"/>
              <w:jc w:val="both"/>
              <w:rPr>
                <w:rFonts w:ascii="Calibri" w:hAnsi="Calibri"/>
                <w:b/>
                <w:bCs/>
                <w:sz w:val="20"/>
                <w:szCs w:val="20"/>
              </w:rPr>
            </w:pPr>
            <w:r w:rsidRPr="00CD3086">
              <w:rPr>
                <w:rFonts w:ascii="Calibri" w:hAnsi="Calibri"/>
                <w:b/>
                <w:bCs/>
                <w:sz w:val="20"/>
                <w:szCs w:val="20"/>
              </w:rPr>
              <w:t>Sample</w:t>
            </w:r>
          </w:p>
        </w:tc>
      </w:tr>
      <w:tr w:rsidR="00B02AB5" w:rsidRPr="00CD3086" w14:paraId="2DAC6805" w14:textId="77777777" w:rsidTr="004E5986">
        <w:tc>
          <w:tcPr>
            <w:tcW w:w="3005" w:type="dxa"/>
            <w:tcBorders>
              <w:left w:val="nil"/>
              <w:bottom w:val="nil"/>
              <w:right w:val="nil"/>
            </w:tcBorders>
          </w:tcPr>
          <w:p w14:paraId="2633C89F" w14:textId="1260CC5C"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2020</w:t>
            </w:r>
          </w:p>
        </w:tc>
        <w:tc>
          <w:tcPr>
            <w:tcW w:w="3005" w:type="dxa"/>
            <w:tcBorders>
              <w:left w:val="nil"/>
              <w:bottom w:val="nil"/>
              <w:right w:val="nil"/>
            </w:tcBorders>
          </w:tcPr>
          <w:p w14:paraId="2BA44C89" w14:textId="408BF5B6"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90</w:t>
            </w:r>
          </w:p>
        </w:tc>
        <w:tc>
          <w:tcPr>
            <w:tcW w:w="3006" w:type="dxa"/>
            <w:tcBorders>
              <w:left w:val="nil"/>
              <w:bottom w:val="nil"/>
              <w:right w:val="nil"/>
            </w:tcBorders>
          </w:tcPr>
          <w:p w14:paraId="5918F644" w14:textId="2A71D892"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46</w:t>
            </w:r>
          </w:p>
        </w:tc>
      </w:tr>
      <w:tr w:rsidR="00B02AB5" w:rsidRPr="00CD3086" w14:paraId="789FB198" w14:textId="77777777" w:rsidTr="004E5986">
        <w:tc>
          <w:tcPr>
            <w:tcW w:w="3005" w:type="dxa"/>
            <w:tcBorders>
              <w:top w:val="nil"/>
              <w:left w:val="nil"/>
              <w:bottom w:val="nil"/>
              <w:right w:val="nil"/>
            </w:tcBorders>
          </w:tcPr>
          <w:p w14:paraId="4A1F4F13" w14:textId="05F4973A"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2021</w:t>
            </w:r>
          </w:p>
        </w:tc>
        <w:tc>
          <w:tcPr>
            <w:tcW w:w="3005" w:type="dxa"/>
            <w:tcBorders>
              <w:top w:val="nil"/>
              <w:left w:val="nil"/>
              <w:bottom w:val="nil"/>
              <w:right w:val="nil"/>
            </w:tcBorders>
          </w:tcPr>
          <w:p w14:paraId="2E295BC7" w14:textId="08502F05"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82</w:t>
            </w:r>
          </w:p>
        </w:tc>
        <w:tc>
          <w:tcPr>
            <w:tcW w:w="3006" w:type="dxa"/>
            <w:tcBorders>
              <w:top w:val="nil"/>
              <w:left w:val="nil"/>
              <w:bottom w:val="nil"/>
              <w:right w:val="nil"/>
            </w:tcBorders>
          </w:tcPr>
          <w:p w14:paraId="03B2ACE6" w14:textId="362B1A26"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42</w:t>
            </w:r>
          </w:p>
        </w:tc>
      </w:tr>
      <w:tr w:rsidR="00B02AB5" w:rsidRPr="00CD3086" w14:paraId="10BCED4D" w14:textId="77777777" w:rsidTr="004E5986">
        <w:tc>
          <w:tcPr>
            <w:tcW w:w="3005" w:type="dxa"/>
            <w:tcBorders>
              <w:top w:val="nil"/>
              <w:left w:val="nil"/>
              <w:bottom w:val="nil"/>
              <w:right w:val="nil"/>
            </w:tcBorders>
          </w:tcPr>
          <w:p w14:paraId="216CFD58" w14:textId="28324BA9"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2022</w:t>
            </w:r>
          </w:p>
        </w:tc>
        <w:tc>
          <w:tcPr>
            <w:tcW w:w="3005" w:type="dxa"/>
            <w:tcBorders>
              <w:top w:val="nil"/>
              <w:left w:val="nil"/>
              <w:bottom w:val="nil"/>
              <w:right w:val="nil"/>
            </w:tcBorders>
          </w:tcPr>
          <w:p w14:paraId="6D3FECD0" w14:textId="6632F37C"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103</w:t>
            </w:r>
          </w:p>
        </w:tc>
        <w:tc>
          <w:tcPr>
            <w:tcW w:w="3006" w:type="dxa"/>
            <w:tcBorders>
              <w:top w:val="nil"/>
              <w:left w:val="nil"/>
              <w:bottom w:val="nil"/>
              <w:right w:val="nil"/>
            </w:tcBorders>
          </w:tcPr>
          <w:p w14:paraId="486CCB38" w14:textId="0FF1E521"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52</w:t>
            </w:r>
          </w:p>
        </w:tc>
      </w:tr>
      <w:tr w:rsidR="00B02AB5" w:rsidRPr="00CD3086" w14:paraId="047B580B" w14:textId="77777777" w:rsidTr="008150B3">
        <w:tc>
          <w:tcPr>
            <w:tcW w:w="3005" w:type="dxa"/>
            <w:tcBorders>
              <w:top w:val="nil"/>
              <w:left w:val="nil"/>
              <w:bottom w:val="nil"/>
              <w:right w:val="nil"/>
            </w:tcBorders>
          </w:tcPr>
          <w:p w14:paraId="02356258" w14:textId="1E9972B1"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2023</w:t>
            </w:r>
          </w:p>
        </w:tc>
        <w:tc>
          <w:tcPr>
            <w:tcW w:w="3005" w:type="dxa"/>
            <w:tcBorders>
              <w:top w:val="nil"/>
              <w:left w:val="nil"/>
              <w:bottom w:val="nil"/>
              <w:right w:val="nil"/>
            </w:tcBorders>
          </w:tcPr>
          <w:p w14:paraId="550A7833" w14:textId="62D6C18B"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112</w:t>
            </w:r>
          </w:p>
        </w:tc>
        <w:tc>
          <w:tcPr>
            <w:tcW w:w="3006" w:type="dxa"/>
            <w:tcBorders>
              <w:top w:val="nil"/>
              <w:left w:val="nil"/>
              <w:bottom w:val="nil"/>
              <w:right w:val="nil"/>
            </w:tcBorders>
          </w:tcPr>
          <w:p w14:paraId="0DB21925" w14:textId="219FA1B1" w:rsidR="00B02AB5" w:rsidRPr="00CD3086" w:rsidRDefault="00B02AB5" w:rsidP="00FA6504">
            <w:pPr>
              <w:pStyle w:val="ListParagraph"/>
              <w:ind w:left="0"/>
              <w:jc w:val="both"/>
              <w:rPr>
                <w:rFonts w:ascii="Calibri" w:hAnsi="Calibri"/>
                <w:sz w:val="20"/>
                <w:szCs w:val="20"/>
              </w:rPr>
            </w:pPr>
            <w:r w:rsidRPr="00CD3086">
              <w:rPr>
                <w:rFonts w:ascii="Calibri" w:hAnsi="Calibri"/>
                <w:sz w:val="20"/>
                <w:szCs w:val="20"/>
              </w:rPr>
              <w:t>58</w:t>
            </w:r>
          </w:p>
        </w:tc>
      </w:tr>
      <w:tr w:rsidR="008150B3" w:rsidRPr="00CD3086" w14:paraId="32ABADD2" w14:textId="77777777" w:rsidTr="004E5986">
        <w:tc>
          <w:tcPr>
            <w:tcW w:w="3005" w:type="dxa"/>
            <w:tcBorders>
              <w:top w:val="nil"/>
              <w:left w:val="nil"/>
              <w:right w:val="nil"/>
            </w:tcBorders>
          </w:tcPr>
          <w:p w14:paraId="5B569D97" w14:textId="33DBC3B8" w:rsidR="008150B3" w:rsidRPr="00CD3086" w:rsidRDefault="008150B3" w:rsidP="00FA6504">
            <w:pPr>
              <w:pStyle w:val="ListParagraph"/>
              <w:ind w:left="0"/>
              <w:jc w:val="both"/>
              <w:rPr>
                <w:rFonts w:ascii="Calibri" w:hAnsi="Calibri"/>
                <w:b/>
                <w:bCs/>
                <w:sz w:val="20"/>
                <w:szCs w:val="20"/>
              </w:rPr>
            </w:pPr>
            <w:r w:rsidRPr="00CD3086">
              <w:rPr>
                <w:rFonts w:ascii="Calibri" w:hAnsi="Calibri"/>
                <w:b/>
                <w:bCs/>
                <w:sz w:val="20"/>
                <w:szCs w:val="20"/>
              </w:rPr>
              <w:t>Total</w:t>
            </w:r>
          </w:p>
        </w:tc>
        <w:tc>
          <w:tcPr>
            <w:tcW w:w="3005" w:type="dxa"/>
            <w:tcBorders>
              <w:top w:val="nil"/>
              <w:left w:val="nil"/>
              <w:right w:val="nil"/>
            </w:tcBorders>
          </w:tcPr>
          <w:p w14:paraId="24E8A317" w14:textId="652318A2" w:rsidR="008150B3" w:rsidRPr="00CD3086" w:rsidRDefault="008150B3" w:rsidP="00FA6504">
            <w:pPr>
              <w:pStyle w:val="ListParagraph"/>
              <w:ind w:left="0"/>
              <w:jc w:val="both"/>
              <w:rPr>
                <w:rFonts w:ascii="Calibri" w:hAnsi="Calibri"/>
                <w:b/>
                <w:bCs/>
                <w:sz w:val="20"/>
                <w:szCs w:val="20"/>
              </w:rPr>
            </w:pPr>
            <w:r w:rsidRPr="00CD3086">
              <w:rPr>
                <w:rFonts w:ascii="Calibri" w:hAnsi="Calibri"/>
                <w:b/>
                <w:bCs/>
                <w:sz w:val="20"/>
                <w:szCs w:val="20"/>
              </w:rPr>
              <w:t>387</w:t>
            </w:r>
          </w:p>
        </w:tc>
        <w:tc>
          <w:tcPr>
            <w:tcW w:w="3006" w:type="dxa"/>
            <w:tcBorders>
              <w:top w:val="nil"/>
              <w:left w:val="nil"/>
              <w:right w:val="nil"/>
            </w:tcBorders>
          </w:tcPr>
          <w:p w14:paraId="0BC57F27" w14:textId="2B6F0D9D" w:rsidR="008150B3" w:rsidRPr="00CD3086" w:rsidRDefault="008150B3" w:rsidP="00FA6504">
            <w:pPr>
              <w:pStyle w:val="ListParagraph"/>
              <w:ind w:left="0"/>
              <w:jc w:val="both"/>
              <w:rPr>
                <w:rFonts w:ascii="Calibri" w:hAnsi="Calibri"/>
                <w:b/>
                <w:bCs/>
                <w:sz w:val="20"/>
                <w:szCs w:val="20"/>
              </w:rPr>
            </w:pPr>
            <w:r w:rsidRPr="00CD3086">
              <w:rPr>
                <w:rFonts w:ascii="Calibri" w:hAnsi="Calibri"/>
                <w:b/>
                <w:bCs/>
                <w:sz w:val="20"/>
                <w:szCs w:val="20"/>
              </w:rPr>
              <w:t>198</w:t>
            </w:r>
          </w:p>
        </w:tc>
      </w:tr>
    </w:tbl>
    <w:p w14:paraId="55788ACF" w14:textId="52211ACE" w:rsidR="00B02AB5" w:rsidRPr="008160D5" w:rsidRDefault="004E5986" w:rsidP="004E5986">
      <w:pPr>
        <w:pStyle w:val="ListParagraph"/>
        <w:ind w:left="6521" w:firstLine="284"/>
        <w:jc w:val="both"/>
        <w:rPr>
          <w:rFonts w:asciiTheme="minorHAnsi" w:hAnsiTheme="minorHAnsi" w:cstheme="minorHAnsi"/>
        </w:rPr>
      </w:pPr>
      <w:r w:rsidRPr="008160D5">
        <w:rPr>
          <w:rFonts w:asciiTheme="minorHAnsi" w:eastAsia="SimSun" w:hAnsiTheme="minorHAnsi" w:cstheme="minorHAnsi"/>
          <w:i/>
          <w:iCs/>
          <w:sz w:val="20"/>
          <w:szCs w:val="20"/>
          <w:lang w:val="en-US" w:eastAsia="zh-CN"/>
        </w:rPr>
        <w:t>Source: Primary Data 2023</w:t>
      </w:r>
    </w:p>
    <w:bookmarkEnd w:id="2"/>
    <w:p w14:paraId="131DA0E4" w14:textId="24072E05" w:rsidR="00CD065D" w:rsidRPr="00596BB2" w:rsidRDefault="00CD065D" w:rsidP="00CD065D">
      <w:pPr>
        <w:pStyle w:val="ListParagraph"/>
        <w:ind w:left="0" w:firstLine="284"/>
        <w:jc w:val="both"/>
        <w:rPr>
          <w:rFonts w:asciiTheme="minorHAnsi" w:hAnsiTheme="minorHAnsi" w:cstheme="minorHAnsi"/>
        </w:rPr>
      </w:pPr>
      <w:r w:rsidRPr="00596BB2">
        <w:rPr>
          <w:rFonts w:asciiTheme="minorHAnsi" w:hAnsiTheme="minorHAnsi" w:cstheme="minorHAnsi"/>
        </w:rPr>
        <w:t>Testing the validity of this research uses both construct validity and empirical validity. Construct validity was carried out on the questionnaire with the help of an expert validator, an expert lecturer in the field, namely educational psychology. Empirical validity is carried out to test the validity of instruments tested in the field. The provisions are that the instrument is said to be valid if R calculated &gt; R table and when the significance value is &lt;0.05. As for the reliability test with Cronbach Alpha, provided that the Cronbach Alpha value is &gt; 0.60, the instrument is said to be reliable.</w:t>
      </w:r>
    </w:p>
    <w:p w14:paraId="2CA6F178" w14:textId="726929D6" w:rsidR="00CD065D" w:rsidRPr="00596BB2" w:rsidRDefault="00CD065D" w:rsidP="00D220DC">
      <w:pPr>
        <w:pStyle w:val="ListParagraph"/>
        <w:ind w:left="0" w:firstLine="284"/>
        <w:jc w:val="both"/>
        <w:rPr>
          <w:rFonts w:asciiTheme="minorHAnsi" w:hAnsiTheme="minorHAnsi" w:cstheme="minorHAnsi"/>
        </w:rPr>
      </w:pPr>
      <w:r w:rsidRPr="00596BB2">
        <w:rPr>
          <w:rFonts w:asciiTheme="minorHAnsi" w:hAnsiTheme="minorHAnsi" w:cstheme="minorHAnsi"/>
        </w:rPr>
        <w:t xml:space="preserve">The prerequisite test in this research is the normality test, where a significance value &gt; 0.05 means a normal distribution. The normality test results show an </w:t>
      </w:r>
      <w:proofErr w:type="spellStart"/>
      <w:r w:rsidRPr="00596BB2">
        <w:rPr>
          <w:rFonts w:asciiTheme="minorHAnsi" w:hAnsiTheme="minorHAnsi" w:cstheme="minorHAnsi"/>
        </w:rPr>
        <w:t>asymp</w:t>
      </w:r>
      <w:proofErr w:type="spellEnd"/>
      <w:r w:rsidRPr="00596BB2">
        <w:rPr>
          <w:rFonts w:asciiTheme="minorHAnsi" w:hAnsiTheme="minorHAnsi" w:cstheme="minorHAnsi"/>
        </w:rPr>
        <w:t>. sig 0.000 means that the data's normality is not met, so non-parametric statistics are used.</w:t>
      </w:r>
    </w:p>
    <w:p w14:paraId="3B1ED7C3" w14:textId="159EC5D2" w:rsidR="00F83985" w:rsidRPr="00F83985" w:rsidRDefault="00F83985" w:rsidP="00F83985">
      <w:pPr>
        <w:spacing w:after="0" w:line="240" w:lineRule="auto"/>
        <w:rPr>
          <w:rFonts w:ascii="Times New Roman" w:eastAsia="Times New Roman" w:hAnsi="Times New Roman" w:cs="Times New Roman"/>
          <w:lang w:eastAsia="id-ID"/>
        </w:rPr>
      </w:pPr>
    </w:p>
    <w:p w14:paraId="41149540" w14:textId="355177F3" w:rsidR="00180DA7" w:rsidRDefault="00180DA7" w:rsidP="00415755">
      <w:pPr>
        <w:spacing w:line="240" w:lineRule="auto"/>
        <w:jc w:val="both"/>
        <w:rPr>
          <w:b/>
          <w:lang w:val="en-US"/>
        </w:rPr>
      </w:pPr>
      <w:r>
        <w:rPr>
          <w:b/>
          <w:lang w:val="en-US"/>
        </w:rPr>
        <w:t>4</w:t>
      </w:r>
      <w:r w:rsidRPr="008D069B">
        <w:rPr>
          <w:b/>
          <w:lang w:val="en-US"/>
        </w:rPr>
        <w:t>. RESULTS AND DISCUSSION</w:t>
      </w:r>
    </w:p>
    <w:p w14:paraId="1F01D554" w14:textId="2461BFE6" w:rsidR="00225131" w:rsidRPr="00225131" w:rsidRDefault="00D220DC" w:rsidP="00225131">
      <w:pPr>
        <w:spacing w:after="0" w:line="360" w:lineRule="auto"/>
        <w:jc w:val="both"/>
        <w:rPr>
          <w:rFonts w:asciiTheme="minorHAnsi" w:hAnsiTheme="minorHAnsi" w:cstheme="minorHAnsi"/>
          <w:b/>
          <w:lang w:val="en-US"/>
        </w:rPr>
      </w:pPr>
      <w:r w:rsidRPr="00225131">
        <w:rPr>
          <w:rFonts w:asciiTheme="minorHAnsi" w:hAnsiTheme="minorHAnsi" w:cstheme="minorHAnsi"/>
          <w:b/>
          <w:lang w:val="en-US"/>
        </w:rPr>
        <w:t xml:space="preserve">4.1. </w:t>
      </w:r>
      <w:r w:rsidR="00225131" w:rsidRPr="00225131">
        <w:rPr>
          <w:rFonts w:asciiTheme="minorHAnsi" w:hAnsiTheme="minorHAnsi" w:cstheme="minorHAnsi"/>
          <w:b/>
          <w:lang w:val="en-US"/>
        </w:rPr>
        <w:t>Respondent characteristics</w:t>
      </w:r>
    </w:p>
    <w:p w14:paraId="3362FC2C" w14:textId="7B9467E5" w:rsidR="002C02ED" w:rsidRDefault="001B6981" w:rsidP="00D220DC">
      <w:pPr>
        <w:spacing w:after="0" w:line="240" w:lineRule="auto"/>
        <w:ind w:firstLine="284"/>
        <w:jc w:val="both"/>
        <w:rPr>
          <w:rFonts w:asciiTheme="minorHAnsi" w:eastAsia="Times New Roman" w:hAnsiTheme="minorHAnsi" w:cstheme="minorHAnsi"/>
          <w:lang w:val="id-ID" w:eastAsia="id-ID"/>
        </w:rPr>
      </w:pPr>
      <w:r w:rsidRPr="00225131">
        <w:rPr>
          <w:rFonts w:asciiTheme="minorHAnsi" w:eastAsia="Times New Roman" w:hAnsiTheme="minorHAnsi" w:cstheme="minorHAnsi"/>
          <w:lang w:val="id-ID" w:eastAsia="id-ID"/>
        </w:rPr>
        <w:t xml:space="preserve">The </w:t>
      </w:r>
      <w:proofErr w:type="spellStart"/>
      <w:r w:rsidRPr="00225131">
        <w:rPr>
          <w:rFonts w:asciiTheme="minorHAnsi" w:eastAsia="Times New Roman" w:hAnsiTheme="minorHAnsi" w:cstheme="minorHAnsi"/>
          <w:lang w:val="id-ID" w:eastAsia="id-ID"/>
        </w:rPr>
        <w:t>number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respondents</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this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research</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was</w:t>
      </w:r>
      <w:proofErr w:type="spellEnd"/>
      <w:r w:rsidRPr="00225131">
        <w:rPr>
          <w:rFonts w:asciiTheme="minorHAnsi" w:eastAsia="Times New Roman" w:hAnsiTheme="minorHAnsi" w:cstheme="minorHAnsi"/>
          <w:lang w:val="id-ID" w:eastAsia="id-ID"/>
        </w:rPr>
        <w:t xml:space="preserve"> 198 </w:t>
      </w:r>
      <w:proofErr w:type="spellStart"/>
      <w:r w:rsidRPr="00225131">
        <w:rPr>
          <w:rFonts w:asciiTheme="minorHAnsi" w:eastAsia="Times New Roman" w:hAnsiTheme="minorHAnsi" w:cstheme="minorHAnsi"/>
          <w:lang w:val="id-ID" w:eastAsia="id-ID"/>
        </w:rPr>
        <w:t>students</w:t>
      </w:r>
      <w:proofErr w:type="spellEnd"/>
      <w:r w:rsidRPr="00225131">
        <w:rPr>
          <w:rFonts w:asciiTheme="minorHAnsi" w:eastAsia="Times New Roman" w:hAnsiTheme="minorHAnsi" w:cstheme="minorHAnsi"/>
          <w:lang w:val="id-ID" w:eastAsia="id-ID"/>
        </w:rPr>
        <w:t xml:space="preserve"> as a </w:t>
      </w:r>
      <w:proofErr w:type="spellStart"/>
      <w:r w:rsidRPr="00225131">
        <w:rPr>
          <w:rFonts w:asciiTheme="minorHAnsi" w:eastAsia="Times New Roman" w:hAnsiTheme="minorHAnsi" w:cstheme="minorHAnsi"/>
          <w:lang w:val="id-ID" w:eastAsia="id-ID"/>
        </w:rPr>
        <w:t>sample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who</w:t>
      </w:r>
      <w:proofErr w:type="spellEnd"/>
      <w:r w:rsidRPr="00225131">
        <w:rPr>
          <w:rFonts w:asciiTheme="minorHAnsi" w:eastAsia="Times New Roman" w:hAnsiTheme="minorHAnsi" w:cstheme="minorHAnsi"/>
          <w:lang w:val="id-ID" w:eastAsia="id-ID"/>
        </w:rPr>
        <w:t xml:space="preserve"> were </w:t>
      </w:r>
      <w:proofErr w:type="spellStart"/>
      <w:r w:rsidRPr="00225131">
        <w:rPr>
          <w:rFonts w:asciiTheme="minorHAnsi" w:eastAsia="Times New Roman" w:hAnsiTheme="minorHAnsi" w:cstheme="minorHAnsi"/>
          <w:lang w:val="id-ID" w:eastAsia="id-ID"/>
        </w:rPr>
        <w:t>Tadris</w:t>
      </w:r>
      <w:proofErr w:type="spellEnd"/>
      <w:r w:rsidRPr="00225131">
        <w:rPr>
          <w:rFonts w:asciiTheme="minorHAnsi" w:eastAsia="Times New Roman" w:hAnsiTheme="minorHAnsi" w:cstheme="minorHAnsi"/>
          <w:lang w:val="id-ID" w:eastAsia="id-ID"/>
        </w:rPr>
        <w:t xml:space="preserve"> IPS </w:t>
      </w:r>
      <w:proofErr w:type="spellStart"/>
      <w:r w:rsidRPr="00225131">
        <w:rPr>
          <w:rFonts w:asciiTheme="minorHAnsi" w:eastAsia="Times New Roman" w:hAnsiTheme="minorHAnsi" w:cstheme="minorHAnsi"/>
          <w:lang w:val="id-ID" w:eastAsia="id-ID"/>
        </w:rPr>
        <w:t>students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Tarbiyah</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Faculty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IAIN Kudus in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2020–2023 </w:t>
      </w:r>
      <w:proofErr w:type="spellStart"/>
      <w:r w:rsidRPr="00225131">
        <w:rPr>
          <w:rFonts w:asciiTheme="minorHAnsi" w:eastAsia="Times New Roman" w:hAnsiTheme="minorHAnsi" w:cstheme="minorHAnsi"/>
          <w:lang w:val="id-ID" w:eastAsia="id-ID"/>
        </w:rPr>
        <w:t>class</w:t>
      </w:r>
      <w:proofErr w:type="spellEnd"/>
      <w:r w:rsidRPr="00225131">
        <w:rPr>
          <w:rFonts w:asciiTheme="minorHAnsi" w:eastAsia="Times New Roman" w:hAnsiTheme="minorHAnsi" w:cstheme="minorHAnsi"/>
          <w:lang w:val="id-ID" w:eastAsia="id-ID"/>
        </w:rPr>
        <w:t xml:space="preserve">. The </w:t>
      </w:r>
      <w:proofErr w:type="spellStart"/>
      <w:r w:rsidRPr="00225131">
        <w:rPr>
          <w:rFonts w:asciiTheme="minorHAnsi" w:eastAsia="Times New Roman" w:hAnsiTheme="minorHAnsi" w:cstheme="minorHAnsi"/>
          <w:lang w:val="id-ID" w:eastAsia="id-ID"/>
        </w:rPr>
        <w:t>characteristics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respondents</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this</w:t>
      </w:r>
      <w:proofErr w:type="spellEnd"/>
      <w:r w:rsidRPr="00225131">
        <w:rPr>
          <w:rFonts w:asciiTheme="minorHAnsi" w:eastAsia="Times New Roman" w:hAnsiTheme="minorHAnsi" w:cstheme="minorHAnsi"/>
          <w:lang w:val="id-ID" w:eastAsia="id-ID"/>
        </w:rPr>
        <w:t xml:space="preserve"> study are a </w:t>
      </w:r>
      <w:proofErr w:type="spellStart"/>
      <w:r w:rsidRPr="00225131">
        <w:rPr>
          <w:rFonts w:asciiTheme="minorHAnsi" w:eastAsia="Times New Roman" w:hAnsiTheme="minorHAnsi" w:cstheme="minorHAnsi"/>
          <w:lang w:val="id-ID" w:eastAsia="id-ID"/>
        </w:rPr>
        <w:t>description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that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researchers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need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when</w:t>
      </w:r>
      <w:proofErr w:type="spellEnd"/>
      <w:r w:rsidRPr="00225131">
        <w:rPr>
          <w:rFonts w:asciiTheme="minorHAnsi" w:eastAsia="Times New Roman" w:hAnsiTheme="minorHAnsi" w:cstheme="minorHAnsi"/>
          <w:lang w:val="id-ID" w:eastAsia="id-ID"/>
        </w:rPr>
        <w:t xml:space="preserve"> testing </w:t>
      </w:r>
      <w:proofErr w:type="spellStart"/>
      <w:r w:rsidRPr="00225131">
        <w:rPr>
          <w:rFonts w:asciiTheme="minorHAnsi" w:eastAsia="Times New Roman" w:hAnsiTheme="minorHAnsi" w:cstheme="minorHAnsi"/>
          <w:lang w:val="id-ID" w:eastAsia="id-ID"/>
        </w:rPr>
        <w:t>research</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hypotheses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consisting</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gender, </w:t>
      </w:r>
      <w:proofErr w:type="spellStart"/>
      <w:r w:rsidRPr="00225131">
        <w:rPr>
          <w:rFonts w:asciiTheme="minorHAnsi" w:eastAsia="Times New Roman" w:hAnsiTheme="minorHAnsi" w:cstheme="minorHAnsi"/>
          <w:lang w:val="id-ID" w:eastAsia="id-ID"/>
        </w:rPr>
        <w:t>batch</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student</w:t>
      </w:r>
      <w:r w:rsidR="00CF2430" w:rsidRPr="00225131">
        <w:rPr>
          <w:rFonts w:asciiTheme="minorHAnsi" w:eastAsia="Times New Roman" w:hAnsiTheme="minorHAnsi" w:cstheme="minorHAnsi"/>
          <w:lang w:val="id-ID" w:eastAsia="id-ID"/>
        </w:rPr>
        <w:t>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student</w:t>
      </w:r>
      <w:proofErr w:type="spellEnd"/>
      <w:r w:rsidRPr="00225131">
        <w:rPr>
          <w:rFonts w:asciiTheme="minorHAnsi" w:eastAsia="Times New Roman" w:hAnsiTheme="minorHAnsi" w:cstheme="minorHAnsi"/>
          <w:lang w:val="id-ID" w:eastAsia="id-ID"/>
        </w:rPr>
        <w:t xml:space="preserve"> status </w:t>
      </w:r>
      <w:proofErr w:type="spellStart"/>
      <w:r w:rsidRPr="00225131">
        <w:rPr>
          <w:rFonts w:asciiTheme="minorHAnsi" w:eastAsia="Times New Roman" w:hAnsiTheme="minorHAnsi" w:cstheme="minorHAnsi"/>
          <w:lang w:val="id-ID" w:eastAsia="id-ID"/>
        </w:rPr>
        <w:t>burden</w:t>
      </w:r>
      <w:proofErr w:type="spellEnd"/>
      <w:r w:rsidRPr="00225131">
        <w:rPr>
          <w:rFonts w:asciiTheme="minorHAnsi" w:eastAsia="Times New Roman" w:hAnsiTheme="minorHAnsi" w:cstheme="minorHAnsi"/>
          <w:lang w:val="id-ID" w:eastAsia="id-ID"/>
        </w:rPr>
        <w:t>.</w:t>
      </w:r>
      <w:bookmarkStart w:id="3" w:name="_Hlk162865579"/>
    </w:p>
    <w:p w14:paraId="10F3AC8C" w14:textId="4718DB8D" w:rsidR="00193B53" w:rsidRPr="00CD3086" w:rsidRDefault="00193B53" w:rsidP="00DB73AD">
      <w:pPr>
        <w:spacing w:before="120" w:after="0" w:line="240" w:lineRule="auto"/>
        <w:ind w:firstLine="284"/>
        <w:jc w:val="center"/>
        <w:rPr>
          <w:rFonts w:eastAsia="Times New Roman"/>
          <w:lang w:val="id-ID" w:eastAsia="id-ID"/>
        </w:rPr>
      </w:pPr>
      <w:proofErr w:type="spellStart"/>
      <w:r w:rsidRPr="00CD3086">
        <w:rPr>
          <w:rFonts w:eastAsia="Times New Roman"/>
          <w:b/>
          <w:bCs/>
          <w:lang w:val="id-ID" w:eastAsia="id-ID"/>
        </w:rPr>
        <w:lastRenderedPageBreak/>
        <w:t>Tabl</w:t>
      </w:r>
      <w:r w:rsidR="00431958" w:rsidRPr="00CD3086">
        <w:rPr>
          <w:rFonts w:eastAsia="Times New Roman"/>
          <w:b/>
          <w:bCs/>
          <w:lang w:val="id-ID" w:eastAsia="id-ID"/>
        </w:rPr>
        <w:t>e</w:t>
      </w:r>
      <w:proofErr w:type="spellEnd"/>
      <w:r w:rsidRPr="00CD3086">
        <w:rPr>
          <w:rFonts w:eastAsia="Times New Roman"/>
          <w:b/>
          <w:bCs/>
          <w:lang w:val="id-ID" w:eastAsia="id-ID"/>
        </w:rPr>
        <w:t xml:space="preserve"> 2.</w:t>
      </w:r>
      <w:r w:rsidRPr="00CD3086">
        <w:rPr>
          <w:rFonts w:eastAsia="Times New Roman"/>
          <w:lang w:val="id-ID" w:eastAsia="id-ID"/>
        </w:rPr>
        <w:t xml:space="preserve"> </w:t>
      </w:r>
      <w:r w:rsidR="00DB73AD" w:rsidRPr="00CD3086">
        <w:t>Distribution of Participants Based on Gender</w:t>
      </w:r>
    </w:p>
    <w:tbl>
      <w:tblPr>
        <w:tblStyle w:val="TableGrid"/>
        <w:tblW w:w="0" w:type="auto"/>
        <w:tblLook w:val="04A0" w:firstRow="1" w:lastRow="0" w:firstColumn="1" w:lastColumn="0" w:noHBand="0" w:noVBand="1"/>
      </w:tblPr>
      <w:tblGrid>
        <w:gridCol w:w="3005"/>
        <w:gridCol w:w="3005"/>
        <w:gridCol w:w="3006"/>
      </w:tblGrid>
      <w:tr w:rsidR="00FE3CFF" w:rsidRPr="00CD3086" w14:paraId="41CF7FF3" w14:textId="77777777" w:rsidTr="00935FB9">
        <w:tc>
          <w:tcPr>
            <w:tcW w:w="3005" w:type="dxa"/>
            <w:tcBorders>
              <w:left w:val="nil"/>
              <w:bottom w:val="single" w:sz="4" w:space="0" w:color="auto"/>
              <w:right w:val="nil"/>
            </w:tcBorders>
          </w:tcPr>
          <w:p w14:paraId="486F4EC6" w14:textId="7FAD6DB6" w:rsidR="00FE3CFF" w:rsidRPr="00CD3086" w:rsidRDefault="00670E9E" w:rsidP="00935FB9">
            <w:pPr>
              <w:spacing w:line="240" w:lineRule="auto"/>
              <w:jc w:val="left"/>
              <w:rPr>
                <w:rFonts w:ascii="Calibri" w:hAnsi="Calibri"/>
                <w:b/>
                <w:sz w:val="20"/>
                <w:szCs w:val="20"/>
              </w:rPr>
            </w:pPr>
            <w:r w:rsidRPr="00CD3086">
              <w:rPr>
                <w:rFonts w:ascii="Calibri" w:hAnsi="Calibri"/>
                <w:b/>
                <w:sz w:val="20"/>
                <w:szCs w:val="20"/>
              </w:rPr>
              <w:t>Gender</w:t>
            </w:r>
          </w:p>
        </w:tc>
        <w:tc>
          <w:tcPr>
            <w:tcW w:w="3005" w:type="dxa"/>
            <w:tcBorders>
              <w:left w:val="nil"/>
              <w:bottom w:val="single" w:sz="4" w:space="0" w:color="auto"/>
              <w:right w:val="nil"/>
            </w:tcBorders>
          </w:tcPr>
          <w:p w14:paraId="712DD087" w14:textId="26F2CFCD" w:rsidR="00FE3CFF" w:rsidRPr="00CD3086" w:rsidRDefault="00FE3CFF" w:rsidP="00935FB9">
            <w:pPr>
              <w:spacing w:line="240" w:lineRule="auto"/>
              <w:jc w:val="left"/>
              <w:rPr>
                <w:rFonts w:ascii="Calibri" w:hAnsi="Calibri"/>
                <w:b/>
                <w:sz w:val="20"/>
                <w:szCs w:val="20"/>
              </w:rPr>
            </w:pPr>
            <w:r w:rsidRPr="00CD3086">
              <w:rPr>
                <w:rFonts w:ascii="Calibri" w:hAnsi="Calibri"/>
                <w:b/>
                <w:sz w:val="20"/>
                <w:szCs w:val="20"/>
              </w:rPr>
              <w:t>Frequency</w:t>
            </w:r>
          </w:p>
        </w:tc>
        <w:tc>
          <w:tcPr>
            <w:tcW w:w="3006" w:type="dxa"/>
            <w:tcBorders>
              <w:left w:val="nil"/>
              <w:bottom w:val="single" w:sz="4" w:space="0" w:color="auto"/>
              <w:right w:val="nil"/>
            </w:tcBorders>
          </w:tcPr>
          <w:p w14:paraId="05A5B9A4" w14:textId="0551EEF9" w:rsidR="00FE3CFF" w:rsidRPr="00CD3086" w:rsidRDefault="00FE3CFF" w:rsidP="00935FB9">
            <w:pPr>
              <w:spacing w:line="240" w:lineRule="auto"/>
              <w:jc w:val="left"/>
              <w:rPr>
                <w:rFonts w:ascii="Calibri" w:hAnsi="Calibri"/>
                <w:b/>
                <w:sz w:val="20"/>
                <w:szCs w:val="20"/>
              </w:rPr>
            </w:pPr>
            <w:r w:rsidRPr="00CD3086">
              <w:rPr>
                <w:rFonts w:ascii="Calibri" w:hAnsi="Calibri"/>
                <w:b/>
                <w:sz w:val="20"/>
                <w:szCs w:val="20"/>
              </w:rPr>
              <w:t>Percentage</w:t>
            </w:r>
          </w:p>
        </w:tc>
      </w:tr>
      <w:tr w:rsidR="00FE3CFF" w:rsidRPr="00CD3086" w14:paraId="070DF752" w14:textId="77777777" w:rsidTr="00935FB9">
        <w:tc>
          <w:tcPr>
            <w:tcW w:w="3005" w:type="dxa"/>
            <w:tcBorders>
              <w:left w:val="nil"/>
              <w:bottom w:val="nil"/>
              <w:right w:val="nil"/>
            </w:tcBorders>
          </w:tcPr>
          <w:p w14:paraId="506C7008" w14:textId="44EA2F89"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Male</w:t>
            </w:r>
          </w:p>
        </w:tc>
        <w:tc>
          <w:tcPr>
            <w:tcW w:w="3005" w:type="dxa"/>
            <w:tcBorders>
              <w:left w:val="nil"/>
              <w:bottom w:val="nil"/>
              <w:right w:val="nil"/>
            </w:tcBorders>
          </w:tcPr>
          <w:p w14:paraId="6B12CC2E" w14:textId="3780FD39"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59</w:t>
            </w:r>
          </w:p>
        </w:tc>
        <w:tc>
          <w:tcPr>
            <w:tcW w:w="3006" w:type="dxa"/>
            <w:tcBorders>
              <w:left w:val="nil"/>
              <w:bottom w:val="nil"/>
              <w:right w:val="nil"/>
            </w:tcBorders>
          </w:tcPr>
          <w:p w14:paraId="4B2FE26B" w14:textId="34F3F2DA"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29,8</w:t>
            </w:r>
          </w:p>
        </w:tc>
      </w:tr>
      <w:tr w:rsidR="00FE3CFF" w:rsidRPr="00CD3086" w14:paraId="27F046B8" w14:textId="77777777" w:rsidTr="00935FB9">
        <w:tc>
          <w:tcPr>
            <w:tcW w:w="3005" w:type="dxa"/>
            <w:tcBorders>
              <w:top w:val="nil"/>
              <w:left w:val="nil"/>
              <w:bottom w:val="nil"/>
              <w:right w:val="nil"/>
            </w:tcBorders>
          </w:tcPr>
          <w:p w14:paraId="3DD5AD1A" w14:textId="2DFCF3AB"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Female</w:t>
            </w:r>
          </w:p>
        </w:tc>
        <w:tc>
          <w:tcPr>
            <w:tcW w:w="3005" w:type="dxa"/>
            <w:tcBorders>
              <w:top w:val="nil"/>
              <w:left w:val="nil"/>
              <w:bottom w:val="nil"/>
              <w:right w:val="nil"/>
            </w:tcBorders>
          </w:tcPr>
          <w:p w14:paraId="495E8DA5" w14:textId="7252C4E0"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139</w:t>
            </w:r>
          </w:p>
        </w:tc>
        <w:tc>
          <w:tcPr>
            <w:tcW w:w="3006" w:type="dxa"/>
            <w:tcBorders>
              <w:top w:val="nil"/>
              <w:left w:val="nil"/>
              <w:bottom w:val="nil"/>
              <w:right w:val="nil"/>
            </w:tcBorders>
          </w:tcPr>
          <w:p w14:paraId="4B6CCC8E" w14:textId="23F21A93" w:rsidR="00FE3CFF" w:rsidRPr="00CD3086" w:rsidRDefault="00FE3CFF" w:rsidP="00415755">
            <w:pPr>
              <w:spacing w:line="240" w:lineRule="auto"/>
              <w:jc w:val="both"/>
              <w:rPr>
                <w:rFonts w:ascii="Calibri" w:hAnsi="Calibri"/>
                <w:bCs/>
                <w:sz w:val="20"/>
                <w:szCs w:val="20"/>
              </w:rPr>
            </w:pPr>
            <w:r w:rsidRPr="00CD3086">
              <w:rPr>
                <w:rFonts w:ascii="Calibri" w:hAnsi="Calibri"/>
                <w:bCs/>
                <w:sz w:val="20"/>
                <w:szCs w:val="20"/>
              </w:rPr>
              <w:t>70,2</w:t>
            </w:r>
          </w:p>
        </w:tc>
      </w:tr>
      <w:tr w:rsidR="00FE3CFF" w:rsidRPr="00CD3086" w14:paraId="3635A171" w14:textId="77777777" w:rsidTr="00935FB9">
        <w:tc>
          <w:tcPr>
            <w:tcW w:w="3005" w:type="dxa"/>
            <w:tcBorders>
              <w:top w:val="nil"/>
              <w:left w:val="nil"/>
              <w:right w:val="nil"/>
            </w:tcBorders>
          </w:tcPr>
          <w:p w14:paraId="47D5C03C" w14:textId="612C7F65" w:rsidR="00FE3CFF" w:rsidRPr="00CD3086" w:rsidRDefault="00FE3CFF" w:rsidP="00415755">
            <w:pPr>
              <w:spacing w:line="240" w:lineRule="auto"/>
              <w:jc w:val="both"/>
              <w:rPr>
                <w:rFonts w:ascii="Calibri" w:hAnsi="Calibri"/>
                <w:b/>
                <w:sz w:val="20"/>
                <w:szCs w:val="20"/>
              </w:rPr>
            </w:pPr>
            <w:r w:rsidRPr="00CD3086">
              <w:rPr>
                <w:rFonts w:ascii="Calibri" w:hAnsi="Calibri"/>
                <w:b/>
                <w:sz w:val="20"/>
                <w:szCs w:val="20"/>
              </w:rPr>
              <w:t>Total</w:t>
            </w:r>
          </w:p>
        </w:tc>
        <w:tc>
          <w:tcPr>
            <w:tcW w:w="3005" w:type="dxa"/>
            <w:tcBorders>
              <w:top w:val="nil"/>
              <w:left w:val="nil"/>
              <w:right w:val="nil"/>
            </w:tcBorders>
          </w:tcPr>
          <w:p w14:paraId="6E3C8AE5" w14:textId="7915CA50" w:rsidR="00FE3CFF" w:rsidRPr="00CD3086" w:rsidRDefault="00FE3CFF" w:rsidP="00415755">
            <w:pPr>
              <w:spacing w:line="240" w:lineRule="auto"/>
              <w:jc w:val="both"/>
              <w:rPr>
                <w:rFonts w:ascii="Calibri" w:hAnsi="Calibri"/>
                <w:b/>
                <w:sz w:val="20"/>
                <w:szCs w:val="20"/>
              </w:rPr>
            </w:pPr>
            <w:r w:rsidRPr="00CD3086">
              <w:rPr>
                <w:rFonts w:ascii="Calibri" w:hAnsi="Calibri"/>
                <w:b/>
                <w:sz w:val="20"/>
                <w:szCs w:val="20"/>
              </w:rPr>
              <w:t>198</w:t>
            </w:r>
          </w:p>
        </w:tc>
        <w:tc>
          <w:tcPr>
            <w:tcW w:w="3006" w:type="dxa"/>
            <w:tcBorders>
              <w:top w:val="nil"/>
              <w:left w:val="nil"/>
              <w:right w:val="nil"/>
            </w:tcBorders>
          </w:tcPr>
          <w:p w14:paraId="23A96FE0" w14:textId="1366F90E" w:rsidR="00FE3CFF" w:rsidRPr="00CD3086" w:rsidRDefault="00FE3CFF" w:rsidP="00415755">
            <w:pPr>
              <w:spacing w:line="240" w:lineRule="auto"/>
              <w:jc w:val="both"/>
              <w:rPr>
                <w:rFonts w:ascii="Calibri" w:hAnsi="Calibri"/>
                <w:b/>
                <w:sz w:val="20"/>
                <w:szCs w:val="20"/>
              </w:rPr>
            </w:pPr>
            <w:r w:rsidRPr="00CD3086">
              <w:rPr>
                <w:rFonts w:ascii="Calibri" w:hAnsi="Calibri"/>
                <w:b/>
                <w:sz w:val="20"/>
                <w:szCs w:val="20"/>
              </w:rPr>
              <w:t>100</w:t>
            </w:r>
          </w:p>
        </w:tc>
      </w:tr>
    </w:tbl>
    <w:p w14:paraId="20DD29F7" w14:textId="0C350C87" w:rsidR="004E5986" w:rsidRPr="00CD3086" w:rsidRDefault="004E5986" w:rsidP="004E5986">
      <w:pPr>
        <w:pStyle w:val="ListParagraph"/>
        <w:ind w:left="6521" w:firstLine="284"/>
        <w:jc w:val="both"/>
      </w:pPr>
      <w:r w:rsidRPr="00CD3086">
        <w:rPr>
          <w:rFonts w:eastAsia="SimSun"/>
          <w:i/>
          <w:iCs/>
          <w:sz w:val="20"/>
          <w:szCs w:val="20"/>
          <w:lang w:val="en-US" w:eastAsia="zh-CN"/>
        </w:rPr>
        <w:t>Source: Primary Data 2023</w:t>
      </w:r>
    </w:p>
    <w:bookmarkEnd w:id="3"/>
    <w:p w14:paraId="30FCC657" w14:textId="74ACE669" w:rsidR="00FC3E20" w:rsidRPr="00225131" w:rsidRDefault="00FC3E20" w:rsidP="00DB73AD">
      <w:pPr>
        <w:spacing w:before="120" w:after="0" w:line="240" w:lineRule="auto"/>
        <w:ind w:firstLine="284"/>
        <w:jc w:val="both"/>
        <w:rPr>
          <w:rFonts w:asciiTheme="minorHAnsi" w:hAnsiTheme="minorHAnsi" w:cstheme="minorHAnsi"/>
          <w:bCs/>
          <w:lang w:val="en-US"/>
        </w:rPr>
      </w:pPr>
      <w:r w:rsidRPr="00225131">
        <w:rPr>
          <w:rFonts w:asciiTheme="minorHAnsi" w:hAnsiTheme="minorHAnsi" w:cstheme="minorHAnsi"/>
          <w:bCs/>
          <w:lang w:val="en-US"/>
        </w:rPr>
        <w:t xml:space="preserve">Table 2 shows that the respondents' gender characteristics are 59 male students, with a percentage of 29.8%. Meanwhile, there are 139 female students, with a percentage of 70.2%. This explains why female students participate more dominantly than men. This is because there are more female students in the </w:t>
      </w:r>
      <w:proofErr w:type="spellStart"/>
      <w:r w:rsidRPr="00225131">
        <w:rPr>
          <w:rFonts w:asciiTheme="minorHAnsi" w:hAnsiTheme="minorHAnsi" w:cstheme="minorHAnsi"/>
          <w:bCs/>
          <w:lang w:val="en-US"/>
        </w:rPr>
        <w:t>Tadris</w:t>
      </w:r>
      <w:proofErr w:type="spellEnd"/>
      <w:r w:rsidRPr="00225131">
        <w:rPr>
          <w:rFonts w:asciiTheme="minorHAnsi" w:hAnsiTheme="minorHAnsi" w:cstheme="minorHAnsi"/>
          <w:bCs/>
          <w:lang w:val="en-US"/>
        </w:rPr>
        <w:t xml:space="preserve"> IPS IAIN Kudus study </w:t>
      </w:r>
      <w:proofErr w:type="spellStart"/>
      <w:r w:rsidRPr="00225131">
        <w:rPr>
          <w:rFonts w:asciiTheme="minorHAnsi" w:hAnsiTheme="minorHAnsi" w:cstheme="minorHAnsi"/>
          <w:bCs/>
          <w:lang w:val="en-US"/>
        </w:rPr>
        <w:t>programme</w:t>
      </w:r>
      <w:proofErr w:type="spellEnd"/>
      <w:r w:rsidRPr="00225131">
        <w:rPr>
          <w:rFonts w:asciiTheme="minorHAnsi" w:hAnsiTheme="minorHAnsi" w:cstheme="minorHAnsi"/>
          <w:bCs/>
          <w:lang w:val="en-US"/>
        </w:rPr>
        <w:t xml:space="preserve"> than male students.</w:t>
      </w:r>
    </w:p>
    <w:p w14:paraId="27552BFD" w14:textId="015373AD" w:rsidR="00AD20DD" w:rsidRPr="00CD3086" w:rsidRDefault="00DB73AD" w:rsidP="00DB73AD">
      <w:pPr>
        <w:spacing w:before="120" w:after="0" w:line="240" w:lineRule="auto"/>
        <w:jc w:val="center"/>
        <w:rPr>
          <w:bCs/>
          <w:sz w:val="20"/>
          <w:szCs w:val="20"/>
          <w:lang w:val="en-US"/>
        </w:rPr>
      </w:pPr>
      <w:bookmarkStart w:id="4" w:name="_Hlk162865618"/>
      <w:r w:rsidRPr="00CD3086">
        <w:rPr>
          <w:b/>
          <w:sz w:val="20"/>
          <w:szCs w:val="20"/>
          <w:lang w:val="en-US"/>
        </w:rPr>
        <w:t xml:space="preserve">Table 3. </w:t>
      </w:r>
      <w:r w:rsidRPr="00CD3086">
        <w:rPr>
          <w:sz w:val="20"/>
          <w:szCs w:val="20"/>
        </w:rPr>
        <w:t>Distribution of Participants Based on Batches of Students</w:t>
      </w:r>
    </w:p>
    <w:tbl>
      <w:tblPr>
        <w:tblStyle w:val="TableGrid"/>
        <w:tblW w:w="0" w:type="auto"/>
        <w:tblLook w:val="04A0" w:firstRow="1" w:lastRow="0" w:firstColumn="1" w:lastColumn="0" w:noHBand="0" w:noVBand="1"/>
      </w:tblPr>
      <w:tblGrid>
        <w:gridCol w:w="3005"/>
        <w:gridCol w:w="3005"/>
        <w:gridCol w:w="3006"/>
      </w:tblGrid>
      <w:tr w:rsidR="005057E6" w:rsidRPr="00CD3086" w14:paraId="766CE1CC" w14:textId="77777777" w:rsidTr="0007301F">
        <w:tc>
          <w:tcPr>
            <w:tcW w:w="3005" w:type="dxa"/>
            <w:tcBorders>
              <w:left w:val="nil"/>
              <w:bottom w:val="single" w:sz="4" w:space="0" w:color="auto"/>
              <w:right w:val="nil"/>
            </w:tcBorders>
          </w:tcPr>
          <w:p w14:paraId="5396517A" w14:textId="6D4B16B0" w:rsidR="005057E6" w:rsidRPr="00CD3086" w:rsidRDefault="009A4312" w:rsidP="00415755">
            <w:pPr>
              <w:spacing w:line="240" w:lineRule="auto"/>
              <w:jc w:val="both"/>
              <w:rPr>
                <w:rFonts w:ascii="Calibri" w:hAnsi="Calibri"/>
                <w:b/>
                <w:sz w:val="20"/>
                <w:szCs w:val="20"/>
              </w:rPr>
            </w:pPr>
            <w:r w:rsidRPr="00CD3086">
              <w:rPr>
                <w:rFonts w:ascii="Calibri" w:hAnsi="Calibri"/>
                <w:b/>
                <w:sz w:val="20"/>
                <w:szCs w:val="20"/>
              </w:rPr>
              <w:t>Batch of Students</w:t>
            </w:r>
          </w:p>
        </w:tc>
        <w:tc>
          <w:tcPr>
            <w:tcW w:w="3005" w:type="dxa"/>
            <w:tcBorders>
              <w:left w:val="nil"/>
              <w:bottom w:val="single" w:sz="4" w:space="0" w:color="auto"/>
              <w:right w:val="nil"/>
            </w:tcBorders>
          </w:tcPr>
          <w:p w14:paraId="48C08D49" w14:textId="0F07FC31" w:rsidR="005057E6" w:rsidRPr="00CD3086" w:rsidRDefault="005057E6" w:rsidP="00415755">
            <w:pPr>
              <w:spacing w:line="240" w:lineRule="auto"/>
              <w:jc w:val="both"/>
              <w:rPr>
                <w:rFonts w:ascii="Calibri" w:hAnsi="Calibri"/>
                <w:b/>
                <w:sz w:val="20"/>
                <w:szCs w:val="20"/>
              </w:rPr>
            </w:pPr>
            <w:r w:rsidRPr="00CD3086">
              <w:rPr>
                <w:rFonts w:ascii="Calibri" w:hAnsi="Calibri"/>
                <w:b/>
                <w:sz w:val="20"/>
                <w:szCs w:val="20"/>
              </w:rPr>
              <w:t>Frequency</w:t>
            </w:r>
          </w:p>
        </w:tc>
        <w:tc>
          <w:tcPr>
            <w:tcW w:w="3006" w:type="dxa"/>
            <w:tcBorders>
              <w:left w:val="nil"/>
              <w:bottom w:val="single" w:sz="4" w:space="0" w:color="auto"/>
              <w:right w:val="nil"/>
            </w:tcBorders>
          </w:tcPr>
          <w:p w14:paraId="1DF90CCD" w14:textId="2EC01B8A" w:rsidR="005057E6" w:rsidRPr="00CD3086" w:rsidRDefault="005057E6" w:rsidP="00415755">
            <w:pPr>
              <w:spacing w:line="240" w:lineRule="auto"/>
              <w:jc w:val="both"/>
              <w:rPr>
                <w:rFonts w:ascii="Calibri" w:hAnsi="Calibri"/>
                <w:b/>
                <w:sz w:val="20"/>
                <w:szCs w:val="20"/>
              </w:rPr>
            </w:pPr>
            <w:r w:rsidRPr="00CD3086">
              <w:rPr>
                <w:rFonts w:ascii="Calibri" w:hAnsi="Calibri"/>
                <w:b/>
                <w:sz w:val="20"/>
                <w:szCs w:val="20"/>
              </w:rPr>
              <w:t>Percentage</w:t>
            </w:r>
          </w:p>
        </w:tc>
      </w:tr>
      <w:tr w:rsidR="005057E6" w:rsidRPr="00CD3086" w14:paraId="307EF948" w14:textId="77777777" w:rsidTr="0007301F">
        <w:tc>
          <w:tcPr>
            <w:tcW w:w="3005" w:type="dxa"/>
            <w:tcBorders>
              <w:left w:val="nil"/>
              <w:bottom w:val="nil"/>
              <w:right w:val="nil"/>
            </w:tcBorders>
          </w:tcPr>
          <w:p w14:paraId="4A1F3A55" w14:textId="7D352499"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2020</w:t>
            </w:r>
          </w:p>
        </w:tc>
        <w:tc>
          <w:tcPr>
            <w:tcW w:w="3005" w:type="dxa"/>
            <w:tcBorders>
              <w:left w:val="nil"/>
              <w:bottom w:val="nil"/>
              <w:right w:val="nil"/>
            </w:tcBorders>
          </w:tcPr>
          <w:p w14:paraId="2B0DA606" w14:textId="509071F8"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46</w:t>
            </w:r>
          </w:p>
        </w:tc>
        <w:tc>
          <w:tcPr>
            <w:tcW w:w="3006" w:type="dxa"/>
            <w:tcBorders>
              <w:left w:val="nil"/>
              <w:bottom w:val="nil"/>
              <w:right w:val="nil"/>
            </w:tcBorders>
          </w:tcPr>
          <w:p w14:paraId="45A6F12C" w14:textId="5E7DEE6E"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23,2</w:t>
            </w:r>
          </w:p>
        </w:tc>
      </w:tr>
      <w:tr w:rsidR="005057E6" w:rsidRPr="00CD3086" w14:paraId="71EAFCA7" w14:textId="77777777" w:rsidTr="0007301F">
        <w:tc>
          <w:tcPr>
            <w:tcW w:w="3005" w:type="dxa"/>
            <w:tcBorders>
              <w:top w:val="nil"/>
              <w:left w:val="nil"/>
              <w:bottom w:val="nil"/>
              <w:right w:val="nil"/>
            </w:tcBorders>
          </w:tcPr>
          <w:p w14:paraId="122DFFE6" w14:textId="3388388C"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2021</w:t>
            </w:r>
          </w:p>
        </w:tc>
        <w:tc>
          <w:tcPr>
            <w:tcW w:w="3005" w:type="dxa"/>
            <w:tcBorders>
              <w:top w:val="nil"/>
              <w:left w:val="nil"/>
              <w:bottom w:val="nil"/>
              <w:right w:val="nil"/>
            </w:tcBorders>
          </w:tcPr>
          <w:p w14:paraId="09BECBA3" w14:textId="593DCECB"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42</w:t>
            </w:r>
          </w:p>
        </w:tc>
        <w:tc>
          <w:tcPr>
            <w:tcW w:w="3006" w:type="dxa"/>
            <w:tcBorders>
              <w:top w:val="nil"/>
              <w:left w:val="nil"/>
              <w:bottom w:val="nil"/>
              <w:right w:val="nil"/>
            </w:tcBorders>
          </w:tcPr>
          <w:p w14:paraId="7796DEB7" w14:textId="6DB94752"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21,2</w:t>
            </w:r>
          </w:p>
        </w:tc>
      </w:tr>
      <w:tr w:rsidR="005057E6" w:rsidRPr="00CD3086" w14:paraId="1FFE5C2E" w14:textId="77777777" w:rsidTr="0007301F">
        <w:tc>
          <w:tcPr>
            <w:tcW w:w="3005" w:type="dxa"/>
            <w:tcBorders>
              <w:top w:val="nil"/>
              <w:left w:val="nil"/>
              <w:bottom w:val="nil"/>
              <w:right w:val="nil"/>
            </w:tcBorders>
          </w:tcPr>
          <w:p w14:paraId="5EEB7B57" w14:textId="156467AC"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2022</w:t>
            </w:r>
          </w:p>
        </w:tc>
        <w:tc>
          <w:tcPr>
            <w:tcW w:w="3005" w:type="dxa"/>
            <w:tcBorders>
              <w:top w:val="nil"/>
              <w:left w:val="nil"/>
              <w:bottom w:val="nil"/>
              <w:right w:val="nil"/>
            </w:tcBorders>
          </w:tcPr>
          <w:p w14:paraId="0AE7AF5F" w14:textId="4BCFCE7D"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52</w:t>
            </w:r>
          </w:p>
        </w:tc>
        <w:tc>
          <w:tcPr>
            <w:tcW w:w="3006" w:type="dxa"/>
            <w:tcBorders>
              <w:top w:val="nil"/>
              <w:left w:val="nil"/>
              <w:bottom w:val="nil"/>
              <w:right w:val="nil"/>
            </w:tcBorders>
          </w:tcPr>
          <w:p w14:paraId="753F7F2A" w14:textId="37F45BFB"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26,3</w:t>
            </w:r>
          </w:p>
        </w:tc>
      </w:tr>
      <w:tr w:rsidR="005057E6" w:rsidRPr="00CD3086" w14:paraId="6942C0F1" w14:textId="77777777" w:rsidTr="0007301F">
        <w:tc>
          <w:tcPr>
            <w:tcW w:w="3005" w:type="dxa"/>
            <w:tcBorders>
              <w:top w:val="nil"/>
              <w:left w:val="nil"/>
              <w:bottom w:val="nil"/>
              <w:right w:val="nil"/>
            </w:tcBorders>
          </w:tcPr>
          <w:p w14:paraId="7C23162B" w14:textId="45FDCDC5"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2023</w:t>
            </w:r>
          </w:p>
        </w:tc>
        <w:tc>
          <w:tcPr>
            <w:tcW w:w="3005" w:type="dxa"/>
            <w:tcBorders>
              <w:top w:val="nil"/>
              <w:left w:val="nil"/>
              <w:bottom w:val="nil"/>
              <w:right w:val="nil"/>
            </w:tcBorders>
          </w:tcPr>
          <w:p w14:paraId="69165812" w14:textId="663D8D94"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58</w:t>
            </w:r>
          </w:p>
        </w:tc>
        <w:tc>
          <w:tcPr>
            <w:tcW w:w="3006" w:type="dxa"/>
            <w:tcBorders>
              <w:top w:val="nil"/>
              <w:left w:val="nil"/>
              <w:bottom w:val="nil"/>
              <w:right w:val="nil"/>
            </w:tcBorders>
          </w:tcPr>
          <w:p w14:paraId="193D8C79" w14:textId="63D5F7C4" w:rsidR="005057E6" w:rsidRPr="00CD3086" w:rsidRDefault="005057E6" w:rsidP="00415755">
            <w:pPr>
              <w:spacing w:line="240" w:lineRule="auto"/>
              <w:jc w:val="both"/>
              <w:rPr>
                <w:rFonts w:ascii="Calibri" w:hAnsi="Calibri"/>
                <w:bCs/>
                <w:sz w:val="20"/>
                <w:szCs w:val="20"/>
              </w:rPr>
            </w:pPr>
            <w:r w:rsidRPr="00CD3086">
              <w:rPr>
                <w:rFonts w:ascii="Calibri" w:hAnsi="Calibri"/>
                <w:bCs/>
                <w:sz w:val="20"/>
                <w:szCs w:val="20"/>
              </w:rPr>
              <w:t>29,3</w:t>
            </w:r>
          </w:p>
        </w:tc>
      </w:tr>
      <w:tr w:rsidR="005057E6" w:rsidRPr="00CD3086" w14:paraId="0E98F8C7" w14:textId="77777777" w:rsidTr="0007301F">
        <w:tc>
          <w:tcPr>
            <w:tcW w:w="3005" w:type="dxa"/>
            <w:tcBorders>
              <w:top w:val="nil"/>
              <w:left w:val="nil"/>
              <w:right w:val="nil"/>
            </w:tcBorders>
          </w:tcPr>
          <w:p w14:paraId="40F0C63A" w14:textId="049B0CB0" w:rsidR="005057E6" w:rsidRPr="00CD3086" w:rsidRDefault="005057E6" w:rsidP="00415755">
            <w:pPr>
              <w:spacing w:line="240" w:lineRule="auto"/>
              <w:jc w:val="both"/>
              <w:rPr>
                <w:rFonts w:ascii="Calibri" w:hAnsi="Calibri"/>
                <w:b/>
                <w:sz w:val="20"/>
                <w:szCs w:val="20"/>
              </w:rPr>
            </w:pPr>
            <w:r w:rsidRPr="00CD3086">
              <w:rPr>
                <w:rFonts w:ascii="Calibri" w:hAnsi="Calibri"/>
                <w:b/>
                <w:sz w:val="20"/>
                <w:szCs w:val="20"/>
              </w:rPr>
              <w:t>Total</w:t>
            </w:r>
          </w:p>
        </w:tc>
        <w:tc>
          <w:tcPr>
            <w:tcW w:w="3005" w:type="dxa"/>
            <w:tcBorders>
              <w:top w:val="nil"/>
              <w:left w:val="nil"/>
              <w:right w:val="nil"/>
            </w:tcBorders>
          </w:tcPr>
          <w:p w14:paraId="6FF16F64" w14:textId="72AA9045" w:rsidR="005057E6" w:rsidRPr="00CD3086" w:rsidRDefault="005057E6" w:rsidP="00415755">
            <w:pPr>
              <w:spacing w:line="240" w:lineRule="auto"/>
              <w:jc w:val="both"/>
              <w:rPr>
                <w:rFonts w:ascii="Calibri" w:hAnsi="Calibri"/>
                <w:b/>
                <w:sz w:val="20"/>
                <w:szCs w:val="20"/>
              </w:rPr>
            </w:pPr>
            <w:r w:rsidRPr="00CD3086">
              <w:rPr>
                <w:rFonts w:ascii="Calibri" w:hAnsi="Calibri"/>
                <w:b/>
                <w:sz w:val="20"/>
                <w:szCs w:val="20"/>
              </w:rPr>
              <w:t>198</w:t>
            </w:r>
          </w:p>
        </w:tc>
        <w:tc>
          <w:tcPr>
            <w:tcW w:w="3006" w:type="dxa"/>
            <w:tcBorders>
              <w:top w:val="nil"/>
              <w:left w:val="nil"/>
              <w:right w:val="nil"/>
            </w:tcBorders>
          </w:tcPr>
          <w:p w14:paraId="1C4B44BE" w14:textId="475AA36D" w:rsidR="005057E6" w:rsidRPr="00CD3086" w:rsidRDefault="005057E6" w:rsidP="00415755">
            <w:pPr>
              <w:spacing w:line="240" w:lineRule="auto"/>
              <w:jc w:val="both"/>
              <w:rPr>
                <w:rFonts w:ascii="Calibri" w:hAnsi="Calibri"/>
                <w:b/>
                <w:sz w:val="20"/>
                <w:szCs w:val="20"/>
              </w:rPr>
            </w:pPr>
            <w:r w:rsidRPr="00CD3086">
              <w:rPr>
                <w:rFonts w:ascii="Calibri" w:hAnsi="Calibri"/>
                <w:b/>
                <w:sz w:val="20"/>
                <w:szCs w:val="20"/>
              </w:rPr>
              <w:t>100</w:t>
            </w:r>
          </w:p>
        </w:tc>
      </w:tr>
    </w:tbl>
    <w:p w14:paraId="65BBF11E" w14:textId="77777777" w:rsidR="004E5986" w:rsidRPr="00CD3086" w:rsidRDefault="004E5986" w:rsidP="004E5986">
      <w:pPr>
        <w:pStyle w:val="ListParagraph"/>
        <w:ind w:left="6521" w:firstLine="284"/>
        <w:jc w:val="both"/>
        <w:rPr>
          <w:sz w:val="20"/>
          <w:szCs w:val="20"/>
        </w:rPr>
      </w:pPr>
      <w:r w:rsidRPr="00CD3086">
        <w:rPr>
          <w:rFonts w:eastAsia="SimSun"/>
          <w:i/>
          <w:iCs/>
          <w:sz w:val="20"/>
          <w:szCs w:val="20"/>
          <w:lang w:val="en-US" w:eastAsia="zh-CN"/>
        </w:rPr>
        <w:t>Source: Primary Data 2023</w:t>
      </w:r>
    </w:p>
    <w:bookmarkEnd w:id="4"/>
    <w:p w14:paraId="1E261B0E" w14:textId="6A8EBF72" w:rsidR="00803D4C" w:rsidRPr="00225131" w:rsidRDefault="00803D4C" w:rsidP="00415755">
      <w:pPr>
        <w:spacing w:line="240" w:lineRule="auto"/>
        <w:jc w:val="both"/>
        <w:rPr>
          <w:rFonts w:asciiTheme="minorHAnsi" w:hAnsiTheme="minorHAnsi" w:cstheme="minorHAnsi"/>
        </w:rPr>
      </w:pPr>
      <w:r w:rsidRPr="00225131">
        <w:rPr>
          <w:rFonts w:asciiTheme="minorHAnsi" w:hAnsiTheme="minorHAnsi" w:cstheme="minorHAnsi"/>
        </w:rPr>
        <w:t xml:space="preserve">Table 3 shows the </w:t>
      </w:r>
      <w:r w:rsidR="00DB73AD">
        <w:rPr>
          <w:rFonts w:asciiTheme="minorHAnsi" w:hAnsiTheme="minorHAnsi" w:cstheme="minorHAnsi"/>
        </w:rPr>
        <w:t xml:space="preserve">batches </w:t>
      </w:r>
      <w:r w:rsidRPr="00225131">
        <w:rPr>
          <w:rFonts w:asciiTheme="minorHAnsi" w:hAnsiTheme="minorHAnsi" w:cstheme="minorHAnsi"/>
        </w:rPr>
        <w:t>of students who participated in this research. We obtained the number of student samples from the proportional allocation formula through proportionate stratified random sampling.</w:t>
      </w:r>
    </w:p>
    <w:p w14:paraId="68CF1408" w14:textId="73F5CBD5" w:rsidR="0074381E" w:rsidRPr="00CD3086" w:rsidRDefault="00DB73AD" w:rsidP="00DB73AD">
      <w:pPr>
        <w:spacing w:before="120" w:after="0" w:line="240" w:lineRule="auto"/>
        <w:jc w:val="center"/>
        <w:rPr>
          <w:bCs/>
          <w:sz w:val="20"/>
          <w:szCs w:val="20"/>
          <w:lang w:val="en-US"/>
        </w:rPr>
      </w:pPr>
      <w:bookmarkStart w:id="5" w:name="_Hlk162865638"/>
      <w:r w:rsidRPr="00CD3086">
        <w:rPr>
          <w:b/>
          <w:sz w:val="20"/>
          <w:szCs w:val="20"/>
          <w:lang w:val="en-US"/>
        </w:rPr>
        <w:t>Table 4.</w:t>
      </w:r>
      <w:r w:rsidRPr="00CD3086">
        <w:rPr>
          <w:bCs/>
          <w:sz w:val="20"/>
          <w:szCs w:val="20"/>
          <w:lang w:val="en-US"/>
        </w:rPr>
        <w:t xml:space="preserve"> </w:t>
      </w:r>
      <w:r w:rsidRPr="00CD3086">
        <w:rPr>
          <w:sz w:val="20"/>
          <w:szCs w:val="20"/>
        </w:rPr>
        <w:t>Distribution of Participants Based on Student Status</w:t>
      </w:r>
    </w:p>
    <w:tbl>
      <w:tblPr>
        <w:tblStyle w:val="TableGrid"/>
        <w:tblW w:w="0" w:type="auto"/>
        <w:tblLook w:val="04A0" w:firstRow="1" w:lastRow="0" w:firstColumn="1" w:lastColumn="0" w:noHBand="0" w:noVBand="1"/>
      </w:tblPr>
      <w:tblGrid>
        <w:gridCol w:w="3005"/>
        <w:gridCol w:w="3005"/>
        <w:gridCol w:w="3006"/>
      </w:tblGrid>
      <w:tr w:rsidR="009A4312" w:rsidRPr="00CD3086" w14:paraId="0F0E93CE" w14:textId="77777777" w:rsidTr="0007301F">
        <w:tc>
          <w:tcPr>
            <w:tcW w:w="3005" w:type="dxa"/>
            <w:tcBorders>
              <w:left w:val="nil"/>
              <w:bottom w:val="single" w:sz="4" w:space="0" w:color="auto"/>
              <w:right w:val="nil"/>
            </w:tcBorders>
          </w:tcPr>
          <w:p w14:paraId="31B14F2B" w14:textId="49ED6BC0"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Status</w:t>
            </w:r>
          </w:p>
        </w:tc>
        <w:tc>
          <w:tcPr>
            <w:tcW w:w="3005" w:type="dxa"/>
            <w:tcBorders>
              <w:left w:val="nil"/>
              <w:bottom w:val="single" w:sz="4" w:space="0" w:color="auto"/>
              <w:right w:val="nil"/>
            </w:tcBorders>
          </w:tcPr>
          <w:p w14:paraId="7A36F76A" w14:textId="77777777"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Frequency</w:t>
            </w:r>
          </w:p>
        </w:tc>
        <w:tc>
          <w:tcPr>
            <w:tcW w:w="3006" w:type="dxa"/>
            <w:tcBorders>
              <w:left w:val="nil"/>
              <w:bottom w:val="single" w:sz="4" w:space="0" w:color="auto"/>
              <w:right w:val="nil"/>
            </w:tcBorders>
          </w:tcPr>
          <w:p w14:paraId="29BE92B3" w14:textId="77777777"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Percentage</w:t>
            </w:r>
          </w:p>
        </w:tc>
      </w:tr>
      <w:tr w:rsidR="009A4312" w:rsidRPr="00CD3086" w14:paraId="53A13340" w14:textId="77777777" w:rsidTr="0007301F">
        <w:tc>
          <w:tcPr>
            <w:tcW w:w="3005" w:type="dxa"/>
            <w:tcBorders>
              <w:left w:val="nil"/>
              <w:bottom w:val="nil"/>
              <w:right w:val="nil"/>
            </w:tcBorders>
          </w:tcPr>
          <w:p w14:paraId="3D48F0D8" w14:textId="1DF2EF44"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Studying while working</w:t>
            </w:r>
          </w:p>
        </w:tc>
        <w:tc>
          <w:tcPr>
            <w:tcW w:w="3005" w:type="dxa"/>
            <w:tcBorders>
              <w:left w:val="nil"/>
              <w:bottom w:val="nil"/>
              <w:right w:val="nil"/>
            </w:tcBorders>
          </w:tcPr>
          <w:p w14:paraId="324C7259" w14:textId="0ED325C2"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56</w:t>
            </w:r>
          </w:p>
        </w:tc>
        <w:tc>
          <w:tcPr>
            <w:tcW w:w="3006" w:type="dxa"/>
            <w:tcBorders>
              <w:left w:val="nil"/>
              <w:bottom w:val="nil"/>
              <w:right w:val="nil"/>
            </w:tcBorders>
          </w:tcPr>
          <w:p w14:paraId="39CB9F0B" w14:textId="58D821D1"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28,3</w:t>
            </w:r>
          </w:p>
        </w:tc>
      </w:tr>
      <w:tr w:rsidR="009A4312" w:rsidRPr="00CD3086" w14:paraId="3BF0FCA9" w14:textId="77777777" w:rsidTr="0007301F">
        <w:tc>
          <w:tcPr>
            <w:tcW w:w="3005" w:type="dxa"/>
            <w:tcBorders>
              <w:top w:val="nil"/>
              <w:left w:val="nil"/>
              <w:bottom w:val="nil"/>
              <w:right w:val="nil"/>
            </w:tcBorders>
          </w:tcPr>
          <w:p w14:paraId="6A37F850" w14:textId="72B2900B" w:rsidR="009A4312" w:rsidRPr="00CD3086" w:rsidRDefault="009A4312" w:rsidP="00B175F1">
            <w:pPr>
              <w:spacing w:line="240" w:lineRule="auto"/>
              <w:jc w:val="both"/>
              <w:rPr>
                <w:rFonts w:ascii="Calibri" w:hAnsi="Calibri"/>
                <w:bCs/>
                <w:sz w:val="20"/>
                <w:szCs w:val="20"/>
              </w:rPr>
            </w:pPr>
            <w:proofErr w:type="spellStart"/>
            <w:r w:rsidRPr="00CD3086">
              <w:rPr>
                <w:rFonts w:ascii="Calibri" w:hAnsi="Calibri"/>
                <w:bCs/>
                <w:sz w:val="20"/>
                <w:szCs w:val="20"/>
              </w:rPr>
              <w:t>Santri</w:t>
            </w:r>
            <w:proofErr w:type="spellEnd"/>
            <w:r w:rsidRPr="00CD3086">
              <w:rPr>
                <w:rFonts w:ascii="Calibri" w:hAnsi="Calibri"/>
                <w:bCs/>
                <w:sz w:val="20"/>
                <w:szCs w:val="20"/>
              </w:rPr>
              <w:t xml:space="preserve"> students</w:t>
            </w:r>
          </w:p>
        </w:tc>
        <w:tc>
          <w:tcPr>
            <w:tcW w:w="3005" w:type="dxa"/>
            <w:tcBorders>
              <w:top w:val="nil"/>
              <w:left w:val="nil"/>
              <w:bottom w:val="nil"/>
              <w:right w:val="nil"/>
            </w:tcBorders>
          </w:tcPr>
          <w:p w14:paraId="003DFBA5" w14:textId="34402D3D"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31</w:t>
            </w:r>
          </w:p>
        </w:tc>
        <w:tc>
          <w:tcPr>
            <w:tcW w:w="3006" w:type="dxa"/>
            <w:tcBorders>
              <w:top w:val="nil"/>
              <w:left w:val="nil"/>
              <w:bottom w:val="nil"/>
              <w:right w:val="nil"/>
            </w:tcBorders>
          </w:tcPr>
          <w:p w14:paraId="64EB8F9A" w14:textId="1B56028A"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15,7</w:t>
            </w:r>
          </w:p>
        </w:tc>
      </w:tr>
      <w:tr w:rsidR="009A4312" w:rsidRPr="00CD3086" w14:paraId="6B01CDFE" w14:textId="77777777" w:rsidTr="0007301F">
        <w:tc>
          <w:tcPr>
            <w:tcW w:w="3005" w:type="dxa"/>
            <w:tcBorders>
              <w:top w:val="nil"/>
              <w:left w:val="nil"/>
              <w:bottom w:val="nil"/>
              <w:right w:val="nil"/>
            </w:tcBorders>
          </w:tcPr>
          <w:p w14:paraId="2719AEF8" w14:textId="7AA97BF0"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Join the organization</w:t>
            </w:r>
          </w:p>
        </w:tc>
        <w:tc>
          <w:tcPr>
            <w:tcW w:w="3005" w:type="dxa"/>
            <w:tcBorders>
              <w:top w:val="nil"/>
              <w:left w:val="nil"/>
              <w:bottom w:val="nil"/>
              <w:right w:val="nil"/>
            </w:tcBorders>
          </w:tcPr>
          <w:p w14:paraId="1F5A3630" w14:textId="779CA739"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36</w:t>
            </w:r>
          </w:p>
        </w:tc>
        <w:tc>
          <w:tcPr>
            <w:tcW w:w="3006" w:type="dxa"/>
            <w:tcBorders>
              <w:top w:val="nil"/>
              <w:left w:val="nil"/>
              <w:bottom w:val="nil"/>
              <w:right w:val="nil"/>
            </w:tcBorders>
          </w:tcPr>
          <w:p w14:paraId="62DD9DF6" w14:textId="34A8C1DB"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18,2</w:t>
            </w:r>
          </w:p>
        </w:tc>
      </w:tr>
      <w:tr w:rsidR="009A4312" w:rsidRPr="00CD3086" w14:paraId="6A5F2CA4" w14:textId="77777777" w:rsidTr="0007301F">
        <w:tc>
          <w:tcPr>
            <w:tcW w:w="3005" w:type="dxa"/>
            <w:tcBorders>
              <w:top w:val="nil"/>
              <w:left w:val="nil"/>
              <w:bottom w:val="nil"/>
              <w:right w:val="nil"/>
            </w:tcBorders>
          </w:tcPr>
          <w:p w14:paraId="3F486B21" w14:textId="116134C0"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 xml:space="preserve">Studying while working and </w:t>
            </w:r>
            <w:proofErr w:type="spellStart"/>
            <w:r w:rsidRPr="00CD3086">
              <w:rPr>
                <w:rFonts w:ascii="Calibri" w:hAnsi="Calibri"/>
                <w:bCs/>
                <w:sz w:val="20"/>
                <w:szCs w:val="20"/>
              </w:rPr>
              <w:t>Santri</w:t>
            </w:r>
            <w:proofErr w:type="spellEnd"/>
            <w:r w:rsidRPr="00CD3086">
              <w:rPr>
                <w:rFonts w:ascii="Calibri" w:hAnsi="Calibri"/>
                <w:bCs/>
                <w:sz w:val="20"/>
                <w:szCs w:val="20"/>
              </w:rPr>
              <w:t xml:space="preserve"> students </w:t>
            </w:r>
          </w:p>
        </w:tc>
        <w:tc>
          <w:tcPr>
            <w:tcW w:w="3005" w:type="dxa"/>
            <w:tcBorders>
              <w:top w:val="nil"/>
              <w:left w:val="nil"/>
              <w:bottom w:val="nil"/>
              <w:right w:val="nil"/>
            </w:tcBorders>
          </w:tcPr>
          <w:p w14:paraId="5842B385" w14:textId="7FFA30BE"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4</w:t>
            </w:r>
          </w:p>
        </w:tc>
        <w:tc>
          <w:tcPr>
            <w:tcW w:w="3006" w:type="dxa"/>
            <w:tcBorders>
              <w:top w:val="nil"/>
              <w:left w:val="nil"/>
              <w:bottom w:val="nil"/>
              <w:right w:val="nil"/>
            </w:tcBorders>
          </w:tcPr>
          <w:p w14:paraId="11EDC9B0" w14:textId="2341DA11"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2</w:t>
            </w:r>
          </w:p>
        </w:tc>
      </w:tr>
      <w:tr w:rsidR="009A4312" w:rsidRPr="00CD3086" w14:paraId="6AAD08DD" w14:textId="77777777" w:rsidTr="0007301F">
        <w:tc>
          <w:tcPr>
            <w:tcW w:w="3005" w:type="dxa"/>
            <w:tcBorders>
              <w:top w:val="nil"/>
              <w:left w:val="nil"/>
              <w:bottom w:val="nil"/>
              <w:right w:val="nil"/>
            </w:tcBorders>
          </w:tcPr>
          <w:p w14:paraId="60408943" w14:textId="194775A6"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 xml:space="preserve">Studying while working and </w:t>
            </w:r>
            <w:proofErr w:type="gramStart"/>
            <w:r w:rsidRPr="00CD3086">
              <w:rPr>
                <w:rFonts w:ascii="Calibri" w:hAnsi="Calibri"/>
                <w:bCs/>
                <w:sz w:val="20"/>
                <w:szCs w:val="20"/>
              </w:rPr>
              <w:t>Join</w:t>
            </w:r>
            <w:proofErr w:type="gramEnd"/>
            <w:r w:rsidRPr="00CD3086">
              <w:rPr>
                <w:rFonts w:ascii="Calibri" w:hAnsi="Calibri"/>
                <w:bCs/>
                <w:sz w:val="20"/>
                <w:szCs w:val="20"/>
              </w:rPr>
              <w:t xml:space="preserve"> the organization</w:t>
            </w:r>
          </w:p>
        </w:tc>
        <w:tc>
          <w:tcPr>
            <w:tcW w:w="3005" w:type="dxa"/>
            <w:tcBorders>
              <w:top w:val="nil"/>
              <w:left w:val="nil"/>
              <w:bottom w:val="nil"/>
              <w:right w:val="nil"/>
            </w:tcBorders>
          </w:tcPr>
          <w:p w14:paraId="26DEA895" w14:textId="3C2CF55D"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7</w:t>
            </w:r>
          </w:p>
        </w:tc>
        <w:tc>
          <w:tcPr>
            <w:tcW w:w="3006" w:type="dxa"/>
            <w:tcBorders>
              <w:top w:val="nil"/>
              <w:left w:val="nil"/>
              <w:bottom w:val="nil"/>
              <w:right w:val="nil"/>
            </w:tcBorders>
          </w:tcPr>
          <w:p w14:paraId="46F61C6B" w14:textId="75ABA7C3"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3,5</w:t>
            </w:r>
          </w:p>
        </w:tc>
      </w:tr>
      <w:tr w:rsidR="009A4312" w:rsidRPr="00CD3086" w14:paraId="249C2454" w14:textId="77777777" w:rsidTr="0007301F">
        <w:tc>
          <w:tcPr>
            <w:tcW w:w="3005" w:type="dxa"/>
            <w:tcBorders>
              <w:top w:val="nil"/>
              <w:left w:val="nil"/>
              <w:bottom w:val="nil"/>
              <w:right w:val="nil"/>
            </w:tcBorders>
          </w:tcPr>
          <w:p w14:paraId="5E193204" w14:textId="49B08978" w:rsidR="009A4312" w:rsidRPr="00CD3086" w:rsidRDefault="009A4312" w:rsidP="00B175F1">
            <w:pPr>
              <w:spacing w:line="240" w:lineRule="auto"/>
              <w:jc w:val="both"/>
              <w:rPr>
                <w:rFonts w:ascii="Calibri" w:hAnsi="Calibri"/>
                <w:bCs/>
                <w:sz w:val="20"/>
                <w:szCs w:val="20"/>
              </w:rPr>
            </w:pPr>
            <w:proofErr w:type="spellStart"/>
            <w:r w:rsidRPr="00CD3086">
              <w:rPr>
                <w:rFonts w:ascii="Calibri" w:hAnsi="Calibri"/>
                <w:bCs/>
                <w:sz w:val="20"/>
                <w:szCs w:val="20"/>
              </w:rPr>
              <w:t>Santri</w:t>
            </w:r>
            <w:proofErr w:type="spellEnd"/>
            <w:r w:rsidRPr="00CD3086">
              <w:rPr>
                <w:rFonts w:ascii="Calibri" w:hAnsi="Calibri"/>
                <w:bCs/>
                <w:sz w:val="20"/>
                <w:szCs w:val="20"/>
              </w:rPr>
              <w:t xml:space="preserve"> students and </w:t>
            </w:r>
            <w:proofErr w:type="gramStart"/>
            <w:r w:rsidRPr="00CD3086">
              <w:rPr>
                <w:rFonts w:ascii="Calibri" w:hAnsi="Calibri"/>
                <w:bCs/>
                <w:sz w:val="20"/>
                <w:szCs w:val="20"/>
              </w:rPr>
              <w:t>Join</w:t>
            </w:r>
            <w:proofErr w:type="gramEnd"/>
            <w:r w:rsidRPr="00CD3086">
              <w:rPr>
                <w:rFonts w:ascii="Calibri" w:hAnsi="Calibri"/>
                <w:bCs/>
                <w:sz w:val="20"/>
                <w:szCs w:val="20"/>
              </w:rPr>
              <w:t xml:space="preserve"> the organization</w:t>
            </w:r>
          </w:p>
        </w:tc>
        <w:tc>
          <w:tcPr>
            <w:tcW w:w="3005" w:type="dxa"/>
            <w:tcBorders>
              <w:top w:val="nil"/>
              <w:left w:val="nil"/>
              <w:bottom w:val="nil"/>
              <w:right w:val="nil"/>
            </w:tcBorders>
          </w:tcPr>
          <w:p w14:paraId="07A0BA55" w14:textId="2A1F5F93"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11</w:t>
            </w:r>
          </w:p>
        </w:tc>
        <w:tc>
          <w:tcPr>
            <w:tcW w:w="3006" w:type="dxa"/>
            <w:tcBorders>
              <w:top w:val="nil"/>
              <w:left w:val="nil"/>
              <w:bottom w:val="nil"/>
              <w:right w:val="nil"/>
            </w:tcBorders>
          </w:tcPr>
          <w:p w14:paraId="3C18F5D8" w14:textId="1B109627"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5,5</w:t>
            </w:r>
          </w:p>
        </w:tc>
      </w:tr>
      <w:tr w:rsidR="009A4312" w:rsidRPr="00CD3086" w14:paraId="67AB1C1D" w14:textId="77777777" w:rsidTr="0007301F">
        <w:tc>
          <w:tcPr>
            <w:tcW w:w="3005" w:type="dxa"/>
            <w:tcBorders>
              <w:top w:val="nil"/>
              <w:left w:val="nil"/>
              <w:bottom w:val="nil"/>
              <w:right w:val="nil"/>
            </w:tcBorders>
          </w:tcPr>
          <w:p w14:paraId="0A1C4652" w14:textId="08B0ADB4"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 xml:space="preserve">All </w:t>
            </w:r>
          </w:p>
        </w:tc>
        <w:tc>
          <w:tcPr>
            <w:tcW w:w="3005" w:type="dxa"/>
            <w:tcBorders>
              <w:top w:val="nil"/>
              <w:left w:val="nil"/>
              <w:bottom w:val="nil"/>
              <w:right w:val="nil"/>
            </w:tcBorders>
          </w:tcPr>
          <w:p w14:paraId="79C27C7F" w14:textId="10A2447A"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2</w:t>
            </w:r>
          </w:p>
        </w:tc>
        <w:tc>
          <w:tcPr>
            <w:tcW w:w="3006" w:type="dxa"/>
            <w:tcBorders>
              <w:top w:val="nil"/>
              <w:left w:val="nil"/>
              <w:bottom w:val="nil"/>
              <w:right w:val="nil"/>
            </w:tcBorders>
          </w:tcPr>
          <w:p w14:paraId="352F03A2" w14:textId="665D043F"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1</w:t>
            </w:r>
          </w:p>
        </w:tc>
      </w:tr>
      <w:tr w:rsidR="009A4312" w:rsidRPr="00CD3086" w14:paraId="5EE8D369" w14:textId="77777777" w:rsidTr="0007301F">
        <w:tc>
          <w:tcPr>
            <w:tcW w:w="3005" w:type="dxa"/>
            <w:tcBorders>
              <w:top w:val="nil"/>
              <w:left w:val="nil"/>
              <w:bottom w:val="nil"/>
              <w:right w:val="nil"/>
            </w:tcBorders>
          </w:tcPr>
          <w:p w14:paraId="7C2EAF39" w14:textId="62CFD2F3"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 xml:space="preserve">Not </w:t>
            </w:r>
          </w:p>
        </w:tc>
        <w:tc>
          <w:tcPr>
            <w:tcW w:w="3005" w:type="dxa"/>
            <w:tcBorders>
              <w:top w:val="nil"/>
              <w:left w:val="nil"/>
              <w:bottom w:val="nil"/>
              <w:right w:val="nil"/>
            </w:tcBorders>
          </w:tcPr>
          <w:p w14:paraId="2605130C" w14:textId="24F9A5EA"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51</w:t>
            </w:r>
          </w:p>
        </w:tc>
        <w:tc>
          <w:tcPr>
            <w:tcW w:w="3006" w:type="dxa"/>
            <w:tcBorders>
              <w:top w:val="nil"/>
              <w:left w:val="nil"/>
              <w:bottom w:val="nil"/>
              <w:right w:val="nil"/>
            </w:tcBorders>
          </w:tcPr>
          <w:p w14:paraId="2BB87838" w14:textId="430DFED6" w:rsidR="009A4312" w:rsidRPr="00CD3086" w:rsidRDefault="009A4312" w:rsidP="00B175F1">
            <w:pPr>
              <w:spacing w:line="240" w:lineRule="auto"/>
              <w:jc w:val="both"/>
              <w:rPr>
                <w:rFonts w:ascii="Calibri" w:hAnsi="Calibri"/>
                <w:bCs/>
                <w:sz w:val="20"/>
                <w:szCs w:val="20"/>
              </w:rPr>
            </w:pPr>
            <w:r w:rsidRPr="00CD3086">
              <w:rPr>
                <w:rFonts w:ascii="Calibri" w:hAnsi="Calibri"/>
                <w:bCs/>
                <w:sz w:val="20"/>
                <w:szCs w:val="20"/>
              </w:rPr>
              <w:t>25,8</w:t>
            </w:r>
          </w:p>
        </w:tc>
      </w:tr>
      <w:tr w:rsidR="009A4312" w:rsidRPr="00CD3086" w14:paraId="0E53D745" w14:textId="77777777" w:rsidTr="0007301F">
        <w:tc>
          <w:tcPr>
            <w:tcW w:w="3005" w:type="dxa"/>
            <w:tcBorders>
              <w:top w:val="nil"/>
              <w:left w:val="nil"/>
              <w:right w:val="nil"/>
            </w:tcBorders>
          </w:tcPr>
          <w:p w14:paraId="5EF8F0CF" w14:textId="673DF69D"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Total</w:t>
            </w:r>
          </w:p>
        </w:tc>
        <w:tc>
          <w:tcPr>
            <w:tcW w:w="3005" w:type="dxa"/>
            <w:tcBorders>
              <w:top w:val="nil"/>
              <w:left w:val="nil"/>
              <w:right w:val="nil"/>
            </w:tcBorders>
          </w:tcPr>
          <w:p w14:paraId="0F3B212D" w14:textId="4D9D176D"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198</w:t>
            </w:r>
          </w:p>
        </w:tc>
        <w:tc>
          <w:tcPr>
            <w:tcW w:w="3006" w:type="dxa"/>
            <w:tcBorders>
              <w:top w:val="nil"/>
              <w:left w:val="nil"/>
              <w:right w:val="nil"/>
            </w:tcBorders>
          </w:tcPr>
          <w:p w14:paraId="6A746501" w14:textId="18A3407B" w:rsidR="009A4312" w:rsidRPr="00CD3086" w:rsidRDefault="009A4312" w:rsidP="00B175F1">
            <w:pPr>
              <w:spacing w:line="240" w:lineRule="auto"/>
              <w:jc w:val="both"/>
              <w:rPr>
                <w:rFonts w:ascii="Calibri" w:hAnsi="Calibri"/>
                <w:b/>
                <w:sz w:val="20"/>
                <w:szCs w:val="20"/>
              </w:rPr>
            </w:pPr>
            <w:r w:rsidRPr="00CD3086">
              <w:rPr>
                <w:rFonts w:ascii="Calibri" w:hAnsi="Calibri"/>
                <w:b/>
                <w:sz w:val="20"/>
                <w:szCs w:val="20"/>
              </w:rPr>
              <w:t>100</w:t>
            </w:r>
          </w:p>
        </w:tc>
      </w:tr>
    </w:tbl>
    <w:p w14:paraId="786D0281" w14:textId="472F5FED" w:rsidR="004E5986" w:rsidRPr="00CD3086" w:rsidRDefault="004E5986" w:rsidP="004E5986">
      <w:pPr>
        <w:pStyle w:val="ListParagraph"/>
        <w:ind w:left="6521" w:firstLine="284"/>
        <w:jc w:val="both"/>
        <w:rPr>
          <w:sz w:val="20"/>
          <w:szCs w:val="20"/>
        </w:rPr>
      </w:pPr>
      <w:r w:rsidRPr="00CD3086">
        <w:rPr>
          <w:rFonts w:eastAsia="SimSun"/>
          <w:i/>
          <w:iCs/>
          <w:sz w:val="20"/>
          <w:szCs w:val="20"/>
          <w:lang w:val="en-US" w:eastAsia="zh-CN"/>
        </w:rPr>
        <w:t>Source: Primary Data 2023</w:t>
      </w:r>
    </w:p>
    <w:bookmarkEnd w:id="5"/>
    <w:p w14:paraId="27BA0E8A" w14:textId="77777777" w:rsidR="00C90D5D" w:rsidRDefault="00BD5D51" w:rsidP="00C90D5D">
      <w:pPr>
        <w:spacing w:line="240" w:lineRule="auto"/>
        <w:ind w:firstLine="284"/>
        <w:jc w:val="both"/>
        <w:rPr>
          <w:bCs/>
          <w:lang w:val="en-US"/>
        </w:rPr>
      </w:pPr>
      <w:r w:rsidRPr="00BD5D51">
        <w:rPr>
          <w:bCs/>
          <w:lang w:val="en-US"/>
        </w:rPr>
        <w:lastRenderedPageBreak/>
        <w:t>Table 4 explains that more students are burdened with studying while working. This is due to students' desire to reduce the burden on their parents regarding finances, gain experience in the world of work, and meet the demands of life's necessities.</w:t>
      </w:r>
    </w:p>
    <w:p w14:paraId="020F5463" w14:textId="1D527F62" w:rsidR="00C979C2" w:rsidRDefault="00225131" w:rsidP="00225131">
      <w:pPr>
        <w:spacing w:line="240" w:lineRule="auto"/>
        <w:ind w:left="426" w:hanging="426"/>
        <w:jc w:val="both"/>
        <w:rPr>
          <w:b/>
          <w:lang w:val="en-US"/>
        </w:rPr>
      </w:pPr>
      <w:bookmarkStart w:id="6" w:name="_Hlk162865656"/>
      <w:r>
        <w:rPr>
          <w:b/>
          <w:lang w:val="en-US"/>
        </w:rPr>
        <w:t xml:space="preserve">4.2. </w:t>
      </w:r>
      <w:r w:rsidRPr="00225131">
        <w:rPr>
          <w:b/>
          <w:lang w:val="en-US"/>
        </w:rPr>
        <w:t>Differences in Self-Efficacy, Self-Management, and Student Achievement Index in terms of Gender</w:t>
      </w:r>
    </w:p>
    <w:bookmarkEnd w:id="6"/>
    <w:p w14:paraId="017818EC" w14:textId="7E43A325" w:rsidR="00E2752D" w:rsidRPr="00935AEB" w:rsidRDefault="00BD5D51" w:rsidP="00935AEB">
      <w:pPr>
        <w:pStyle w:val="ListParagraph"/>
        <w:spacing w:before="120" w:after="0" w:line="240" w:lineRule="auto"/>
        <w:ind w:left="0" w:firstLine="284"/>
        <w:jc w:val="both"/>
        <w:rPr>
          <w:rFonts w:asciiTheme="minorHAnsi" w:hAnsiTheme="minorHAnsi" w:cstheme="minorHAnsi"/>
          <w:lang w:val="en-US"/>
        </w:rPr>
      </w:pPr>
      <w:r w:rsidRPr="00225131">
        <w:rPr>
          <w:rFonts w:asciiTheme="minorHAnsi" w:hAnsiTheme="minorHAnsi" w:cstheme="minorHAnsi"/>
          <w:lang w:val="en-US"/>
        </w:rPr>
        <w:t>Testing of differences in student self-efficacy, self-management, and achievement indexes based on gender was carried out using the Mann-Whitney test. The Mann-Whitney test is a non-parametric statistical test used to find differences between groups with two different criteria</w:t>
      </w:r>
      <w:r w:rsidRPr="00225131">
        <w:rPr>
          <w:rFonts w:asciiTheme="minorHAnsi" w:hAnsiTheme="minorHAnsi" w:cstheme="minorHAnsi"/>
        </w:rPr>
        <w:t>.</w:t>
      </w:r>
      <w:r w:rsidRPr="00225131">
        <w:rPr>
          <w:rFonts w:asciiTheme="minorHAnsi" w:hAnsiTheme="minorHAnsi" w:cstheme="minorHAnsi"/>
          <w:lang w:val="en-US"/>
        </w:rPr>
        <w:t xml:space="preserve"> </w:t>
      </w:r>
    </w:p>
    <w:p w14:paraId="52F79F1D" w14:textId="2B05851A" w:rsidR="00C979C2" w:rsidRPr="00CD3086" w:rsidRDefault="006927C8" w:rsidP="00935AEB">
      <w:pPr>
        <w:spacing w:before="120" w:after="0" w:line="240" w:lineRule="auto"/>
        <w:jc w:val="center"/>
        <w:rPr>
          <w:bCs/>
          <w:sz w:val="20"/>
          <w:szCs w:val="20"/>
          <w:lang w:val="en-US"/>
        </w:rPr>
      </w:pPr>
      <w:bookmarkStart w:id="7" w:name="_Hlk162865675"/>
      <w:r w:rsidRPr="00CD3086">
        <w:rPr>
          <w:b/>
          <w:sz w:val="20"/>
          <w:szCs w:val="20"/>
          <w:lang w:val="en-US"/>
        </w:rPr>
        <w:t>Table 5.</w:t>
      </w:r>
      <w:r w:rsidRPr="00CD3086">
        <w:rPr>
          <w:bCs/>
          <w:sz w:val="20"/>
          <w:szCs w:val="20"/>
          <w:lang w:val="en-US"/>
        </w:rPr>
        <w:t xml:space="preserve"> </w:t>
      </w:r>
      <w:r w:rsidR="00F0252C" w:rsidRPr="00CD3086">
        <w:rPr>
          <w:bCs/>
          <w:sz w:val="20"/>
          <w:szCs w:val="20"/>
          <w:lang w:val="en-US"/>
        </w:rPr>
        <w:t>Mann-Whitney Test for Differences between Men and Women</w:t>
      </w:r>
    </w:p>
    <w:tbl>
      <w:tblPr>
        <w:tblStyle w:val="TableGrid"/>
        <w:tblW w:w="9040" w:type="dxa"/>
        <w:tblInd w:w="-5" w:type="dxa"/>
        <w:tblLook w:val="04A0" w:firstRow="1" w:lastRow="0" w:firstColumn="1" w:lastColumn="0" w:noHBand="0" w:noVBand="1"/>
      </w:tblPr>
      <w:tblGrid>
        <w:gridCol w:w="2402"/>
        <w:gridCol w:w="2118"/>
        <w:gridCol w:w="2119"/>
        <w:gridCol w:w="2401"/>
      </w:tblGrid>
      <w:tr w:rsidR="00EB3439" w:rsidRPr="00CD3086" w14:paraId="0ED60382" w14:textId="77777777" w:rsidTr="0016799D">
        <w:trPr>
          <w:trHeight w:val="806"/>
        </w:trPr>
        <w:tc>
          <w:tcPr>
            <w:tcW w:w="2402" w:type="dxa"/>
            <w:tcBorders>
              <w:left w:val="nil"/>
              <w:bottom w:val="single" w:sz="4" w:space="0" w:color="auto"/>
              <w:right w:val="nil"/>
            </w:tcBorders>
            <w:vAlign w:val="center"/>
          </w:tcPr>
          <w:p w14:paraId="373649A4"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38B3E801"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68D83684"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49B06315"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EB3439" w:rsidRPr="00CD3086" w14:paraId="6D82BBD1" w14:textId="77777777" w:rsidTr="0016799D">
        <w:trPr>
          <w:trHeight w:val="608"/>
        </w:trPr>
        <w:tc>
          <w:tcPr>
            <w:tcW w:w="2402" w:type="dxa"/>
            <w:tcBorders>
              <w:left w:val="nil"/>
              <w:bottom w:val="nil"/>
              <w:right w:val="nil"/>
            </w:tcBorders>
          </w:tcPr>
          <w:p w14:paraId="435154C3"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222DA212" w14:textId="6CA40E66"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3190,500</w:t>
            </w:r>
          </w:p>
        </w:tc>
        <w:tc>
          <w:tcPr>
            <w:tcW w:w="2119" w:type="dxa"/>
            <w:tcBorders>
              <w:left w:val="nil"/>
              <w:bottom w:val="nil"/>
              <w:right w:val="nil"/>
            </w:tcBorders>
          </w:tcPr>
          <w:p w14:paraId="4BAF4F3A" w14:textId="75BF934E"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2864,500</w:t>
            </w:r>
          </w:p>
        </w:tc>
        <w:tc>
          <w:tcPr>
            <w:tcW w:w="2401" w:type="dxa"/>
            <w:tcBorders>
              <w:left w:val="nil"/>
              <w:bottom w:val="nil"/>
              <w:right w:val="nil"/>
            </w:tcBorders>
          </w:tcPr>
          <w:p w14:paraId="1F7F30E0" w14:textId="2DAB43B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2741,000</w:t>
            </w:r>
          </w:p>
        </w:tc>
      </w:tr>
      <w:tr w:rsidR="00EB3439" w:rsidRPr="00CD3086" w14:paraId="52CC1953" w14:textId="77777777" w:rsidTr="0016799D">
        <w:trPr>
          <w:trHeight w:val="608"/>
        </w:trPr>
        <w:tc>
          <w:tcPr>
            <w:tcW w:w="2402" w:type="dxa"/>
            <w:tcBorders>
              <w:top w:val="nil"/>
              <w:left w:val="nil"/>
              <w:bottom w:val="nil"/>
              <w:right w:val="nil"/>
            </w:tcBorders>
          </w:tcPr>
          <w:p w14:paraId="4B6C34D7"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1133F5F3" w14:textId="1BF9833F"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4960,500</w:t>
            </w:r>
          </w:p>
        </w:tc>
        <w:tc>
          <w:tcPr>
            <w:tcW w:w="2119" w:type="dxa"/>
            <w:tcBorders>
              <w:top w:val="nil"/>
              <w:left w:val="nil"/>
              <w:bottom w:val="nil"/>
              <w:right w:val="nil"/>
            </w:tcBorders>
          </w:tcPr>
          <w:p w14:paraId="116F1697" w14:textId="4B0AC7F6"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4634,500</w:t>
            </w:r>
          </w:p>
        </w:tc>
        <w:tc>
          <w:tcPr>
            <w:tcW w:w="2401" w:type="dxa"/>
            <w:tcBorders>
              <w:top w:val="nil"/>
              <w:left w:val="nil"/>
              <w:bottom w:val="nil"/>
              <w:right w:val="nil"/>
            </w:tcBorders>
          </w:tcPr>
          <w:p w14:paraId="6DC251E1" w14:textId="791EF9FC"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4511,000</w:t>
            </w:r>
          </w:p>
        </w:tc>
      </w:tr>
      <w:tr w:rsidR="00EB3439" w:rsidRPr="00CD3086" w14:paraId="42EB7567" w14:textId="77777777" w:rsidTr="0016799D">
        <w:trPr>
          <w:trHeight w:val="619"/>
        </w:trPr>
        <w:tc>
          <w:tcPr>
            <w:tcW w:w="2402" w:type="dxa"/>
            <w:tcBorders>
              <w:top w:val="nil"/>
              <w:left w:val="nil"/>
              <w:bottom w:val="nil"/>
              <w:right w:val="nil"/>
            </w:tcBorders>
          </w:tcPr>
          <w:p w14:paraId="7AF47744"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0F905E0C" w14:textId="6B129F96"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-2,468</w:t>
            </w:r>
          </w:p>
        </w:tc>
        <w:tc>
          <w:tcPr>
            <w:tcW w:w="2119" w:type="dxa"/>
            <w:tcBorders>
              <w:top w:val="nil"/>
              <w:left w:val="nil"/>
              <w:bottom w:val="nil"/>
              <w:right w:val="nil"/>
            </w:tcBorders>
          </w:tcPr>
          <w:p w14:paraId="3074AD08" w14:textId="7BB6256B"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-3,353</w:t>
            </w:r>
          </w:p>
        </w:tc>
        <w:tc>
          <w:tcPr>
            <w:tcW w:w="2401" w:type="dxa"/>
            <w:tcBorders>
              <w:top w:val="nil"/>
              <w:left w:val="nil"/>
              <w:bottom w:val="nil"/>
              <w:right w:val="nil"/>
            </w:tcBorders>
          </w:tcPr>
          <w:p w14:paraId="071EC801" w14:textId="0B0890CC"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-3,688</w:t>
            </w:r>
          </w:p>
        </w:tc>
      </w:tr>
      <w:tr w:rsidR="00EB3439" w:rsidRPr="00CD3086" w14:paraId="298FAA95" w14:textId="77777777" w:rsidTr="0016799D">
        <w:trPr>
          <w:trHeight w:val="362"/>
        </w:trPr>
        <w:tc>
          <w:tcPr>
            <w:tcW w:w="2402" w:type="dxa"/>
            <w:tcBorders>
              <w:top w:val="nil"/>
              <w:left w:val="nil"/>
              <w:right w:val="nil"/>
            </w:tcBorders>
          </w:tcPr>
          <w:p w14:paraId="5E03BC3E" w14:textId="77777777" w:rsidR="00EB3439" w:rsidRPr="00CD3086" w:rsidRDefault="00EB3439" w:rsidP="0016799D">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50598FD5" w14:textId="5AD5E2B0"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,014</w:t>
            </w:r>
          </w:p>
        </w:tc>
        <w:tc>
          <w:tcPr>
            <w:tcW w:w="2119" w:type="dxa"/>
            <w:tcBorders>
              <w:top w:val="nil"/>
              <w:left w:val="nil"/>
              <w:right w:val="nil"/>
            </w:tcBorders>
          </w:tcPr>
          <w:p w14:paraId="16EFBB25" w14:textId="0F7AC84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,001</w:t>
            </w:r>
          </w:p>
        </w:tc>
        <w:tc>
          <w:tcPr>
            <w:tcW w:w="2401" w:type="dxa"/>
            <w:tcBorders>
              <w:top w:val="nil"/>
              <w:left w:val="nil"/>
              <w:right w:val="nil"/>
            </w:tcBorders>
          </w:tcPr>
          <w:p w14:paraId="05EB28FA"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,000</w:t>
            </w:r>
          </w:p>
        </w:tc>
      </w:tr>
    </w:tbl>
    <w:p w14:paraId="7C3DB38D" w14:textId="62A79F8C" w:rsidR="00EB3439" w:rsidRPr="00CD3086" w:rsidRDefault="00EB3439" w:rsidP="00EB3439">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7"/>
    <w:p w14:paraId="6D634B23" w14:textId="3FB6FC72" w:rsidR="004D4DA6" w:rsidRPr="00225131" w:rsidRDefault="004D4DA6" w:rsidP="00225131">
      <w:pPr>
        <w:spacing w:after="0" w:line="240" w:lineRule="auto"/>
        <w:ind w:firstLine="284"/>
        <w:jc w:val="both"/>
        <w:rPr>
          <w:rFonts w:asciiTheme="minorHAnsi" w:eastAsia="Times New Roman" w:hAnsiTheme="minorHAnsi" w:cstheme="minorHAnsi"/>
          <w:lang w:val="id-ID" w:eastAsia="id-ID"/>
        </w:rPr>
      </w:pPr>
      <w:proofErr w:type="spellStart"/>
      <w:r w:rsidRPr="00225131">
        <w:rPr>
          <w:rFonts w:asciiTheme="minorHAnsi" w:eastAsia="Times New Roman" w:hAnsiTheme="minorHAnsi" w:cstheme="minorHAnsi"/>
          <w:lang w:val="id-ID" w:eastAsia="id-ID"/>
        </w:rPr>
        <w:t>Based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on</w:t>
      </w:r>
      <w:proofErr w:type="spellEnd"/>
      <w:r w:rsidRPr="00225131">
        <w:rPr>
          <w:rFonts w:asciiTheme="minorHAnsi" w:eastAsia="Times New Roman" w:hAnsiTheme="minorHAnsi" w:cstheme="minorHAnsi"/>
          <w:lang w:val="id-ID" w:eastAsia="id-ID"/>
        </w:rPr>
        <w:t xml:space="preserve"> </w:t>
      </w:r>
      <w:proofErr w:type="spellStart"/>
      <w:r w:rsidR="00595BCA" w:rsidRPr="00225131">
        <w:rPr>
          <w:rFonts w:asciiTheme="minorHAnsi" w:eastAsia="Times New Roman" w:hAnsiTheme="minorHAnsi" w:cstheme="minorHAnsi"/>
          <w:lang w:val="id-ID" w:eastAsia="id-ID"/>
        </w:rPr>
        <w:t>the</w:t>
      </w:r>
      <w:proofErr w:type="spellEnd"/>
      <w:r w:rsidR="00595BCA" w:rsidRPr="00225131">
        <w:rPr>
          <w:rFonts w:asciiTheme="minorHAnsi" w:eastAsia="Times New Roman" w:hAnsiTheme="minorHAnsi" w:cstheme="minorHAnsi"/>
          <w:lang w:val="id-ID" w:eastAsia="id-ID"/>
        </w:rPr>
        <w:t xml:space="preserve"> </w:t>
      </w:r>
      <w:proofErr w:type="spellStart"/>
      <w:r w:rsidR="00595BCA" w:rsidRPr="00225131">
        <w:rPr>
          <w:rFonts w:asciiTheme="minorHAnsi" w:eastAsia="Times New Roman" w:hAnsiTheme="minorHAnsi" w:cstheme="minorHAnsi"/>
          <w:lang w:val="id-ID" w:eastAsia="id-ID"/>
        </w:rPr>
        <w:t>t</w:t>
      </w:r>
      <w:r w:rsidRPr="00225131">
        <w:rPr>
          <w:rFonts w:asciiTheme="minorHAnsi" w:eastAsia="Times New Roman" w:hAnsiTheme="minorHAnsi" w:cstheme="minorHAnsi"/>
          <w:lang w:val="id-ID" w:eastAsia="id-ID"/>
        </w:rPr>
        <w:t>able</w:t>
      </w:r>
      <w:proofErr w:type="spellEnd"/>
      <w:r w:rsidRPr="00225131">
        <w:rPr>
          <w:rFonts w:asciiTheme="minorHAnsi" w:eastAsia="Times New Roman" w:hAnsiTheme="minorHAnsi" w:cstheme="minorHAnsi"/>
          <w:lang w:val="id-ID" w:eastAsia="id-ID"/>
        </w:rPr>
        <w:t xml:space="preserve"> 5,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asymp</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sig</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self-efficacy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variable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0.014 &lt;0.05, </w:t>
      </w:r>
      <w:proofErr w:type="spellStart"/>
      <w:r w:rsidRPr="00225131">
        <w:rPr>
          <w:rFonts w:asciiTheme="minorHAnsi" w:eastAsia="Times New Roman" w:hAnsiTheme="minorHAnsi" w:cstheme="minorHAnsi"/>
          <w:lang w:val="id-ID" w:eastAsia="id-ID"/>
        </w:rPr>
        <w:t>indicating</w:t>
      </w:r>
      <w:proofErr w:type="spellEnd"/>
      <w:r w:rsidRPr="00225131">
        <w:rPr>
          <w:rFonts w:asciiTheme="minorHAnsi" w:eastAsia="Times New Roman" w:hAnsiTheme="minorHAnsi" w:cstheme="minorHAnsi"/>
          <w:lang w:val="id-ID" w:eastAsia="id-ID"/>
        </w:rPr>
        <w:t xml:space="preserve"> a </w:t>
      </w:r>
      <w:proofErr w:type="spellStart"/>
      <w:r w:rsidRPr="00225131">
        <w:rPr>
          <w:rFonts w:asciiTheme="minorHAnsi" w:eastAsia="Times New Roman" w:hAnsiTheme="minorHAnsi" w:cstheme="minorHAnsi"/>
          <w:lang w:val="id-ID" w:eastAsia="id-ID"/>
        </w:rPr>
        <w:t>difference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self-efficacy</w:t>
      </w:r>
      <w:proofErr w:type="spellEnd"/>
      <w:r w:rsidRPr="00225131">
        <w:rPr>
          <w:rFonts w:asciiTheme="minorHAnsi" w:eastAsia="Times New Roman" w:hAnsiTheme="minorHAnsi" w:cstheme="minorHAnsi"/>
          <w:lang w:val="id-ID" w:eastAsia="id-ID"/>
        </w:rPr>
        <w:t xml:space="preserve">. The </w:t>
      </w:r>
      <w:proofErr w:type="spellStart"/>
      <w:r w:rsidRPr="00225131">
        <w:rPr>
          <w:rFonts w:asciiTheme="minorHAnsi" w:eastAsia="Times New Roman" w:hAnsiTheme="minorHAnsi" w:cstheme="minorHAnsi"/>
          <w:lang w:val="id-ID" w:eastAsia="id-ID"/>
        </w:rPr>
        <w:t>self-management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variable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0.001 &lt; 0.05, </w:t>
      </w:r>
      <w:proofErr w:type="spellStart"/>
      <w:r w:rsidRPr="00225131">
        <w:rPr>
          <w:rFonts w:asciiTheme="minorHAnsi" w:eastAsia="Times New Roman" w:hAnsiTheme="minorHAnsi" w:cstheme="minorHAnsi"/>
          <w:lang w:val="id-ID" w:eastAsia="id-ID"/>
        </w:rPr>
        <w:t>indicating</w:t>
      </w:r>
      <w:proofErr w:type="spellEnd"/>
      <w:r w:rsidRPr="00225131">
        <w:rPr>
          <w:rFonts w:asciiTheme="minorHAnsi" w:eastAsia="Times New Roman" w:hAnsiTheme="minorHAnsi" w:cstheme="minorHAnsi"/>
          <w:lang w:val="id-ID" w:eastAsia="id-ID"/>
        </w:rPr>
        <w:t xml:space="preserve"> a </w:t>
      </w:r>
      <w:proofErr w:type="spellStart"/>
      <w:r w:rsidRPr="00225131">
        <w:rPr>
          <w:rFonts w:asciiTheme="minorHAnsi" w:eastAsia="Times New Roman" w:hAnsiTheme="minorHAnsi" w:cstheme="minorHAnsi"/>
          <w:lang w:val="id-ID" w:eastAsia="id-ID"/>
        </w:rPr>
        <w:t>difference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self-management</w:t>
      </w:r>
      <w:proofErr w:type="spellEnd"/>
      <w:r w:rsidRPr="00225131">
        <w:rPr>
          <w:rFonts w:asciiTheme="minorHAnsi" w:eastAsia="Times New Roman" w:hAnsiTheme="minorHAnsi" w:cstheme="minorHAnsi"/>
          <w:lang w:val="id-ID" w:eastAsia="id-ID"/>
        </w:rPr>
        <w:t xml:space="preserve">. As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asymp</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sig</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cumulative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achievement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index</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variable</w:t>
      </w:r>
      <w:proofErr w:type="spellEnd"/>
      <w:r w:rsidRPr="00225131">
        <w:rPr>
          <w:rFonts w:asciiTheme="minorHAnsi" w:eastAsia="Times New Roman" w:hAnsiTheme="minorHAnsi" w:cstheme="minorHAnsi"/>
          <w:lang w:val="id-ID" w:eastAsia="id-ID"/>
        </w:rPr>
        <w:t xml:space="preserve"> 0.000 &lt; 0.05 </w:t>
      </w:r>
      <w:proofErr w:type="spellStart"/>
      <w:r w:rsidRPr="00225131">
        <w:rPr>
          <w:rFonts w:asciiTheme="minorHAnsi" w:eastAsia="Times New Roman" w:hAnsiTheme="minorHAnsi" w:cstheme="minorHAnsi"/>
          <w:lang w:val="id-ID" w:eastAsia="id-ID"/>
        </w:rPr>
        <w:t>indicates</w:t>
      </w:r>
      <w:proofErr w:type="spellEnd"/>
      <w:r w:rsidRPr="00225131">
        <w:rPr>
          <w:rFonts w:asciiTheme="minorHAnsi" w:eastAsia="Times New Roman" w:hAnsiTheme="minorHAnsi" w:cstheme="minorHAnsi"/>
          <w:lang w:val="id-ID" w:eastAsia="id-ID"/>
        </w:rPr>
        <w:t xml:space="preserve"> a </w:t>
      </w:r>
      <w:proofErr w:type="spellStart"/>
      <w:r w:rsidRPr="00225131">
        <w:rPr>
          <w:rFonts w:asciiTheme="minorHAnsi" w:eastAsia="Times New Roman" w:hAnsiTheme="minorHAnsi" w:cstheme="minorHAnsi"/>
          <w:lang w:val="id-ID" w:eastAsia="id-ID"/>
        </w:rPr>
        <w:t>difference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cumulative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achievement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index</w:t>
      </w:r>
      <w:proofErr w:type="spellEnd"/>
      <w:r w:rsidRPr="00225131">
        <w:rPr>
          <w:rFonts w:asciiTheme="minorHAnsi" w:eastAsia="Times New Roman" w:hAnsiTheme="minorHAnsi" w:cstheme="minorHAnsi"/>
          <w:lang w:val="id-ID" w:eastAsia="id-ID"/>
        </w:rPr>
        <w:t>.</w:t>
      </w:r>
    </w:p>
    <w:p w14:paraId="4A8AA704" w14:textId="4AE67022" w:rsidR="004D4DA6" w:rsidRPr="00225131" w:rsidRDefault="004D4DA6" w:rsidP="00225131">
      <w:pPr>
        <w:spacing w:after="0" w:line="240" w:lineRule="auto"/>
        <w:ind w:firstLine="284"/>
        <w:jc w:val="both"/>
        <w:rPr>
          <w:rFonts w:asciiTheme="minorHAnsi" w:eastAsia="Times New Roman" w:hAnsiTheme="minorHAnsi" w:cstheme="minorHAnsi"/>
          <w:lang w:val="id-ID" w:eastAsia="id-ID"/>
        </w:rPr>
      </w:pPr>
      <w:r w:rsidRPr="00225131">
        <w:rPr>
          <w:rFonts w:asciiTheme="minorHAnsi" w:eastAsia="Times New Roman" w:hAnsiTheme="minorHAnsi" w:cstheme="minorHAnsi"/>
          <w:lang w:val="id-ID" w:eastAsia="id-ID"/>
        </w:rPr>
        <w:t xml:space="preserve">The </w:t>
      </w:r>
      <w:proofErr w:type="spellStart"/>
      <w:r w:rsidRPr="00225131">
        <w:rPr>
          <w:rFonts w:asciiTheme="minorHAnsi" w:eastAsia="Times New Roman" w:hAnsiTheme="minorHAnsi" w:cstheme="minorHAnsi"/>
          <w:lang w:val="id-ID" w:eastAsia="id-ID"/>
        </w:rPr>
        <w:t>differences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terms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self-efficacy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self-management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student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achievement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index</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indicate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differences</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terms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gender. Gender </w:t>
      </w:r>
      <w:proofErr w:type="spellStart"/>
      <w:r w:rsidRPr="00225131">
        <w:rPr>
          <w:rFonts w:asciiTheme="minorHAnsi" w:eastAsia="Times New Roman" w:hAnsiTheme="minorHAnsi" w:cstheme="minorHAnsi"/>
          <w:lang w:val="id-ID" w:eastAsia="id-ID"/>
        </w:rPr>
        <w:t>studies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define</w:t>
      </w:r>
      <w:proofErr w:type="spellEnd"/>
      <w:r w:rsidRPr="00225131">
        <w:rPr>
          <w:rFonts w:asciiTheme="minorHAnsi" w:eastAsia="Times New Roman" w:hAnsiTheme="minorHAnsi" w:cstheme="minorHAnsi"/>
          <w:lang w:val="id-ID" w:eastAsia="id-ID"/>
        </w:rPr>
        <w:t xml:space="preserve"> gender as not </w:t>
      </w:r>
      <w:proofErr w:type="spellStart"/>
      <w:r w:rsidRPr="00225131">
        <w:rPr>
          <w:rFonts w:asciiTheme="minorHAnsi" w:eastAsia="Times New Roman" w:hAnsiTheme="minorHAnsi" w:cstheme="minorHAnsi"/>
          <w:lang w:val="id-ID" w:eastAsia="id-ID"/>
        </w:rPr>
        <w:t>just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limited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to</w:t>
      </w:r>
      <w:proofErr w:type="spellEnd"/>
      <w:r w:rsidRPr="00225131">
        <w:rPr>
          <w:rFonts w:asciiTheme="minorHAnsi" w:eastAsia="Times New Roman" w:hAnsiTheme="minorHAnsi" w:cstheme="minorHAnsi"/>
          <w:lang w:val="id-ID" w:eastAsia="id-ID"/>
        </w:rPr>
        <w:t xml:space="preserve"> sex—in </w:t>
      </w:r>
      <w:proofErr w:type="spellStart"/>
      <w:r w:rsidRPr="00225131">
        <w:rPr>
          <w:rFonts w:asciiTheme="minorHAnsi" w:eastAsia="Times New Roman" w:hAnsiTheme="minorHAnsi" w:cstheme="minorHAnsi"/>
          <w:lang w:val="id-ID" w:eastAsia="id-ID"/>
        </w:rPr>
        <w:t>this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case</w:t>
      </w:r>
      <w:proofErr w:type="spellEnd"/>
      <w:r w:rsidRPr="00225131">
        <w:rPr>
          <w:rFonts w:asciiTheme="minorHAnsi" w:eastAsia="Times New Roman" w:hAnsiTheme="minorHAnsi" w:cstheme="minorHAnsi"/>
          <w:lang w:val="id-ID" w:eastAsia="id-ID"/>
        </w:rPr>
        <w:t xml:space="preserve">, male </w:t>
      </w:r>
      <w:proofErr w:type="spellStart"/>
      <w:r w:rsidRPr="00225131">
        <w:rPr>
          <w:rFonts w:asciiTheme="minorHAnsi" w:eastAsia="Times New Roman" w:hAnsiTheme="minorHAnsi" w:cstheme="minorHAnsi"/>
          <w:lang w:val="id-ID" w:eastAsia="id-ID"/>
        </w:rPr>
        <w:t>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female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However</w:t>
      </w:r>
      <w:proofErr w:type="spellEnd"/>
      <w:r w:rsidRPr="00225131">
        <w:rPr>
          <w:rFonts w:asciiTheme="minorHAnsi" w:eastAsia="Times New Roman" w:hAnsiTheme="minorHAnsi" w:cstheme="minorHAnsi"/>
          <w:lang w:val="id-ID" w:eastAsia="id-ID"/>
        </w:rPr>
        <w:t>, gender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defined</w:t>
      </w:r>
      <w:proofErr w:type="spellEnd"/>
      <w:r w:rsidRPr="00225131">
        <w:rPr>
          <w:rFonts w:asciiTheme="minorHAnsi" w:eastAsia="Times New Roman" w:hAnsiTheme="minorHAnsi" w:cstheme="minorHAnsi"/>
          <w:lang w:val="id-ID" w:eastAsia="id-ID"/>
        </w:rPr>
        <w:t xml:space="preserve"> as a </w:t>
      </w:r>
      <w:proofErr w:type="spellStart"/>
      <w:r w:rsidRPr="00225131">
        <w:rPr>
          <w:rFonts w:asciiTheme="minorHAnsi" w:eastAsia="Times New Roman" w:hAnsiTheme="minorHAnsi" w:cstheme="minorHAnsi"/>
          <w:lang w:val="id-ID" w:eastAsia="id-ID"/>
        </w:rPr>
        <w:t>social</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concept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that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differentiates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roles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More </w:t>
      </w:r>
      <w:proofErr w:type="spellStart"/>
      <w:r w:rsidRPr="00225131">
        <w:rPr>
          <w:rFonts w:asciiTheme="minorHAnsi" w:eastAsia="Times New Roman" w:hAnsiTheme="minorHAnsi" w:cstheme="minorHAnsi"/>
          <w:lang w:val="id-ID" w:eastAsia="id-ID"/>
        </w:rPr>
        <w:t>clearly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roles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functions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positions</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various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lines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life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development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differentiate</w:t>
      </w:r>
      <w:proofErr w:type="spellEnd"/>
      <w:r w:rsidRPr="00225131">
        <w:rPr>
          <w:rFonts w:asciiTheme="minorHAnsi" w:eastAsia="Times New Roman" w:hAnsiTheme="minorHAnsi" w:cstheme="minorHAnsi"/>
          <w:lang w:val="id-ID" w:eastAsia="id-ID"/>
        </w:rPr>
        <w:t xml:space="preserve"> gender, not </w:t>
      </w:r>
      <w:proofErr w:type="spellStart"/>
      <w:r w:rsidRPr="00225131">
        <w:rPr>
          <w:rFonts w:asciiTheme="minorHAnsi" w:eastAsia="Times New Roman" w:hAnsiTheme="minorHAnsi" w:cstheme="minorHAnsi"/>
          <w:lang w:val="id-ID" w:eastAsia="id-ID"/>
        </w:rPr>
        <w:t>differences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based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nature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biology</w:t>
      </w:r>
      <w:proofErr w:type="spellEnd"/>
      <w:r w:rsidRPr="00225131">
        <w:rPr>
          <w:rFonts w:asciiTheme="minorHAnsi" w:eastAsia="Times New Roman" w:hAnsiTheme="minorHAnsi" w:cstheme="minorHAnsi"/>
          <w:lang w:val="id-ID" w:eastAsia="id-ID"/>
        </w:rPr>
        <w:t xml:space="preserve"> </w:t>
      </w:r>
      <w:r w:rsidRPr="00225131">
        <w:rPr>
          <w:rStyle w:val="FootnoteReference"/>
          <w:rFonts w:asciiTheme="minorHAnsi" w:hAnsiTheme="minorHAnsi" w:cstheme="minorHAnsi"/>
          <w:color w:val="00B0F0"/>
        </w:rPr>
        <w:fldChar w:fldCharType="begin" w:fldLock="1"/>
      </w:r>
      <w:r w:rsidRPr="00225131">
        <w:rPr>
          <w:rFonts w:asciiTheme="minorHAnsi" w:hAnsiTheme="minorHAnsi" w:cstheme="minorHAnsi"/>
          <w:color w:val="00B0F0"/>
        </w:rPr>
        <w:instrText>ADDIN CSL_CITATION {"citationItems":[{"id":"ITEM-1","itemData":{"author":[{"dropping-particle":"","family":"Handayani","given":"Tri Sakti","non-dropping-particle":"","parse-names":false,"suffix":""},{"dropping-particle":"","family":"Sugiarti","given":"","non-dropping-particle":"","parse-names":false,"suffix":""}],"id":"ITEM-1","issued":{"date-parts":[["2017"]]},"publisher":"Universitas Muhammadiyah Malang","publisher-place":"Malang","title":"Konsep dan Teknik Penelitian Gender","type":"book"},"locator":"4","uris":["http://www.mendeley.com/documents/?uuid=b2bd18fc-96a5-4249-a030-fc4059201df5"]}],"mendeley":{"formattedCitation":"(Handayani &amp; Sugiarti, 2017, p. 4)","plainTextFormattedCitation":"(Handayani &amp; Sugiarti, 2017, p. 4)","previouslyFormattedCitation":"(Handayani &amp; Sugiarti, 2017, p. 4)"},"properties":{"noteIndex":0},"schema":"https://github.com/citation-style-language/schema/raw/master/csl-citation.json"}</w:instrText>
      </w:r>
      <w:r w:rsidRPr="00225131">
        <w:rPr>
          <w:rStyle w:val="FootnoteReference"/>
          <w:rFonts w:asciiTheme="minorHAnsi" w:hAnsiTheme="minorHAnsi" w:cstheme="minorHAnsi"/>
          <w:color w:val="00B0F0"/>
        </w:rPr>
        <w:fldChar w:fldCharType="separate"/>
      </w:r>
      <w:r w:rsidRPr="00225131">
        <w:rPr>
          <w:rFonts w:asciiTheme="minorHAnsi" w:hAnsiTheme="minorHAnsi" w:cstheme="minorHAnsi"/>
          <w:bCs/>
          <w:noProof/>
          <w:color w:val="00B0F0"/>
          <w:lang w:val="id-ID"/>
        </w:rPr>
        <w:t>(Handayani &amp; Sugiarti, 2017, p. 4)</w:t>
      </w:r>
      <w:r w:rsidRPr="00225131">
        <w:rPr>
          <w:rStyle w:val="FootnoteReference"/>
          <w:rFonts w:asciiTheme="minorHAnsi" w:hAnsiTheme="minorHAnsi" w:cstheme="minorHAnsi"/>
          <w:color w:val="00B0F0"/>
        </w:rPr>
        <w:fldChar w:fldCharType="end"/>
      </w:r>
      <w:r w:rsidRPr="00225131">
        <w:rPr>
          <w:rFonts w:asciiTheme="minorHAnsi" w:hAnsiTheme="minorHAnsi" w:cstheme="minorHAnsi"/>
        </w:rPr>
        <w:t xml:space="preserve">. </w:t>
      </w:r>
      <w:proofErr w:type="spellStart"/>
      <w:r w:rsidRPr="00225131">
        <w:rPr>
          <w:rFonts w:asciiTheme="minorHAnsi" w:eastAsia="Times New Roman" w:hAnsiTheme="minorHAnsi" w:cstheme="minorHAnsi"/>
          <w:lang w:val="id-ID" w:eastAsia="id-ID"/>
        </w:rPr>
        <w:t>This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research</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derives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concept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of</w:t>
      </w:r>
      <w:proofErr w:type="spellEnd"/>
      <w:r w:rsidRPr="00225131">
        <w:rPr>
          <w:rFonts w:asciiTheme="minorHAnsi" w:eastAsia="Times New Roman" w:hAnsiTheme="minorHAnsi" w:cstheme="minorHAnsi"/>
          <w:lang w:val="id-ID" w:eastAsia="id-ID"/>
        </w:rPr>
        <w:t xml:space="preserve"> gender </w:t>
      </w:r>
      <w:proofErr w:type="spellStart"/>
      <w:r w:rsidRPr="00225131">
        <w:rPr>
          <w:rFonts w:asciiTheme="minorHAnsi" w:eastAsia="Times New Roman" w:hAnsiTheme="minorHAnsi" w:cstheme="minorHAnsi"/>
          <w:lang w:val="id-ID" w:eastAsia="id-ID"/>
        </w:rPr>
        <w:t>by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examining</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emotional</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intellectual</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differences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w:t>
      </w:r>
    </w:p>
    <w:p w14:paraId="692CAC53" w14:textId="5677BEFA" w:rsidR="004D4DA6" w:rsidRPr="00225131" w:rsidRDefault="004D4DA6" w:rsidP="00225131">
      <w:pPr>
        <w:spacing w:after="0" w:line="240" w:lineRule="auto"/>
        <w:ind w:firstLine="284"/>
        <w:jc w:val="both"/>
        <w:rPr>
          <w:rFonts w:asciiTheme="minorHAnsi" w:eastAsia="Times New Roman" w:hAnsiTheme="minorHAnsi" w:cstheme="minorHAnsi"/>
          <w:lang w:val="id-ID" w:eastAsia="id-ID"/>
        </w:rPr>
      </w:pPr>
      <w:r w:rsidRPr="00225131">
        <w:rPr>
          <w:rFonts w:asciiTheme="minorHAnsi" w:eastAsia="Times New Roman" w:hAnsiTheme="minorHAnsi" w:cstheme="minorHAnsi"/>
          <w:lang w:val="id-ID" w:eastAsia="id-ID"/>
        </w:rPr>
        <w:t xml:space="preserve">The </w:t>
      </w:r>
      <w:proofErr w:type="spellStart"/>
      <w:r w:rsidRPr="00225131">
        <w:rPr>
          <w:rFonts w:asciiTheme="minorHAnsi" w:eastAsia="Times New Roman" w:hAnsiTheme="minorHAnsi" w:cstheme="minorHAnsi"/>
          <w:lang w:val="id-ID" w:eastAsia="id-ID"/>
        </w:rPr>
        <w:t>differences</w:t>
      </w:r>
      <w:proofErr w:type="spellEnd"/>
      <w:r w:rsidRPr="00225131">
        <w:rPr>
          <w:rFonts w:asciiTheme="minorHAnsi" w:eastAsia="Times New Roman" w:hAnsiTheme="minorHAnsi" w:cstheme="minorHAnsi"/>
          <w:lang w:val="id-ID" w:eastAsia="id-ID"/>
        </w:rPr>
        <w:t xml:space="preserve"> in </w:t>
      </w:r>
      <w:proofErr w:type="spellStart"/>
      <w:r w:rsidRPr="00225131">
        <w:rPr>
          <w:rFonts w:asciiTheme="minorHAnsi" w:eastAsia="Times New Roman" w:hAnsiTheme="minorHAnsi" w:cstheme="minorHAnsi"/>
          <w:lang w:val="id-ID" w:eastAsia="id-ID"/>
        </w:rPr>
        <w:t>self-efficacy</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self-management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achievement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index</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between</w:t>
      </w:r>
      <w:proofErr w:type="spellEnd"/>
      <w:r w:rsidRPr="00225131">
        <w:rPr>
          <w:rFonts w:asciiTheme="minorHAnsi" w:eastAsia="Times New Roman" w:hAnsiTheme="minorHAnsi" w:cstheme="minorHAnsi"/>
          <w:lang w:val="id-ID" w:eastAsia="id-ID"/>
        </w:rPr>
        <w:t xml:space="preserve"> male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female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students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show</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that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tend</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to</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have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higher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grades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than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average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cumulative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score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higher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than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men's</w:t>
      </w:r>
      <w:proofErr w:type="spellEnd"/>
      <w:r w:rsidRPr="00225131">
        <w:rPr>
          <w:rFonts w:asciiTheme="minorHAnsi" w:eastAsia="Times New Roman" w:hAnsiTheme="minorHAnsi" w:cstheme="minorHAnsi"/>
          <w:lang w:val="id-ID" w:eastAsia="id-ID"/>
        </w:rPr>
        <w:t xml:space="preserve">, 166 &gt; 157. The </w:t>
      </w:r>
      <w:proofErr w:type="spellStart"/>
      <w:r w:rsidRPr="00225131">
        <w:rPr>
          <w:rFonts w:asciiTheme="minorHAnsi" w:eastAsia="Times New Roman" w:hAnsiTheme="minorHAnsi" w:cstheme="minorHAnsi"/>
          <w:lang w:val="id-ID" w:eastAsia="id-ID"/>
        </w:rPr>
        <w:t>average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score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self-management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228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while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216. </w:t>
      </w:r>
      <w:proofErr w:type="spellStart"/>
      <w:r w:rsidRPr="00225131">
        <w:rPr>
          <w:rFonts w:asciiTheme="minorHAnsi" w:eastAsia="Times New Roman" w:hAnsiTheme="minorHAnsi" w:cstheme="minorHAnsi"/>
          <w:lang w:val="id-ID" w:eastAsia="id-ID"/>
        </w:rPr>
        <w:t>Furthermore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the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average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cumulative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achievement</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index</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score</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is</w:t>
      </w:r>
      <w:proofErr w:type="spellEnd"/>
      <w:r w:rsidRPr="00225131">
        <w:rPr>
          <w:rFonts w:asciiTheme="minorHAnsi" w:eastAsia="Times New Roman" w:hAnsiTheme="minorHAnsi" w:cstheme="minorHAnsi"/>
          <w:lang w:val="id-ID" w:eastAsia="id-ID"/>
        </w:rPr>
        <w:t xml:space="preserve"> 3.74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women</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and</w:t>
      </w:r>
      <w:proofErr w:type="spellEnd"/>
      <w:r w:rsidRPr="00225131">
        <w:rPr>
          <w:rFonts w:asciiTheme="minorHAnsi" w:eastAsia="Times New Roman" w:hAnsiTheme="minorHAnsi" w:cstheme="minorHAnsi"/>
          <w:lang w:val="id-ID" w:eastAsia="id-ID"/>
        </w:rPr>
        <w:t xml:space="preserve"> 3.68 </w:t>
      </w:r>
      <w:proofErr w:type="spellStart"/>
      <w:r w:rsidRPr="00225131">
        <w:rPr>
          <w:rFonts w:asciiTheme="minorHAnsi" w:eastAsia="Times New Roman" w:hAnsiTheme="minorHAnsi" w:cstheme="minorHAnsi"/>
          <w:lang w:val="id-ID" w:eastAsia="id-ID"/>
        </w:rPr>
        <w:t>for</w:t>
      </w:r>
      <w:proofErr w:type="spellEnd"/>
      <w:r w:rsidRPr="00225131">
        <w:rPr>
          <w:rFonts w:asciiTheme="minorHAnsi" w:eastAsia="Times New Roman" w:hAnsiTheme="minorHAnsi" w:cstheme="minorHAnsi"/>
          <w:lang w:val="id-ID" w:eastAsia="id-ID"/>
        </w:rPr>
        <w:t xml:space="preserve"> </w:t>
      </w:r>
      <w:proofErr w:type="spellStart"/>
      <w:r w:rsidRPr="00225131">
        <w:rPr>
          <w:rFonts w:asciiTheme="minorHAnsi" w:eastAsia="Times New Roman" w:hAnsiTheme="minorHAnsi" w:cstheme="minorHAnsi"/>
          <w:lang w:val="id-ID" w:eastAsia="id-ID"/>
        </w:rPr>
        <w:t>men</w:t>
      </w:r>
      <w:proofErr w:type="spellEnd"/>
      <w:r w:rsidRPr="00225131">
        <w:rPr>
          <w:rFonts w:asciiTheme="minorHAnsi" w:eastAsia="Times New Roman" w:hAnsiTheme="minorHAnsi" w:cstheme="minorHAnsi"/>
          <w:lang w:val="id-ID" w:eastAsia="id-ID"/>
        </w:rPr>
        <w:t>.</w:t>
      </w:r>
    </w:p>
    <w:p w14:paraId="61491527" w14:textId="71CD1FAE" w:rsidR="004D4DA6" w:rsidRPr="00225131" w:rsidRDefault="00667035" w:rsidP="004D4DA6">
      <w:pPr>
        <w:spacing w:after="0" w:line="240" w:lineRule="auto"/>
        <w:ind w:firstLine="284"/>
        <w:jc w:val="both"/>
        <w:rPr>
          <w:rFonts w:asciiTheme="minorHAnsi" w:eastAsia="Times New Roman" w:hAnsiTheme="minorHAnsi" w:cstheme="minorHAnsi"/>
          <w:lang w:val="id-ID" w:eastAsia="id-ID"/>
        </w:rPr>
      </w:pPr>
      <w:r>
        <w:rPr>
          <w:rFonts w:asciiTheme="minorHAnsi" w:eastAsia="Times New Roman" w:hAnsiTheme="minorHAnsi" w:cstheme="minorHAnsi"/>
          <w:lang w:val="en-US" w:eastAsia="id-ID"/>
        </w:rPr>
        <w:t>G</w:t>
      </w:r>
      <w:proofErr w:type="spellStart"/>
      <w:r w:rsidR="004D4DA6" w:rsidRPr="00225131">
        <w:rPr>
          <w:rFonts w:asciiTheme="minorHAnsi" w:eastAsia="Times New Roman" w:hAnsiTheme="minorHAnsi" w:cstheme="minorHAnsi"/>
          <w:lang w:val="id-ID" w:eastAsia="id-ID"/>
        </w:rPr>
        <w:t>rouped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differences</w:t>
      </w:r>
      <w:proofErr w:type="spellEnd"/>
      <w:r w:rsidR="004D4DA6" w:rsidRPr="00225131">
        <w:rPr>
          <w:rFonts w:asciiTheme="minorHAnsi" w:eastAsia="Times New Roman" w:hAnsiTheme="minorHAnsi" w:cstheme="minorHAnsi"/>
          <w:lang w:val="id-ID" w:eastAsia="id-ID"/>
        </w:rPr>
        <w:t xml:space="preserve"> in </w:t>
      </w:r>
      <w:proofErr w:type="spellStart"/>
      <w:r w:rsidR="004D4DA6" w:rsidRPr="00225131">
        <w:rPr>
          <w:rFonts w:asciiTheme="minorHAnsi" w:eastAsia="Times New Roman" w:hAnsiTheme="minorHAnsi" w:cstheme="minorHAnsi"/>
          <w:lang w:val="id-ID" w:eastAsia="id-ID"/>
        </w:rPr>
        <w:t>intelligence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emotions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between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women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men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Some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them</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namely</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aspects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self-confidence</w:t>
      </w:r>
      <w:proofErr w:type="spellEnd"/>
      <w:r w:rsidR="004D4DA6" w:rsidRPr="00225131">
        <w:rPr>
          <w:rFonts w:asciiTheme="minorHAnsi" w:eastAsia="Times New Roman" w:hAnsiTheme="minorHAnsi" w:cstheme="minorHAnsi"/>
          <w:lang w:val="id-ID" w:eastAsia="id-ID"/>
        </w:rPr>
        <w:t xml:space="preserve">, level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influence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overcoming</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problems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superior </w:t>
      </w:r>
      <w:proofErr w:type="spellStart"/>
      <w:r w:rsidR="004D4DA6" w:rsidRPr="00225131">
        <w:rPr>
          <w:rFonts w:asciiTheme="minorHAnsi" w:eastAsia="Times New Roman" w:hAnsiTheme="minorHAnsi" w:cstheme="minorHAnsi"/>
          <w:lang w:val="id-ID" w:eastAsia="id-ID"/>
        </w:rPr>
        <w:t>thinking</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men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tend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to</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be</w:t>
      </w:r>
      <w:proofErr w:type="spellEnd"/>
      <w:r w:rsidR="004D4DA6" w:rsidRPr="00225131">
        <w:rPr>
          <w:rFonts w:asciiTheme="minorHAnsi" w:eastAsia="Times New Roman" w:hAnsiTheme="minorHAnsi" w:cstheme="minorHAnsi"/>
          <w:lang w:val="id-ID" w:eastAsia="id-ID"/>
        </w:rPr>
        <w:t xml:space="preserve"> superior </w:t>
      </w:r>
      <w:proofErr w:type="spellStart"/>
      <w:r w:rsidR="004D4DA6" w:rsidRPr="00225131">
        <w:rPr>
          <w:rFonts w:asciiTheme="minorHAnsi" w:eastAsia="Times New Roman" w:hAnsiTheme="minorHAnsi" w:cstheme="minorHAnsi"/>
          <w:lang w:val="id-ID" w:eastAsia="id-ID"/>
        </w:rPr>
        <w:t>to</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those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women</w:t>
      </w:r>
      <w:proofErr w:type="spellEnd"/>
      <w:r w:rsidR="004D4DA6" w:rsidRPr="00225131">
        <w:rPr>
          <w:rFonts w:asciiTheme="minorHAnsi" w:hAnsiTheme="minorHAnsi" w:cstheme="minorHAnsi"/>
        </w:rPr>
        <w:t xml:space="preserve">. </w:t>
      </w:r>
      <w:r w:rsidR="004D4DA6" w:rsidRPr="00225131">
        <w:rPr>
          <w:rFonts w:asciiTheme="minorHAnsi" w:eastAsia="Times New Roman" w:hAnsiTheme="minorHAnsi" w:cstheme="minorHAnsi"/>
          <w:lang w:val="id-ID" w:eastAsia="id-ID"/>
        </w:rPr>
        <w:t xml:space="preserve">The </w:t>
      </w:r>
      <w:proofErr w:type="spellStart"/>
      <w:r w:rsidR="004D4DA6" w:rsidRPr="00225131">
        <w:rPr>
          <w:rFonts w:asciiTheme="minorHAnsi" w:eastAsia="Times New Roman" w:hAnsiTheme="minorHAnsi" w:cstheme="minorHAnsi"/>
          <w:lang w:val="id-ID" w:eastAsia="id-ID"/>
        </w:rPr>
        <w:t>results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this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research</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illustrate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that</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men</w:t>
      </w:r>
      <w:proofErr w:type="spellEnd"/>
      <w:r w:rsidR="004D4DA6" w:rsidRPr="00225131">
        <w:rPr>
          <w:rFonts w:asciiTheme="minorHAnsi" w:eastAsia="Times New Roman" w:hAnsiTheme="minorHAnsi" w:cstheme="minorHAnsi"/>
          <w:lang w:val="id-ID" w:eastAsia="id-ID"/>
        </w:rPr>
        <w:t xml:space="preserve"> are </w:t>
      </w:r>
      <w:proofErr w:type="spellStart"/>
      <w:r w:rsidR="004D4DA6" w:rsidRPr="00225131">
        <w:rPr>
          <w:rFonts w:asciiTheme="minorHAnsi" w:eastAsia="Times New Roman" w:hAnsiTheme="minorHAnsi" w:cstheme="minorHAnsi"/>
          <w:lang w:val="id-ID" w:eastAsia="id-ID"/>
        </w:rPr>
        <w:t>sometimes</w:t>
      </w:r>
      <w:proofErr w:type="spellEnd"/>
      <w:r w:rsidR="004D4DA6" w:rsidRPr="00225131">
        <w:rPr>
          <w:rFonts w:asciiTheme="minorHAnsi" w:eastAsia="Times New Roman" w:hAnsiTheme="minorHAnsi" w:cstheme="minorHAnsi"/>
          <w:lang w:val="id-ID" w:eastAsia="id-ID"/>
        </w:rPr>
        <w:t xml:space="preserve"> superior </w:t>
      </w:r>
      <w:proofErr w:type="spellStart"/>
      <w:r w:rsidR="004D4DA6" w:rsidRPr="00225131">
        <w:rPr>
          <w:rFonts w:asciiTheme="minorHAnsi" w:eastAsia="Times New Roman" w:hAnsiTheme="minorHAnsi" w:cstheme="minorHAnsi"/>
          <w:lang w:val="id-ID" w:eastAsia="id-ID"/>
        </w:rPr>
        <w:t>to</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women</w:t>
      </w:r>
      <w:proofErr w:type="spellEnd"/>
      <w:r w:rsidR="004D4DA6" w:rsidRPr="00225131">
        <w:rPr>
          <w:rFonts w:asciiTheme="minorHAnsi" w:eastAsia="Times New Roman" w:hAnsiTheme="minorHAnsi" w:cstheme="minorHAnsi"/>
          <w:lang w:val="id-ID" w:eastAsia="id-ID"/>
        </w:rPr>
        <w:t xml:space="preserve"> in </w:t>
      </w:r>
      <w:proofErr w:type="spellStart"/>
      <w:r w:rsidR="004D4DA6" w:rsidRPr="00225131">
        <w:rPr>
          <w:rFonts w:asciiTheme="minorHAnsi" w:eastAsia="Times New Roman" w:hAnsiTheme="minorHAnsi" w:cstheme="minorHAnsi"/>
          <w:lang w:val="id-ID" w:eastAsia="id-ID"/>
        </w:rPr>
        <w:t>terms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levels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influence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self-confidence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overcoming</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problems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superior </w:t>
      </w:r>
      <w:proofErr w:type="spellStart"/>
      <w:r w:rsidR="004D4DA6" w:rsidRPr="00225131">
        <w:rPr>
          <w:rFonts w:asciiTheme="minorHAnsi" w:eastAsia="Times New Roman" w:hAnsiTheme="minorHAnsi" w:cstheme="minorHAnsi"/>
          <w:lang w:val="id-ID" w:eastAsia="id-ID"/>
        </w:rPr>
        <w:t>thinking</w:t>
      </w:r>
      <w:proofErr w:type="spellEnd"/>
      <w:r w:rsidR="004D4DA6" w:rsidRPr="00225131">
        <w:rPr>
          <w:rFonts w:asciiTheme="minorHAnsi" w:eastAsia="Times New Roman" w:hAnsiTheme="minorHAnsi" w:cstheme="minorHAnsi"/>
          <w:lang w:val="id-ID" w:eastAsia="id-ID"/>
        </w:rPr>
        <w:t xml:space="preserve">. Handayani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Sugiarti </w:t>
      </w:r>
      <w:proofErr w:type="spellStart"/>
      <w:r w:rsidR="004D4DA6" w:rsidRPr="00225131">
        <w:rPr>
          <w:rFonts w:asciiTheme="minorHAnsi" w:eastAsia="Times New Roman" w:hAnsiTheme="minorHAnsi" w:cstheme="minorHAnsi"/>
          <w:lang w:val="id-ID" w:eastAsia="id-ID"/>
        </w:rPr>
        <w:t>explained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that</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classification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differences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between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men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women</w:t>
      </w:r>
      <w:proofErr w:type="spellEnd"/>
      <w:r w:rsidR="004D4DA6" w:rsidRPr="00225131">
        <w:rPr>
          <w:rFonts w:asciiTheme="minorHAnsi" w:eastAsia="Times New Roman" w:hAnsiTheme="minorHAnsi" w:cstheme="minorHAnsi"/>
          <w:lang w:val="id-ID" w:eastAsia="id-ID"/>
        </w:rPr>
        <w:t xml:space="preserve"> in </w:t>
      </w:r>
      <w:proofErr w:type="spellStart"/>
      <w:r w:rsidR="004D4DA6" w:rsidRPr="00225131">
        <w:rPr>
          <w:rFonts w:asciiTheme="minorHAnsi" w:eastAsia="Times New Roman" w:hAnsiTheme="minorHAnsi" w:cstheme="minorHAnsi"/>
          <w:lang w:val="id-ID" w:eastAsia="id-ID"/>
        </w:rPr>
        <w:t>terms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of</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emotions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and</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lastRenderedPageBreak/>
        <w:t>intelligence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is</w:t>
      </w:r>
      <w:proofErr w:type="spellEnd"/>
      <w:r w:rsidR="004D4DA6" w:rsidRPr="00225131">
        <w:rPr>
          <w:rFonts w:asciiTheme="minorHAnsi" w:eastAsia="Times New Roman" w:hAnsiTheme="minorHAnsi" w:cstheme="minorHAnsi"/>
          <w:lang w:val="id-ID" w:eastAsia="id-ID"/>
        </w:rPr>
        <w:t xml:space="preserve"> not </w:t>
      </w:r>
      <w:proofErr w:type="spellStart"/>
      <w:r w:rsidR="004D4DA6" w:rsidRPr="00225131">
        <w:rPr>
          <w:rFonts w:asciiTheme="minorHAnsi" w:eastAsia="Times New Roman" w:hAnsiTheme="minorHAnsi" w:cstheme="minorHAnsi"/>
          <w:lang w:val="id-ID" w:eastAsia="id-ID"/>
        </w:rPr>
        <w:t>always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correct</w:t>
      </w:r>
      <w:proofErr w:type="spellEnd"/>
      <w:r w:rsidR="004D4DA6" w:rsidRPr="00225131">
        <w:rPr>
          <w:rFonts w:asciiTheme="minorHAnsi" w:eastAsia="Times New Roman" w:hAnsiTheme="minorHAnsi" w:cstheme="minorHAnsi"/>
          <w:lang w:val="id-ID" w:eastAsia="id-ID"/>
        </w:rPr>
        <w:t xml:space="preserve">; in </w:t>
      </w:r>
      <w:proofErr w:type="spellStart"/>
      <w:r w:rsidR="004D4DA6" w:rsidRPr="00225131">
        <w:rPr>
          <w:rFonts w:asciiTheme="minorHAnsi" w:eastAsia="Times New Roman" w:hAnsiTheme="minorHAnsi" w:cstheme="minorHAnsi"/>
          <w:lang w:val="id-ID" w:eastAsia="id-ID"/>
        </w:rPr>
        <w:t>other</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words</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the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opposite</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can</w:t>
      </w:r>
      <w:proofErr w:type="spellEnd"/>
      <w:r w:rsidR="004D4DA6" w:rsidRPr="00225131">
        <w:rPr>
          <w:rFonts w:asciiTheme="minorHAnsi" w:eastAsia="Times New Roman" w:hAnsiTheme="minorHAnsi" w:cstheme="minorHAnsi"/>
          <w:lang w:val="id-ID" w:eastAsia="id-ID"/>
        </w:rPr>
        <w:t xml:space="preserve"> </w:t>
      </w:r>
      <w:proofErr w:type="spellStart"/>
      <w:r w:rsidR="004D4DA6" w:rsidRPr="00225131">
        <w:rPr>
          <w:rFonts w:asciiTheme="minorHAnsi" w:eastAsia="Times New Roman" w:hAnsiTheme="minorHAnsi" w:cstheme="minorHAnsi"/>
          <w:lang w:val="id-ID" w:eastAsia="id-ID"/>
        </w:rPr>
        <w:t>happen</w:t>
      </w:r>
      <w:proofErr w:type="spellEnd"/>
      <w:r w:rsidR="004D4DA6" w:rsidRPr="00225131">
        <w:rPr>
          <w:rFonts w:asciiTheme="minorHAnsi" w:eastAsia="Times New Roman" w:hAnsiTheme="minorHAnsi" w:cstheme="minorHAnsi"/>
          <w:lang w:val="id-ID" w:eastAsia="id-ID"/>
        </w:rPr>
        <w:t xml:space="preserve"> </w:t>
      </w:r>
      <w:r w:rsidR="004D4DA6" w:rsidRPr="00225131">
        <w:rPr>
          <w:rStyle w:val="FootnoteReference"/>
          <w:rFonts w:asciiTheme="minorHAnsi" w:hAnsiTheme="minorHAnsi" w:cstheme="minorHAnsi"/>
          <w:color w:val="00B0F0"/>
        </w:rPr>
        <w:fldChar w:fldCharType="begin" w:fldLock="1"/>
      </w:r>
      <w:r w:rsidR="004D4DA6" w:rsidRPr="00225131">
        <w:rPr>
          <w:rFonts w:asciiTheme="minorHAnsi" w:hAnsiTheme="minorHAnsi" w:cstheme="minorHAnsi"/>
          <w:color w:val="00B0F0"/>
        </w:rPr>
        <w:instrText>ADDIN CSL_CITATION {"citationItems":[{"id":"ITEM-1","itemData":{"author":[{"dropping-particle":"","family":"Handayani","given":"Tri Sakti","non-dropping-particle":"","parse-names":false,"suffix":""},{"dropping-particle":"","family":"Sugiarti","given":"","non-dropping-particle":"","parse-names":false,"suffix":""}],"id":"ITEM-1","issued":{"date-parts":[["2017"]]},"publisher":"Universitas Muhammadiyah Malang","publisher-place":"Malang","title":"Konsep dan Teknik Penelitian Gender","type":"book"},"locator":"7","uris":["http://www.mendeley.com/documents/?uuid=b2bd18fc-96a5-4249-a030-fc4059201df5"]}],"mendeley":{"formattedCitation":"(Handayani &amp; Sugiarti, 2017, p. 7)","plainTextFormattedCitation":"(Handayani &amp; Sugiarti, 2017, p. 7)","previouslyFormattedCitation":"(Handayani &amp; Sugiarti, 2017, p. 7)"},"properties":{"noteIndex":0},"schema":"https://github.com/citation-style-language/schema/raw/master/csl-citation.json"}</w:instrText>
      </w:r>
      <w:r w:rsidR="004D4DA6" w:rsidRPr="00225131">
        <w:rPr>
          <w:rStyle w:val="FootnoteReference"/>
          <w:rFonts w:asciiTheme="minorHAnsi" w:hAnsiTheme="minorHAnsi" w:cstheme="minorHAnsi"/>
          <w:color w:val="00B0F0"/>
        </w:rPr>
        <w:fldChar w:fldCharType="separate"/>
      </w:r>
      <w:r w:rsidR="004D4DA6" w:rsidRPr="00225131">
        <w:rPr>
          <w:rFonts w:asciiTheme="minorHAnsi" w:hAnsiTheme="minorHAnsi" w:cstheme="minorHAnsi"/>
          <w:bCs/>
          <w:noProof/>
          <w:color w:val="00B0F0"/>
          <w:lang w:val="id-ID"/>
        </w:rPr>
        <w:t>(Handayani &amp; Sugiarti, 2017, p. 7)</w:t>
      </w:r>
      <w:r w:rsidR="004D4DA6" w:rsidRPr="00225131">
        <w:rPr>
          <w:rStyle w:val="FootnoteReference"/>
          <w:rFonts w:asciiTheme="minorHAnsi" w:hAnsiTheme="minorHAnsi" w:cstheme="minorHAnsi"/>
          <w:color w:val="00B0F0"/>
        </w:rPr>
        <w:fldChar w:fldCharType="end"/>
      </w:r>
      <w:r w:rsidR="004D4DA6" w:rsidRPr="00225131">
        <w:rPr>
          <w:rFonts w:asciiTheme="minorHAnsi" w:hAnsiTheme="minorHAnsi" w:cstheme="minorHAnsi"/>
        </w:rPr>
        <w:t xml:space="preserve">. </w:t>
      </w:r>
    </w:p>
    <w:p w14:paraId="3F41EBCF" w14:textId="77777777" w:rsidR="008A1891" w:rsidRPr="00225131" w:rsidRDefault="008A1891" w:rsidP="00225131">
      <w:pPr>
        <w:spacing w:after="0" w:line="240" w:lineRule="auto"/>
        <w:jc w:val="both"/>
        <w:rPr>
          <w:rFonts w:asciiTheme="minorHAnsi" w:hAnsiTheme="minorHAnsi" w:cstheme="minorHAnsi"/>
        </w:rPr>
      </w:pPr>
    </w:p>
    <w:p w14:paraId="55A04967" w14:textId="6F4D5C98" w:rsidR="007A032A" w:rsidRDefault="00AB0F44" w:rsidP="00AB0F44">
      <w:pPr>
        <w:spacing w:line="240" w:lineRule="auto"/>
        <w:ind w:left="426" w:hanging="426"/>
        <w:jc w:val="both"/>
        <w:rPr>
          <w:b/>
          <w:lang w:val="en-US"/>
        </w:rPr>
      </w:pPr>
      <w:bookmarkStart w:id="8" w:name="_Hlk162865741"/>
      <w:r>
        <w:rPr>
          <w:b/>
          <w:lang w:val="en-US"/>
        </w:rPr>
        <w:t xml:space="preserve">4.3. </w:t>
      </w:r>
      <w:r w:rsidRPr="00AB0F44">
        <w:rPr>
          <w:b/>
          <w:lang w:val="en-US"/>
        </w:rPr>
        <w:t>Differences in Self-Efficacy, Self-Management, and Student Achievement Index Based on Student Generation</w:t>
      </w:r>
    </w:p>
    <w:bookmarkEnd w:id="8"/>
    <w:p w14:paraId="774C4E14" w14:textId="6D1AEF51" w:rsidR="009433C5" w:rsidRPr="00AB0F44" w:rsidRDefault="009433C5" w:rsidP="00AB0F44">
      <w:pPr>
        <w:pStyle w:val="ListParagraph"/>
        <w:autoSpaceDE w:val="0"/>
        <w:autoSpaceDN w:val="0"/>
        <w:adjustRightInd w:val="0"/>
        <w:spacing w:after="0" w:line="240" w:lineRule="auto"/>
        <w:ind w:left="0" w:firstLine="284"/>
        <w:jc w:val="both"/>
        <w:rPr>
          <w:rFonts w:asciiTheme="minorHAnsi" w:hAnsiTheme="minorHAnsi" w:cstheme="minorHAnsi"/>
          <w:lang w:val="en-US"/>
        </w:rPr>
      </w:pPr>
      <w:r w:rsidRPr="00AB0F44">
        <w:rPr>
          <w:rFonts w:asciiTheme="minorHAnsi" w:hAnsiTheme="minorHAnsi" w:cstheme="minorHAnsi"/>
          <w:lang w:val="en-US"/>
        </w:rPr>
        <w:t>Testing differences in student self-efficacy, self-management, and achievement indexes based on batches of students was carried out using the Mann-Whitney and Kruskal-Walls tests. The Kruskal-Walls test is a non-parametric statistical test used to test unrelated samples</w:t>
      </w:r>
      <w:r w:rsidRPr="00AB0F44">
        <w:rPr>
          <w:rFonts w:asciiTheme="minorHAnsi" w:hAnsiTheme="minorHAnsi" w:cstheme="minorHAnsi"/>
        </w:rPr>
        <w:t xml:space="preserve">. </w:t>
      </w:r>
      <w:r w:rsidRPr="00AB0F44">
        <w:rPr>
          <w:rFonts w:asciiTheme="minorHAnsi" w:hAnsiTheme="minorHAnsi" w:cstheme="minorHAnsi"/>
          <w:lang w:val="en-US"/>
        </w:rPr>
        <w:t>In this case, the Mann-Whitney test was carried out to test whether there were differences in student self-efficacy, self-management, and achievement index through two criteria in the batch of students. The Kruskal-Walls test was carried out to test whether there were simultaneous differences in student self-efficacy, self-management, and achievement indexes.</w:t>
      </w:r>
    </w:p>
    <w:p w14:paraId="4D7CECB9" w14:textId="7E01ACF8" w:rsidR="009433C5" w:rsidRPr="00935AEB" w:rsidRDefault="009433C5" w:rsidP="00935AEB">
      <w:pPr>
        <w:autoSpaceDE w:val="0"/>
        <w:autoSpaceDN w:val="0"/>
        <w:adjustRightInd w:val="0"/>
        <w:spacing w:after="0" w:line="240" w:lineRule="auto"/>
        <w:jc w:val="both"/>
        <w:rPr>
          <w:rFonts w:asciiTheme="majorBidi" w:hAnsiTheme="majorBidi" w:cstheme="majorBidi"/>
          <w:lang w:val="en-US"/>
        </w:rPr>
      </w:pPr>
    </w:p>
    <w:p w14:paraId="0F5FD2FD" w14:textId="7C511AAF" w:rsidR="003A6AC4" w:rsidRPr="00CD3086" w:rsidRDefault="006927C8" w:rsidP="00E2752D">
      <w:pPr>
        <w:spacing w:after="0" w:line="240" w:lineRule="auto"/>
        <w:jc w:val="center"/>
        <w:rPr>
          <w:sz w:val="20"/>
          <w:szCs w:val="20"/>
        </w:rPr>
      </w:pPr>
      <w:bookmarkStart w:id="9" w:name="_Hlk162865757"/>
      <w:r w:rsidRPr="00CD3086">
        <w:rPr>
          <w:b/>
          <w:bCs/>
          <w:sz w:val="20"/>
          <w:szCs w:val="20"/>
        </w:rPr>
        <w:t>Table 6.</w:t>
      </w:r>
      <w:r w:rsidRPr="00CD3086">
        <w:rPr>
          <w:sz w:val="20"/>
          <w:szCs w:val="20"/>
        </w:rPr>
        <w:t xml:space="preserve"> </w:t>
      </w:r>
      <w:r w:rsidR="00F0252C" w:rsidRPr="00CD3086">
        <w:rPr>
          <w:sz w:val="20"/>
          <w:szCs w:val="20"/>
        </w:rPr>
        <w:t>Differences between the class of 2020 and the class of 2021</w:t>
      </w:r>
    </w:p>
    <w:tbl>
      <w:tblPr>
        <w:tblStyle w:val="TableGrid"/>
        <w:tblW w:w="9040" w:type="dxa"/>
        <w:tblInd w:w="-5" w:type="dxa"/>
        <w:tblLook w:val="04A0" w:firstRow="1" w:lastRow="0" w:firstColumn="1" w:lastColumn="0" w:noHBand="0" w:noVBand="1"/>
      </w:tblPr>
      <w:tblGrid>
        <w:gridCol w:w="2402"/>
        <w:gridCol w:w="2118"/>
        <w:gridCol w:w="2119"/>
        <w:gridCol w:w="2401"/>
      </w:tblGrid>
      <w:tr w:rsidR="00EB3439" w:rsidRPr="00CD3086" w14:paraId="56D25F2C" w14:textId="77777777" w:rsidTr="0016799D">
        <w:trPr>
          <w:trHeight w:val="806"/>
        </w:trPr>
        <w:tc>
          <w:tcPr>
            <w:tcW w:w="2402" w:type="dxa"/>
            <w:tcBorders>
              <w:left w:val="nil"/>
              <w:bottom w:val="single" w:sz="4" w:space="0" w:color="auto"/>
              <w:right w:val="nil"/>
            </w:tcBorders>
            <w:vAlign w:val="center"/>
          </w:tcPr>
          <w:p w14:paraId="0BAC11D5"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6334D1D9"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7C6357E2"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0A2F6214"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EB3439" w:rsidRPr="00CD3086" w14:paraId="27D0D3E4" w14:textId="77777777" w:rsidTr="0016799D">
        <w:trPr>
          <w:trHeight w:val="608"/>
        </w:trPr>
        <w:tc>
          <w:tcPr>
            <w:tcW w:w="2402" w:type="dxa"/>
            <w:tcBorders>
              <w:left w:val="nil"/>
              <w:bottom w:val="nil"/>
              <w:right w:val="nil"/>
            </w:tcBorders>
          </w:tcPr>
          <w:p w14:paraId="5F9A06E1"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3306D528" w14:textId="7C3311CB"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775,500</w:t>
            </w:r>
          </w:p>
        </w:tc>
        <w:tc>
          <w:tcPr>
            <w:tcW w:w="2119" w:type="dxa"/>
            <w:tcBorders>
              <w:left w:val="nil"/>
              <w:bottom w:val="nil"/>
              <w:right w:val="nil"/>
            </w:tcBorders>
          </w:tcPr>
          <w:p w14:paraId="282C3D32" w14:textId="6A666D91"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853,000</w:t>
            </w:r>
          </w:p>
        </w:tc>
        <w:tc>
          <w:tcPr>
            <w:tcW w:w="2401" w:type="dxa"/>
            <w:tcBorders>
              <w:left w:val="nil"/>
              <w:bottom w:val="nil"/>
              <w:right w:val="nil"/>
            </w:tcBorders>
          </w:tcPr>
          <w:p w14:paraId="44345C97" w14:textId="1DF1D3C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585,000</w:t>
            </w:r>
          </w:p>
        </w:tc>
      </w:tr>
      <w:tr w:rsidR="00EB3439" w:rsidRPr="00CD3086" w14:paraId="25E4A647" w14:textId="77777777" w:rsidTr="0016799D">
        <w:trPr>
          <w:trHeight w:val="608"/>
        </w:trPr>
        <w:tc>
          <w:tcPr>
            <w:tcW w:w="2402" w:type="dxa"/>
            <w:tcBorders>
              <w:top w:val="nil"/>
              <w:left w:val="nil"/>
              <w:bottom w:val="nil"/>
              <w:right w:val="nil"/>
            </w:tcBorders>
          </w:tcPr>
          <w:p w14:paraId="115D8CCD"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4CEF4613" w14:textId="0EFDB76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1678,500</w:t>
            </w:r>
          </w:p>
        </w:tc>
        <w:tc>
          <w:tcPr>
            <w:tcW w:w="2119" w:type="dxa"/>
            <w:tcBorders>
              <w:top w:val="nil"/>
              <w:left w:val="nil"/>
              <w:bottom w:val="nil"/>
              <w:right w:val="nil"/>
            </w:tcBorders>
          </w:tcPr>
          <w:p w14:paraId="12602A2F" w14:textId="55D3937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1756,000</w:t>
            </w:r>
          </w:p>
        </w:tc>
        <w:tc>
          <w:tcPr>
            <w:tcW w:w="2401" w:type="dxa"/>
            <w:tcBorders>
              <w:top w:val="nil"/>
              <w:left w:val="nil"/>
              <w:bottom w:val="nil"/>
              <w:right w:val="nil"/>
            </w:tcBorders>
          </w:tcPr>
          <w:p w14:paraId="0E3F1A67" w14:textId="450136E5"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1666,000</w:t>
            </w:r>
          </w:p>
        </w:tc>
      </w:tr>
      <w:tr w:rsidR="00EB3439" w:rsidRPr="00CD3086" w14:paraId="44A49B4E" w14:textId="77777777" w:rsidTr="0016799D">
        <w:trPr>
          <w:trHeight w:val="619"/>
        </w:trPr>
        <w:tc>
          <w:tcPr>
            <w:tcW w:w="2402" w:type="dxa"/>
            <w:tcBorders>
              <w:top w:val="nil"/>
              <w:left w:val="nil"/>
              <w:bottom w:val="nil"/>
              <w:right w:val="nil"/>
            </w:tcBorders>
          </w:tcPr>
          <w:p w14:paraId="4FCBC8DC"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57E57C4F" w14:textId="4EA0480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-1,592</w:t>
            </w:r>
          </w:p>
        </w:tc>
        <w:tc>
          <w:tcPr>
            <w:tcW w:w="2119" w:type="dxa"/>
            <w:tcBorders>
              <w:top w:val="nil"/>
              <w:left w:val="nil"/>
              <w:bottom w:val="nil"/>
              <w:right w:val="nil"/>
            </w:tcBorders>
          </w:tcPr>
          <w:p w14:paraId="19DEBB1E" w14:textId="5EEFFC1D"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-,945</w:t>
            </w:r>
          </w:p>
        </w:tc>
        <w:tc>
          <w:tcPr>
            <w:tcW w:w="2401" w:type="dxa"/>
            <w:tcBorders>
              <w:top w:val="nil"/>
              <w:left w:val="nil"/>
              <w:bottom w:val="nil"/>
              <w:right w:val="nil"/>
            </w:tcBorders>
          </w:tcPr>
          <w:p w14:paraId="10BD2E44" w14:textId="634AB33D"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-3,189</w:t>
            </w:r>
          </w:p>
        </w:tc>
      </w:tr>
      <w:tr w:rsidR="00EB3439" w:rsidRPr="00CD3086" w14:paraId="023A6531" w14:textId="77777777" w:rsidTr="0016799D">
        <w:trPr>
          <w:trHeight w:val="362"/>
        </w:trPr>
        <w:tc>
          <w:tcPr>
            <w:tcW w:w="2402" w:type="dxa"/>
            <w:tcBorders>
              <w:top w:val="nil"/>
              <w:left w:val="nil"/>
              <w:right w:val="nil"/>
            </w:tcBorders>
          </w:tcPr>
          <w:p w14:paraId="79E6C671" w14:textId="77777777" w:rsidR="00EB3439" w:rsidRPr="00CD3086" w:rsidRDefault="00EB3439" w:rsidP="0016799D">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2557C55A" w14:textId="2F7F9CB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,111</w:t>
            </w:r>
          </w:p>
        </w:tc>
        <w:tc>
          <w:tcPr>
            <w:tcW w:w="2119" w:type="dxa"/>
            <w:tcBorders>
              <w:top w:val="nil"/>
              <w:left w:val="nil"/>
              <w:right w:val="nil"/>
            </w:tcBorders>
          </w:tcPr>
          <w:p w14:paraId="333AE18B" w14:textId="37646A9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,345</w:t>
            </w:r>
          </w:p>
        </w:tc>
        <w:tc>
          <w:tcPr>
            <w:tcW w:w="2401" w:type="dxa"/>
            <w:tcBorders>
              <w:top w:val="nil"/>
              <w:left w:val="nil"/>
              <w:right w:val="nil"/>
            </w:tcBorders>
          </w:tcPr>
          <w:p w14:paraId="74EB4EC9" w14:textId="3FC20A9A"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,001</w:t>
            </w:r>
          </w:p>
        </w:tc>
      </w:tr>
    </w:tbl>
    <w:p w14:paraId="0BF301D8" w14:textId="4E3E9AAC" w:rsidR="00EB3439" w:rsidRPr="00CD3086" w:rsidRDefault="00EB3439" w:rsidP="00EB3439">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9"/>
    <w:p w14:paraId="1750FE31" w14:textId="5B58D1BB" w:rsidR="002C2746" w:rsidRPr="00AB0F44" w:rsidRDefault="00047AEA" w:rsidP="002C2746">
      <w:pPr>
        <w:spacing w:after="0" w:line="240" w:lineRule="auto"/>
        <w:ind w:firstLine="284"/>
        <w:jc w:val="both"/>
        <w:rPr>
          <w:rFonts w:asciiTheme="minorHAnsi" w:eastAsia="Times New Roman" w:hAnsiTheme="minorHAnsi" w:cstheme="minorHAnsi"/>
          <w:lang w:val="id-ID" w:eastAsia="id-ID"/>
        </w:rPr>
      </w:pPr>
      <w:proofErr w:type="spellStart"/>
      <w:r w:rsidRPr="00AB0F44">
        <w:rPr>
          <w:rFonts w:asciiTheme="minorHAnsi" w:eastAsia="Times New Roman" w:hAnsiTheme="minorHAnsi" w:cstheme="minorHAnsi"/>
          <w:lang w:val="id-ID" w:eastAsia="id-ID"/>
        </w:rPr>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00595BCA" w:rsidRPr="00AB0F44">
        <w:rPr>
          <w:rFonts w:asciiTheme="minorHAnsi" w:eastAsia="Times New Roman" w:hAnsiTheme="minorHAnsi" w:cstheme="minorHAnsi"/>
          <w:lang w:val="id-ID" w:eastAsia="id-ID"/>
        </w:rPr>
        <w:t>the</w:t>
      </w:r>
      <w:proofErr w:type="spellEnd"/>
      <w:r w:rsidR="00595BCA" w:rsidRPr="00AB0F44">
        <w:rPr>
          <w:rFonts w:asciiTheme="minorHAnsi" w:eastAsia="Times New Roman" w:hAnsiTheme="minorHAnsi" w:cstheme="minorHAnsi"/>
          <w:lang w:val="id-ID" w:eastAsia="id-ID"/>
        </w:rPr>
        <w:t xml:space="preserve"> </w:t>
      </w:r>
      <w:proofErr w:type="spellStart"/>
      <w:r w:rsidR="00595BCA" w:rsidRPr="00AB0F44">
        <w:rPr>
          <w:rFonts w:asciiTheme="minorHAnsi" w:eastAsia="Times New Roman" w:hAnsiTheme="minorHAnsi" w:cstheme="minorHAnsi"/>
          <w:lang w:val="id-ID" w:eastAsia="id-ID"/>
        </w:rPr>
        <w:t>t</w:t>
      </w:r>
      <w:r w:rsidRPr="00AB0F44">
        <w:rPr>
          <w:rFonts w:asciiTheme="minorHAnsi" w:eastAsia="Times New Roman" w:hAnsiTheme="minorHAnsi" w:cstheme="minorHAnsi"/>
          <w:lang w:val="id-ID" w:eastAsia="id-ID"/>
        </w:rPr>
        <w:t>able</w:t>
      </w:r>
      <w:proofErr w:type="spellEnd"/>
      <w:r w:rsidRPr="00AB0F44">
        <w:rPr>
          <w:rFonts w:asciiTheme="minorHAnsi" w:eastAsia="Times New Roman" w:hAnsiTheme="minorHAnsi" w:cstheme="minorHAnsi"/>
          <w:lang w:val="id-ID" w:eastAsia="id-ID"/>
        </w:rPr>
        <w:t xml:space="preserve"> 6,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0.111 &gt; 0.05. For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0.345 &gt;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cumulative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0.001 &lt;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2021.</w:t>
      </w:r>
    </w:p>
    <w:p w14:paraId="769418A6" w14:textId="49235F4F" w:rsidR="00114032" w:rsidRPr="00AB0F44" w:rsidRDefault="00047AEA" w:rsidP="009B60C3">
      <w:pPr>
        <w:spacing w:before="120"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fourth-year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36.22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53.57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fourth-year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research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sample</w:t>
      </w:r>
      <w:proofErr w:type="spellEnd"/>
      <w:r w:rsidRPr="00AB0F44">
        <w:rPr>
          <w:rFonts w:asciiTheme="minorHAnsi" w:eastAsia="Times New Roman" w:hAnsiTheme="minorHAnsi" w:cstheme="minorHAnsi"/>
          <w:lang w:val="id-ID" w:eastAsia="id-ID"/>
        </w:rPr>
        <w:t>.</w:t>
      </w:r>
      <w:bookmarkStart w:id="10" w:name="_Hlk162865796"/>
    </w:p>
    <w:p w14:paraId="00628E4B" w14:textId="445B3980" w:rsidR="00EC730F" w:rsidRPr="00CD3086" w:rsidRDefault="00F0252C" w:rsidP="009B60C3">
      <w:pPr>
        <w:autoSpaceDE w:val="0"/>
        <w:autoSpaceDN w:val="0"/>
        <w:adjustRightInd w:val="0"/>
        <w:spacing w:before="120" w:after="0" w:line="240" w:lineRule="auto"/>
        <w:jc w:val="center"/>
        <w:rPr>
          <w:sz w:val="20"/>
          <w:szCs w:val="20"/>
        </w:rPr>
      </w:pPr>
      <w:r w:rsidRPr="00CD3086">
        <w:rPr>
          <w:b/>
          <w:bCs/>
          <w:sz w:val="20"/>
          <w:szCs w:val="20"/>
        </w:rPr>
        <w:t>Table 7.</w:t>
      </w:r>
      <w:r w:rsidRPr="00CD3086">
        <w:rPr>
          <w:sz w:val="20"/>
          <w:szCs w:val="20"/>
        </w:rPr>
        <w:t xml:space="preserve"> Differences between the class of 2020 and the class of 2022</w:t>
      </w:r>
    </w:p>
    <w:tbl>
      <w:tblPr>
        <w:tblStyle w:val="TableGrid"/>
        <w:tblW w:w="9040" w:type="dxa"/>
        <w:tblInd w:w="-5" w:type="dxa"/>
        <w:tblLook w:val="04A0" w:firstRow="1" w:lastRow="0" w:firstColumn="1" w:lastColumn="0" w:noHBand="0" w:noVBand="1"/>
      </w:tblPr>
      <w:tblGrid>
        <w:gridCol w:w="2402"/>
        <w:gridCol w:w="2118"/>
        <w:gridCol w:w="2119"/>
        <w:gridCol w:w="2401"/>
      </w:tblGrid>
      <w:tr w:rsidR="00EB3439" w:rsidRPr="00CD3086" w14:paraId="7D5B49AF" w14:textId="77777777" w:rsidTr="0016799D">
        <w:trPr>
          <w:trHeight w:val="806"/>
        </w:trPr>
        <w:tc>
          <w:tcPr>
            <w:tcW w:w="2402" w:type="dxa"/>
            <w:tcBorders>
              <w:left w:val="nil"/>
              <w:bottom w:val="single" w:sz="4" w:space="0" w:color="auto"/>
              <w:right w:val="nil"/>
            </w:tcBorders>
            <w:vAlign w:val="center"/>
          </w:tcPr>
          <w:p w14:paraId="664D025D"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3360880C"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194FFB2B"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2C636D0D" w14:textId="77777777" w:rsidR="00EB3439" w:rsidRPr="00CD3086" w:rsidRDefault="00EB3439"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EB3439" w:rsidRPr="00CD3086" w14:paraId="736E2286" w14:textId="77777777" w:rsidTr="0016799D">
        <w:trPr>
          <w:trHeight w:val="608"/>
        </w:trPr>
        <w:tc>
          <w:tcPr>
            <w:tcW w:w="2402" w:type="dxa"/>
            <w:tcBorders>
              <w:left w:val="nil"/>
              <w:bottom w:val="nil"/>
              <w:right w:val="nil"/>
            </w:tcBorders>
          </w:tcPr>
          <w:p w14:paraId="3226C718"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14B0BBC3" w14:textId="42DF89FE"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964,000</w:t>
            </w:r>
          </w:p>
        </w:tc>
        <w:tc>
          <w:tcPr>
            <w:tcW w:w="2119" w:type="dxa"/>
            <w:tcBorders>
              <w:left w:val="nil"/>
              <w:bottom w:val="nil"/>
              <w:right w:val="nil"/>
            </w:tcBorders>
          </w:tcPr>
          <w:p w14:paraId="5B1FEBB9" w14:textId="17EED6C6"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1111,000</w:t>
            </w:r>
          </w:p>
        </w:tc>
        <w:tc>
          <w:tcPr>
            <w:tcW w:w="2401" w:type="dxa"/>
            <w:tcBorders>
              <w:left w:val="nil"/>
              <w:bottom w:val="nil"/>
              <w:right w:val="nil"/>
            </w:tcBorders>
          </w:tcPr>
          <w:p w14:paraId="72A307C6" w14:textId="3CE26D0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1146,000</w:t>
            </w:r>
          </w:p>
        </w:tc>
      </w:tr>
      <w:tr w:rsidR="00EB3439" w:rsidRPr="00CD3086" w14:paraId="0370686B" w14:textId="77777777" w:rsidTr="0016799D">
        <w:trPr>
          <w:trHeight w:val="608"/>
        </w:trPr>
        <w:tc>
          <w:tcPr>
            <w:tcW w:w="2402" w:type="dxa"/>
            <w:tcBorders>
              <w:top w:val="nil"/>
              <w:left w:val="nil"/>
              <w:bottom w:val="nil"/>
              <w:right w:val="nil"/>
            </w:tcBorders>
          </w:tcPr>
          <w:p w14:paraId="632F6896"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2CCC30B7" w14:textId="1C522F0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2342,000</w:t>
            </w:r>
          </w:p>
        </w:tc>
        <w:tc>
          <w:tcPr>
            <w:tcW w:w="2119" w:type="dxa"/>
            <w:tcBorders>
              <w:top w:val="nil"/>
              <w:left w:val="nil"/>
              <w:bottom w:val="nil"/>
              <w:right w:val="nil"/>
            </w:tcBorders>
          </w:tcPr>
          <w:p w14:paraId="30759760" w14:textId="71FE5F5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2489,000</w:t>
            </w:r>
          </w:p>
        </w:tc>
        <w:tc>
          <w:tcPr>
            <w:tcW w:w="2401" w:type="dxa"/>
            <w:tcBorders>
              <w:top w:val="nil"/>
              <w:left w:val="nil"/>
              <w:bottom w:val="nil"/>
              <w:right w:val="nil"/>
            </w:tcBorders>
          </w:tcPr>
          <w:p w14:paraId="2A3D0EE0" w14:textId="76EEC5C4"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2227,000</w:t>
            </w:r>
          </w:p>
        </w:tc>
      </w:tr>
      <w:tr w:rsidR="00EB3439" w:rsidRPr="00CD3086" w14:paraId="599456C3" w14:textId="77777777" w:rsidTr="0016799D">
        <w:trPr>
          <w:trHeight w:val="619"/>
        </w:trPr>
        <w:tc>
          <w:tcPr>
            <w:tcW w:w="2402" w:type="dxa"/>
            <w:tcBorders>
              <w:top w:val="nil"/>
              <w:left w:val="nil"/>
              <w:bottom w:val="nil"/>
              <w:right w:val="nil"/>
            </w:tcBorders>
          </w:tcPr>
          <w:p w14:paraId="0A627776" w14:textId="7777777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7E8DB23F" w14:textId="741F5BDC"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-1,652</w:t>
            </w:r>
          </w:p>
        </w:tc>
        <w:tc>
          <w:tcPr>
            <w:tcW w:w="2119" w:type="dxa"/>
            <w:tcBorders>
              <w:top w:val="nil"/>
              <w:left w:val="nil"/>
              <w:bottom w:val="nil"/>
              <w:right w:val="nil"/>
            </w:tcBorders>
          </w:tcPr>
          <w:p w14:paraId="1CFC0690" w14:textId="1B614A57"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-,605</w:t>
            </w:r>
          </w:p>
        </w:tc>
        <w:tc>
          <w:tcPr>
            <w:tcW w:w="2401" w:type="dxa"/>
            <w:tcBorders>
              <w:top w:val="nil"/>
              <w:left w:val="nil"/>
              <w:bottom w:val="nil"/>
              <w:right w:val="nil"/>
            </w:tcBorders>
          </w:tcPr>
          <w:p w14:paraId="0B94768B" w14:textId="127C56F3"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-,356</w:t>
            </w:r>
          </w:p>
        </w:tc>
      </w:tr>
      <w:tr w:rsidR="00EB3439" w:rsidRPr="00CD3086" w14:paraId="65C82A84" w14:textId="77777777" w:rsidTr="0016799D">
        <w:trPr>
          <w:trHeight w:val="362"/>
        </w:trPr>
        <w:tc>
          <w:tcPr>
            <w:tcW w:w="2402" w:type="dxa"/>
            <w:tcBorders>
              <w:top w:val="nil"/>
              <w:left w:val="nil"/>
              <w:right w:val="nil"/>
            </w:tcBorders>
          </w:tcPr>
          <w:p w14:paraId="2AD14D62" w14:textId="77777777" w:rsidR="00EB3439" w:rsidRPr="00CD3086" w:rsidRDefault="00EB3439" w:rsidP="0016799D">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3A927A93" w14:textId="2DD2658A"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,098</w:t>
            </w:r>
          </w:p>
        </w:tc>
        <w:tc>
          <w:tcPr>
            <w:tcW w:w="2119" w:type="dxa"/>
            <w:tcBorders>
              <w:top w:val="nil"/>
              <w:left w:val="nil"/>
              <w:right w:val="nil"/>
            </w:tcBorders>
          </w:tcPr>
          <w:p w14:paraId="2075284E" w14:textId="1F17CBCB"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,545</w:t>
            </w:r>
          </w:p>
        </w:tc>
        <w:tc>
          <w:tcPr>
            <w:tcW w:w="2401" w:type="dxa"/>
            <w:tcBorders>
              <w:top w:val="nil"/>
              <w:left w:val="nil"/>
              <w:right w:val="nil"/>
            </w:tcBorders>
          </w:tcPr>
          <w:p w14:paraId="4997F614" w14:textId="25EF3182" w:rsidR="00EB3439" w:rsidRPr="00CD3086" w:rsidRDefault="00EB3439" w:rsidP="0016799D">
            <w:pPr>
              <w:pStyle w:val="ListParagraph"/>
              <w:spacing w:line="360" w:lineRule="auto"/>
              <w:ind w:left="0"/>
              <w:jc w:val="center"/>
              <w:rPr>
                <w:rFonts w:ascii="Calibri" w:hAnsi="Calibri"/>
                <w:sz w:val="20"/>
                <w:szCs w:val="20"/>
              </w:rPr>
            </w:pPr>
            <w:r w:rsidRPr="00CD3086">
              <w:rPr>
                <w:rFonts w:ascii="Calibri" w:hAnsi="Calibri"/>
                <w:sz w:val="20"/>
                <w:szCs w:val="20"/>
              </w:rPr>
              <w:t>,722</w:t>
            </w:r>
          </w:p>
        </w:tc>
      </w:tr>
    </w:tbl>
    <w:p w14:paraId="44ECC23B" w14:textId="644AFDF3" w:rsidR="00EB3439" w:rsidRPr="00CD3086" w:rsidRDefault="00EB3439" w:rsidP="00EB3439">
      <w:pPr>
        <w:pStyle w:val="ListParagraph"/>
        <w:ind w:left="5670" w:firstLine="284"/>
        <w:jc w:val="both"/>
        <w:rPr>
          <w:sz w:val="20"/>
          <w:szCs w:val="20"/>
        </w:rPr>
      </w:pPr>
      <w:r w:rsidRPr="00CD3086">
        <w:rPr>
          <w:rFonts w:eastAsia="SimSun"/>
          <w:i/>
          <w:iCs/>
          <w:sz w:val="20"/>
          <w:szCs w:val="20"/>
          <w:lang w:val="en-US" w:eastAsia="zh-CN"/>
        </w:rPr>
        <w:lastRenderedPageBreak/>
        <w:t>Source: SPSS Version 26 Calculations</w:t>
      </w:r>
    </w:p>
    <w:bookmarkEnd w:id="10"/>
    <w:p w14:paraId="5B644449" w14:textId="0E71643C" w:rsidR="00047AEA" w:rsidRPr="00AB0F44" w:rsidRDefault="00047AEA" w:rsidP="009B60C3">
      <w:pPr>
        <w:spacing w:before="120" w:after="0" w:line="240" w:lineRule="auto"/>
        <w:ind w:firstLine="284"/>
        <w:rPr>
          <w:rFonts w:asciiTheme="minorHAnsi" w:eastAsia="Times New Roman" w:hAnsiTheme="minorHAnsi" w:cstheme="minorHAnsi"/>
          <w:lang w:val="id-ID" w:eastAsia="id-ID"/>
        </w:rPr>
      </w:pPr>
      <w:proofErr w:type="spellStart"/>
      <w:r w:rsidRPr="00AB0F44">
        <w:rPr>
          <w:rFonts w:asciiTheme="minorHAnsi" w:eastAsia="Times New Roman" w:hAnsiTheme="minorHAnsi" w:cstheme="minorHAnsi"/>
          <w:lang w:val="id-ID" w:eastAsia="id-ID"/>
        </w:rPr>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00595BCA" w:rsidRPr="00AB0F44">
        <w:rPr>
          <w:rFonts w:asciiTheme="minorHAnsi" w:eastAsia="Times New Roman" w:hAnsiTheme="minorHAnsi" w:cstheme="minorHAnsi"/>
          <w:lang w:val="id-ID" w:eastAsia="id-ID"/>
        </w:rPr>
        <w:t>the</w:t>
      </w:r>
      <w:proofErr w:type="spellEnd"/>
      <w:r w:rsidR="00595BCA" w:rsidRPr="00AB0F44">
        <w:rPr>
          <w:rFonts w:asciiTheme="minorHAnsi" w:eastAsia="Times New Roman" w:hAnsiTheme="minorHAnsi" w:cstheme="minorHAnsi"/>
          <w:lang w:val="id-ID" w:eastAsia="id-ID"/>
        </w:rPr>
        <w:t xml:space="preserve"> </w:t>
      </w:r>
      <w:proofErr w:type="spellStart"/>
      <w:r w:rsidR="00595BCA" w:rsidRPr="00AB0F44">
        <w:rPr>
          <w:rFonts w:asciiTheme="minorHAnsi" w:eastAsia="Times New Roman" w:hAnsiTheme="minorHAnsi" w:cstheme="minorHAnsi"/>
          <w:lang w:val="id-ID" w:eastAsia="id-ID"/>
        </w:rPr>
        <w:t>t</w:t>
      </w:r>
      <w:r w:rsidRPr="00AB0F44">
        <w:rPr>
          <w:rFonts w:asciiTheme="minorHAnsi" w:eastAsia="Times New Roman" w:hAnsiTheme="minorHAnsi" w:cstheme="minorHAnsi"/>
          <w:lang w:val="id-ID" w:eastAsia="id-ID"/>
        </w:rPr>
        <w:t>able</w:t>
      </w:r>
      <w:proofErr w:type="spellEnd"/>
      <w:r w:rsidRPr="00AB0F44">
        <w:rPr>
          <w:rFonts w:asciiTheme="minorHAnsi" w:eastAsia="Times New Roman" w:hAnsiTheme="minorHAnsi" w:cstheme="minorHAnsi"/>
          <w:lang w:val="id-ID" w:eastAsia="id-ID"/>
        </w:rPr>
        <w:t xml:space="preserve"> 7,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0.111 &gt;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which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0.345 &gt;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which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0.722 &gt; 0.05, </w:t>
      </w:r>
      <w:proofErr w:type="spellStart"/>
      <w:r w:rsidRPr="00AB0F44">
        <w:rPr>
          <w:rFonts w:asciiTheme="minorHAnsi" w:eastAsia="Times New Roman" w:hAnsiTheme="minorHAnsi" w:cstheme="minorHAnsi"/>
          <w:lang w:val="id-ID" w:eastAsia="id-ID"/>
        </w:rPr>
        <w:t>shows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there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009B60C3">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2022.</w:t>
      </w:r>
    </w:p>
    <w:p w14:paraId="3383FD2B" w14:textId="23C73ACB" w:rsidR="00D47BB8" w:rsidRPr="00CD3086" w:rsidRDefault="00F0252C" w:rsidP="009B60C3">
      <w:pPr>
        <w:spacing w:before="120" w:after="0" w:line="240" w:lineRule="auto"/>
        <w:jc w:val="center"/>
        <w:rPr>
          <w:sz w:val="20"/>
          <w:szCs w:val="20"/>
        </w:rPr>
      </w:pPr>
      <w:bookmarkStart w:id="11" w:name="_Hlk162865816"/>
      <w:r w:rsidRPr="00CD3086">
        <w:rPr>
          <w:b/>
          <w:bCs/>
          <w:sz w:val="20"/>
          <w:szCs w:val="20"/>
        </w:rPr>
        <w:t>Table 8.</w:t>
      </w:r>
      <w:r w:rsidRPr="00CD3086">
        <w:rPr>
          <w:sz w:val="20"/>
          <w:szCs w:val="20"/>
        </w:rPr>
        <w:t xml:space="preserve"> Differences between the class of 2020 and the class of 2023</w:t>
      </w:r>
    </w:p>
    <w:tbl>
      <w:tblPr>
        <w:tblStyle w:val="TableGrid"/>
        <w:tblW w:w="9040" w:type="dxa"/>
        <w:tblInd w:w="-5" w:type="dxa"/>
        <w:tblLook w:val="04A0" w:firstRow="1" w:lastRow="0" w:firstColumn="1" w:lastColumn="0" w:noHBand="0" w:noVBand="1"/>
      </w:tblPr>
      <w:tblGrid>
        <w:gridCol w:w="2402"/>
        <w:gridCol w:w="2118"/>
        <w:gridCol w:w="2119"/>
        <w:gridCol w:w="2401"/>
      </w:tblGrid>
      <w:tr w:rsidR="002162FF" w:rsidRPr="00CD3086" w14:paraId="72A3D279" w14:textId="77777777" w:rsidTr="0016799D">
        <w:trPr>
          <w:trHeight w:val="806"/>
        </w:trPr>
        <w:tc>
          <w:tcPr>
            <w:tcW w:w="2402" w:type="dxa"/>
            <w:tcBorders>
              <w:left w:val="nil"/>
              <w:bottom w:val="single" w:sz="4" w:space="0" w:color="auto"/>
              <w:right w:val="nil"/>
            </w:tcBorders>
            <w:vAlign w:val="center"/>
          </w:tcPr>
          <w:p w14:paraId="3CF45E3D" w14:textId="77777777" w:rsidR="002162FF" w:rsidRPr="00CD3086" w:rsidRDefault="002162FF"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05D030E4" w14:textId="77777777" w:rsidR="002162FF" w:rsidRPr="00CD3086" w:rsidRDefault="002162FF"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1EF04F6E" w14:textId="77777777" w:rsidR="002162FF" w:rsidRPr="00CD3086" w:rsidRDefault="002162FF"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0423F612" w14:textId="77777777" w:rsidR="002162FF" w:rsidRPr="00CD3086" w:rsidRDefault="002162FF" w:rsidP="0016799D">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2162FF" w:rsidRPr="00CD3086" w14:paraId="1A081DDB" w14:textId="77777777" w:rsidTr="0016799D">
        <w:trPr>
          <w:trHeight w:val="608"/>
        </w:trPr>
        <w:tc>
          <w:tcPr>
            <w:tcW w:w="2402" w:type="dxa"/>
            <w:tcBorders>
              <w:left w:val="nil"/>
              <w:bottom w:val="nil"/>
              <w:right w:val="nil"/>
            </w:tcBorders>
          </w:tcPr>
          <w:p w14:paraId="11CE662B" w14:textId="77777777"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36323CFD" w14:textId="3C2E203B"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904,000</w:t>
            </w:r>
          </w:p>
        </w:tc>
        <w:tc>
          <w:tcPr>
            <w:tcW w:w="2119" w:type="dxa"/>
            <w:tcBorders>
              <w:left w:val="nil"/>
              <w:bottom w:val="nil"/>
              <w:right w:val="nil"/>
            </w:tcBorders>
          </w:tcPr>
          <w:p w14:paraId="405A86AF" w14:textId="5CFABE3E"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1035,000</w:t>
            </w:r>
          </w:p>
        </w:tc>
        <w:tc>
          <w:tcPr>
            <w:tcW w:w="2401" w:type="dxa"/>
            <w:tcBorders>
              <w:left w:val="nil"/>
              <w:bottom w:val="nil"/>
              <w:right w:val="nil"/>
            </w:tcBorders>
          </w:tcPr>
          <w:p w14:paraId="6BEDBA11" w14:textId="2CF1BF08"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304,500</w:t>
            </w:r>
          </w:p>
        </w:tc>
      </w:tr>
      <w:tr w:rsidR="002162FF" w:rsidRPr="00CD3086" w14:paraId="39517C76" w14:textId="77777777" w:rsidTr="0016799D">
        <w:trPr>
          <w:trHeight w:val="608"/>
        </w:trPr>
        <w:tc>
          <w:tcPr>
            <w:tcW w:w="2402" w:type="dxa"/>
            <w:tcBorders>
              <w:top w:val="nil"/>
              <w:left w:val="nil"/>
              <w:bottom w:val="nil"/>
              <w:right w:val="nil"/>
            </w:tcBorders>
          </w:tcPr>
          <w:p w14:paraId="446E21D1" w14:textId="77777777"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50141ECC" w14:textId="4D02E8E0"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2615,000</w:t>
            </w:r>
          </w:p>
        </w:tc>
        <w:tc>
          <w:tcPr>
            <w:tcW w:w="2119" w:type="dxa"/>
            <w:tcBorders>
              <w:top w:val="nil"/>
              <w:left w:val="nil"/>
              <w:bottom w:val="nil"/>
              <w:right w:val="nil"/>
            </w:tcBorders>
          </w:tcPr>
          <w:p w14:paraId="2EEE6A14" w14:textId="7A666EE3"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2746,000</w:t>
            </w:r>
          </w:p>
        </w:tc>
        <w:tc>
          <w:tcPr>
            <w:tcW w:w="2401" w:type="dxa"/>
            <w:tcBorders>
              <w:top w:val="nil"/>
              <w:left w:val="nil"/>
              <w:bottom w:val="nil"/>
              <w:right w:val="nil"/>
            </w:tcBorders>
          </w:tcPr>
          <w:p w14:paraId="0B683F4F" w14:textId="29165E23"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2015,500</w:t>
            </w:r>
          </w:p>
        </w:tc>
      </w:tr>
      <w:tr w:rsidR="002162FF" w:rsidRPr="00CD3086" w14:paraId="0CFE6495" w14:textId="77777777" w:rsidTr="0016799D">
        <w:trPr>
          <w:trHeight w:val="619"/>
        </w:trPr>
        <w:tc>
          <w:tcPr>
            <w:tcW w:w="2402" w:type="dxa"/>
            <w:tcBorders>
              <w:top w:val="nil"/>
              <w:left w:val="nil"/>
              <w:bottom w:val="nil"/>
              <w:right w:val="nil"/>
            </w:tcBorders>
          </w:tcPr>
          <w:p w14:paraId="06208EA4" w14:textId="77777777"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2A0CDFE7" w14:textId="69E947C2"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-2,815</w:t>
            </w:r>
          </w:p>
        </w:tc>
        <w:tc>
          <w:tcPr>
            <w:tcW w:w="2119" w:type="dxa"/>
            <w:tcBorders>
              <w:top w:val="nil"/>
              <w:left w:val="nil"/>
              <w:bottom w:val="nil"/>
              <w:right w:val="nil"/>
            </w:tcBorders>
          </w:tcPr>
          <w:p w14:paraId="4AF66ED8" w14:textId="21AD932E"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-1,958</w:t>
            </w:r>
          </w:p>
        </w:tc>
        <w:tc>
          <w:tcPr>
            <w:tcW w:w="2401" w:type="dxa"/>
            <w:tcBorders>
              <w:top w:val="nil"/>
              <w:left w:val="nil"/>
              <w:bottom w:val="nil"/>
              <w:right w:val="nil"/>
            </w:tcBorders>
          </w:tcPr>
          <w:p w14:paraId="6B072AB5" w14:textId="65A11120"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-6,742</w:t>
            </w:r>
          </w:p>
        </w:tc>
      </w:tr>
      <w:tr w:rsidR="002162FF" w:rsidRPr="00CD3086" w14:paraId="718F6548" w14:textId="77777777" w:rsidTr="0016799D">
        <w:trPr>
          <w:trHeight w:val="362"/>
        </w:trPr>
        <w:tc>
          <w:tcPr>
            <w:tcW w:w="2402" w:type="dxa"/>
            <w:tcBorders>
              <w:top w:val="nil"/>
              <w:left w:val="nil"/>
              <w:right w:val="nil"/>
            </w:tcBorders>
          </w:tcPr>
          <w:p w14:paraId="1665614D" w14:textId="77777777" w:rsidR="002162FF" w:rsidRPr="00CD3086" w:rsidRDefault="002162FF" w:rsidP="0016799D">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4A529127" w14:textId="4712A6DE"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,005</w:t>
            </w:r>
          </w:p>
        </w:tc>
        <w:tc>
          <w:tcPr>
            <w:tcW w:w="2119" w:type="dxa"/>
            <w:tcBorders>
              <w:top w:val="nil"/>
              <w:left w:val="nil"/>
              <w:right w:val="nil"/>
            </w:tcBorders>
          </w:tcPr>
          <w:p w14:paraId="5C975843" w14:textId="5B68B515"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,050</w:t>
            </w:r>
          </w:p>
        </w:tc>
        <w:tc>
          <w:tcPr>
            <w:tcW w:w="2401" w:type="dxa"/>
            <w:tcBorders>
              <w:top w:val="nil"/>
              <w:left w:val="nil"/>
              <w:right w:val="nil"/>
            </w:tcBorders>
          </w:tcPr>
          <w:p w14:paraId="3521ED0A" w14:textId="77777777" w:rsidR="002162FF" w:rsidRPr="00CD3086" w:rsidRDefault="002162FF" w:rsidP="0016799D">
            <w:pPr>
              <w:pStyle w:val="ListParagraph"/>
              <w:spacing w:line="360" w:lineRule="auto"/>
              <w:ind w:left="0"/>
              <w:jc w:val="center"/>
              <w:rPr>
                <w:rFonts w:ascii="Calibri" w:hAnsi="Calibri"/>
                <w:sz w:val="20"/>
                <w:szCs w:val="20"/>
              </w:rPr>
            </w:pPr>
            <w:r w:rsidRPr="00CD3086">
              <w:rPr>
                <w:rFonts w:ascii="Calibri" w:hAnsi="Calibri"/>
                <w:sz w:val="20"/>
                <w:szCs w:val="20"/>
              </w:rPr>
              <w:t>,000</w:t>
            </w:r>
          </w:p>
        </w:tc>
      </w:tr>
    </w:tbl>
    <w:p w14:paraId="27607387" w14:textId="1C5FC358" w:rsidR="002162FF" w:rsidRPr="00CD3086" w:rsidRDefault="002162FF" w:rsidP="00EB3439">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11"/>
    <w:p w14:paraId="664117AC" w14:textId="77777777" w:rsidR="002C2746" w:rsidRPr="00AB0F44" w:rsidRDefault="009D39C9" w:rsidP="00667035">
      <w:pPr>
        <w:spacing w:after="0"/>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value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shown</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0.005 &lt; 0.05,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0.000 &lt;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2023.</w:t>
      </w:r>
    </w:p>
    <w:p w14:paraId="2409E3ED" w14:textId="50F0ED43" w:rsidR="009D39C9" w:rsidRPr="00AB0F44" w:rsidRDefault="009D39C9" w:rsidP="00667035">
      <w:pPr>
        <w:spacing w:after="0"/>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obtained</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namely</w:t>
      </w:r>
      <w:proofErr w:type="spellEnd"/>
      <w:r w:rsidRPr="00AB0F44">
        <w:rPr>
          <w:rFonts w:asciiTheme="minorHAnsi" w:eastAsia="Times New Roman" w:hAnsiTheme="minorHAnsi" w:cstheme="minorHAnsi"/>
          <w:lang w:val="id-ID" w:eastAsia="id-ID"/>
        </w:rPr>
        <w:t xml:space="preserve"> 45.09,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namely</w:t>
      </w:r>
      <w:proofErr w:type="spellEnd"/>
      <w:r w:rsidRPr="00AB0F44">
        <w:rPr>
          <w:rFonts w:asciiTheme="minorHAnsi" w:eastAsia="Times New Roman" w:hAnsiTheme="minorHAnsi" w:cstheme="minorHAnsi"/>
          <w:lang w:val="id-ID" w:eastAsia="id-ID"/>
        </w:rPr>
        <w:t xml:space="preserve"> 61.85,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greater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research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sample</w:t>
      </w:r>
      <w:proofErr w:type="spellEnd"/>
      <w:r w:rsidRPr="00AB0F44">
        <w:rPr>
          <w:rFonts w:asciiTheme="minorHAnsi" w:eastAsia="Times New Roman" w:hAnsiTheme="minorHAnsi" w:cstheme="minorHAnsi"/>
          <w:lang w:val="id-ID" w:eastAsia="id-ID"/>
        </w:rPr>
        <w:t xml:space="preserve">. 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obtained</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first-year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namely</w:t>
      </w:r>
      <w:proofErr w:type="spellEnd"/>
      <w:r w:rsidRPr="00AB0F44">
        <w:rPr>
          <w:rFonts w:asciiTheme="minorHAnsi" w:eastAsia="Times New Roman" w:hAnsiTheme="minorHAnsi" w:cstheme="minorHAnsi"/>
          <w:lang w:val="id-ID" w:eastAsia="id-ID"/>
        </w:rPr>
        <w:t xml:space="preserve"> 47.34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fourth-year</w:t>
      </w:r>
      <w:proofErr w:type="spellEnd"/>
      <w:r w:rsidRPr="00AB0F44">
        <w:rPr>
          <w:rFonts w:asciiTheme="minorHAnsi" w:eastAsia="Times New Roman" w:hAnsiTheme="minorHAnsi" w:cstheme="minorHAnsi"/>
          <w:lang w:val="id-ID" w:eastAsia="id-ID"/>
        </w:rPr>
        <w:t xml:space="preserve"> 59.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fourth-year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first-year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Furthermore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34.75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namely</w:t>
      </w:r>
      <w:proofErr w:type="spellEnd"/>
      <w:r w:rsidRPr="00AB0F44">
        <w:rPr>
          <w:rFonts w:asciiTheme="minorHAnsi" w:eastAsia="Times New Roman" w:hAnsiTheme="minorHAnsi" w:cstheme="minorHAnsi"/>
          <w:lang w:val="id-ID" w:eastAsia="id-ID"/>
        </w:rPr>
        <w:t xml:space="preserve"> 74.88.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2020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w:t>
      </w:r>
    </w:p>
    <w:p w14:paraId="7B8356ED" w14:textId="3A94EC51" w:rsidR="003F1EDD" w:rsidRPr="00CD3086" w:rsidRDefault="00F0252C" w:rsidP="00AB0F44">
      <w:pPr>
        <w:spacing w:after="0"/>
        <w:jc w:val="center"/>
        <w:rPr>
          <w:sz w:val="20"/>
          <w:szCs w:val="20"/>
        </w:rPr>
      </w:pPr>
      <w:bookmarkStart w:id="12" w:name="_Hlk162865850"/>
      <w:r w:rsidRPr="00CD3086">
        <w:rPr>
          <w:b/>
          <w:bCs/>
          <w:sz w:val="20"/>
          <w:szCs w:val="20"/>
        </w:rPr>
        <w:t>Table 9.</w:t>
      </w:r>
      <w:r w:rsidRPr="00CD3086">
        <w:rPr>
          <w:sz w:val="20"/>
          <w:szCs w:val="20"/>
        </w:rPr>
        <w:t xml:space="preserve"> Differences between the class of 2021 and the class of 2022</w:t>
      </w:r>
    </w:p>
    <w:tbl>
      <w:tblPr>
        <w:tblStyle w:val="TableGrid"/>
        <w:tblW w:w="9040" w:type="dxa"/>
        <w:tblInd w:w="-5" w:type="dxa"/>
        <w:tblLook w:val="04A0" w:firstRow="1" w:lastRow="0" w:firstColumn="1" w:lastColumn="0" w:noHBand="0" w:noVBand="1"/>
      </w:tblPr>
      <w:tblGrid>
        <w:gridCol w:w="2402"/>
        <w:gridCol w:w="2118"/>
        <w:gridCol w:w="2119"/>
        <w:gridCol w:w="2401"/>
      </w:tblGrid>
      <w:tr w:rsidR="003F1EDD" w:rsidRPr="00CD3086" w14:paraId="77609BC0" w14:textId="77777777" w:rsidTr="00AB0F44">
        <w:trPr>
          <w:trHeight w:val="806"/>
        </w:trPr>
        <w:tc>
          <w:tcPr>
            <w:tcW w:w="2402" w:type="dxa"/>
            <w:tcBorders>
              <w:left w:val="nil"/>
              <w:bottom w:val="single" w:sz="4" w:space="0" w:color="auto"/>
              <w:right w:val="nil"/>
            </w:tcBorders>
            <w:vAlign w:val="center"/>
          </w:tcPr>
          <w:p w14:paraId="0D86417D" w14:textId="53595FB6" w:rsidR="003F1EDD" w:rsidRPr="00CD3086" w:rsidRDefault="002162FF"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728B10AE" w14:textId="77777777" w:rsidR="003F1EDD" w:rsidRPr="00CD3086" w:rsidRDefault="003F1EDD"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5C0BCCDC" w14:textId="77777777" w:rsidR="003F1EDD" w:rsidRPr="00CD3086" w:rsidRDefault="003F1EDD"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4BBEF242" w14:textId="77777777" w:rsidR="003F1EDD" w:rsidRPr="00CD3086" w:rsidRDefault="003F1EDD"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3F1EDD" w:rsidRPr="00CD3086" w14:paraId="791F09C1" w14:textId="77777777" w:rsidTr="001C5C00">
        <w:trPr>
          <w:trHeight w:val="608"/>
        </w:trPr>
        <w:tc>
          <w:tcPr>
            <w:tcW w:w="2402" w:type="dxa"/>
            <w:tcBorders>
              <w:left w:val="nil"/>
              <w:bottom w:val="nil"/>
              <w:right w:val="nil"/>
            </w:tcBorders>
          </w:tcPr>
          <w:p w14:paraId="5044036B" w14:textId="77777777"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5C4404A6" w14:textId="440A033C"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1082</w:t>
            </w:r>
            <w:r w:rsidR="003F1EDD" w:rsidRPr="00CD3086">
              <w:rPr>
                <w:rFonts w:ascii="Calibri" w:hAnsi="Calibri"/>
                <w:sz w:val="20"/>
                <w:szCs w:val="20"/>
              </w:rPr>
              <w:t>,</w:t>
            </w:r>
            <w:r w:rsidRPr="00CD3086">
              <w:rPr>
                <w:rFonts w:ascii="Calibri" w:hAnsi="Calibri"/>
                <w:sz w:val="20"/>
                <w:szCs w:val="20"/>
              </w:rPr>
              <w:t>0</w:t>
            </w:r>
            <w:r w:rsidR="003F1EDD" w:rsidRPr="00CD3086">
              <w:rPr>
                <w:rFonts w:ascii="Calibri" w:hAnsi="Calibri"/>
                <w:sz w:val="20"/>
                <w:szCs w:val="20"/>
              </w:rPr>
              <w:t>00</w:t>
            </w:r>
          </w:p>
        </w:tc>
        <w:tc>
          <w:tcPr>
            <w:tcW w:w="2119" w:type="dxa"/>
            <w:tcBorders>
              <w:left w:val="nil"/>
              <w:bottom w:val="nil"/>
              <w:right w:val="nil"/>
            </w:tcBorders>
          </w:tcPr>
          <w:p w14:paraId="387339E9" w14:textId="02CC88E3"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1027</w:t>
            </w:r>
            <w:r w:rsidR="003F1EDD" w:rsidRPr="00CD3086">
              <w:rPr>
                <w:rFonts w:ascii="Calibri" w:hAnsi="Calibri"/>
                <w:sz w:val="20"/>
                <w:szCs w:val="20"/>
              </w:rPr>
              <w:t>,</w:t>
            </w:r>
            <w:r w:rsidRPr="00CD3086">
              <w:rPr>
                <w:rFonts w:ascii="Calibri" w:hAnsi="Calibri"/>
                <w:sz w:val="20"/>
                <w:szCs w:val="20"/>
              </w:rPr>
              <w:t>0</w:t>
            </w:r>
            <w:r w:rsidR="003F1EDD" w:rsidRPr="00CD3086">
              <w:rPr>
                <w:rFonts w:ascii="Calibri" w:hAnsi="Calibri"/>
                <w:sz w:val="20"/>
                <w:szCs w:val="20"/>
              </w:rPr>
              <w:t>00</w:t>
            </w:r>
          </w:p>
        </w:tc>
        <w:tc>
          <w:tcPr>
            <w:tcW w:w="2401" w:type="dxa"/>
            <w:tcBorders>
              <w:left w:val="nil"/>
              <w:bottom w:val="nil"/>
              <w:right w:val="nil"/>
            </w:tcBorders>
          </w:tcPr>
          <w:p w14:paraId="37815ECF" w14:textId="2C0460A4"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738</w:t>
            </w:r>
            <w:r w:rsidR="003F1EDD" w:rsidRPr="00CD3086">
              <w:rPr>
                <w:rFonts w:ascii="Calibri" w:hAnsi="Calibri"/>
                <w:sz w:val="20"/>
                <w:szCs w:val="20"/>
              </w:rPr>
              <w:t>,000</w:t>
            </w:r>
          </w:p>
        </w:tc>
      </w:tr>
      <w:tr w:rsidR="003F1EDD" w:rsidRPr="00CD3086" w14:paraId="1209BE93" w14:textId="77777777" w:rsidTr="001C5C00">
        <w:trPr>
          <w:trHeight w:val="608"/>
        </w:trPr>
        <w:tc>
          <w:tcPr>
            <w:tcW w:w="2402" w:type="dxa"/>
            <w:tcBorders>
              <w:top w:val="nil"/>
              <w:left w:val="nil"/>
              <w:bottom w:val="nil"/>
              <w:right w:val="nil"/>
            </w:tcBorders>
          </w:tcPr>
          <w:p w14:paraId="36C63A28" w14:textId="77777777"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6DB1F2E9" w14:textId="4D17044C"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1985</w:t>
            </w:r>
            <w:r w:rsidR="003F1EDD" w:rsidRPr="00CD3086">
              <w:rPr>
                <w:rFonts w:ascii="Calibri" w:hAnsi="Calibri"/>
                <w:sz w:val="20"/>
                <w:szCs w:val="20"/>
              </w:rPr>
              <w:t>,</w:t>
            </w:r>
            <w:r w:rsidRPr="00CD3086">
              <w:rPr>
                <w:rFonts w:ascii="Calibri" w:hAnsi="Calibri"/>
                <w:sz w:val="20"/>
                <w:szCs w:val="20"/>
              </w:rPr>
              <w:t>0</w:t>
            </w:r>
            <w:r w:rsidR="003F1EDD" w:rsidRPr="00CD3086">
              <w:rPr>
                <w:rFonts w:ascii="Calibri" w:hAnsi="Calibri"/>
                <w:sz w:val="20"/>
                <w:szCs w:val="20"/>
              </w:rPr>
              <w:t>00</w:t>
            </w:r>
          </w:p>
        </w:tc>
        <w:tc>
          <w:tcPr>
            <w:tcW w:w="2119" w:type="dxa"/>
            <w:tcBorders>
              <w:top w:val="nil"/>
              <w:left w:val="nil"/>
              <w:bottom w:val="nil"/>
              <w:right w:val="nil"/>
            </w:tcBorders>
          </w:tcPr>
          <w:p w14:paraId="5EC0C170" w14:textId="02A39FA7"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1930</w:t>
            </w:r>
            <w:r w:rsidR="003F1EDD" w:rsidRPr="00CD3086">
              <w:rPr>
                <w:rFonts w:ascii="Calibri" w:hAnsi="Calibri"/>
                <w:sz w:val="20"/>
                <w:szCs w:val="20"/>
              </w:rPr>
              <w:t>,</w:t>
            </w:r>
            <w:r w:rsidRPr="00CD3086">
              <w:rPr>
                <w:rFonts w:ascii="Calibri" w:hAnsi="Calibri"/>
                <w:sz w:val="20"/>
                <w:szCs w:val="20"/>
              </w:rPr>
              <w:t>0</w:t>
            </w:r>
            <w:r w:rsidR="003F1EDD" w:rsidRPr="00CD3086">
              <w:rPr>
                <w:rFonts w:ascii="Calibri" w:hAnsi="Calibri"/>
                <w:sz w:val="20"/>
                <w:szCs w:val="20"/>
              </w:rPr>
              <w:t>00</w:t>
            </w:r>
          </w:p>
        </w:tc>
        <w:tc>
          <w:tcPr>
            <w:tcW w:w="2401" w:type="dxa"/>
            <w:tcBorders>
              <w:top w:val="nil"/>
              <w:left w:val="nil"/>
              <w:bottom w:val="nil"/>
              <w:right w:val="nil"/>
            </w:tcBorders>
          </w:tcPr>
          <w:p w14:paraId="23C9DC00" w14:textId="2073B09C" w:rsidR="003F1EDD"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2116</w:t>
            </w:r>
            <w:r w:rsidR="003F1EDD" w:rsidRPr="00CD3086">
              <w:rPr>
                <w:rFonts w:ascii="Calibri" w:hAnsi="Calibri"/>
                <w:sz w:val="20"/>
                <w:szCs w:val="20"/>
              </w:rPr>
              <w:t>,000</w:t>
            </w:r>
          </w:p>
        </w:tc>
      </w:tr>
      <w:tr w:rsidR="003F1EDD" w:rsidRPr="00CD3086" w14:paraId="5E14A71F" w14:textId="77777777" w:rsidTr="001C5C00">
        <w:trPr>
          <w:trHeight w:val="619"/>
        </w:trPr>
        <w:tc>
          <w:tcPr>
            <w:tcW w:w="2402" w:type="dxa"/>
            <w:tcBorders>
              <w:top w:val="nil"/>
              <w:left w:val="nil"/>
              <w:bottom w:val="nil"/>
              <w:right w:val="nil"/>
            </w:tcBorders>
          </w:tcPr>
          <w:p w14:paraId="1AE0C753" w14:textId="77777777"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3C4B7E4A" w14:textId="5B12216E"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F912A3" w:rsidRPr="00CD3086">
              <w:rPr>
                <w:rFonts w:ascii="Calibri" w:hAnsi="Calibri"/>
                <w:sz w:val="20"/>
                <w:szCs w:val="20"/>
              </w:rPr>
              <w:t>,076</w:t>
            </w:r>
          </w:p>
        </w:tc>
        <w:tc>
          <w:tcPr>
            <w:tcW w:w="2119" w:type="dxa"/>
            <w:tcBorders>
              <w:top w:val="nil"/>
              <w:left w:val="nil"/>
              <w:bottom w:val="nil"/>
              <w:right w:val="nil"/>
            </w:tcBorders>
          </w:tcPr>
          <w:p w14:paraId="3738AD22" w14:textId="17D90E60"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F912A3" w:rsidRPr="00CD3086">
              <w:rPr>
                <w:rFonts w:ascii="Calibri" w:hAnsi="Calibri"/>
                <w:sz w:val="20"/>
                <w:szCs w:val="20"/>
              </w:rPr>
              <w:t>,495</w:t>
            </w:r>
          </w:p>
        </w:tc>
        <w:tc>
          <w:tcPr>
            <w:tcW w:w="2401" w:type="dxa"/>
            <w:tcBorders>
              <w:top w:val="nil"/>
              <w:left w:val="nil"/>
              <w:bottom w:val="nil"/>
              <w:right w:val="nil"/>
            </w:tcBorders>
          </w:tcPr>
          <w:p w14:paraId="1456B970" w14:textId="5C4BB207"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F912A3" w:rsidRPr="00CD3086">
              <w:rPr>
                <w:rFonts w:ascii="Calibri" w:hAnsi="Calibri"/>
                <w:sz w:val="20"/>
                <w:szCs w:val="20"/>
              </w:rPr>
              <w:t>2,695</w:t>
            </w:r>
          </w:p>
        </w:tc>
      </w:tr>
      <w:tr w:rsidR="003F1EDD" w:rsidRPr="00CD3086" w14:paraId="57A3CB6C" w14:textId="77777777" w:rsidTr="001C5C00">
        <w:trPr>
          <w:trHeight w:val="362"/>
        </w:trPr>
        <w:tc>
          <w:tcPr>
            <w:tcW w:w="2402" w:type="dxa"/>
            <w:tcBorders>
              <w:top w:val="nil"/>
              <w:left w:val="nil"/>
              <w:right w:val="nil"/>
            </w:tcBorders>
          </w:tcPr>
          <w:p w14:paraId="595C3B42" w14:textId="77777777" w:rsidR="003F1EDD" w:rsidRPr="00CD3086" w:rsidRDefault="003F1EDD" w:rsidP="001C5C00">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425A3B80" w14:textId="08320C60"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F912A3" w:rsidRPr="00CD3086">
              <w:rPr>
                <w:rFonts w:ascii="Calibri" w:hAnsi="Calibri"/>
                <w:sz w:val="20"/>
                <w:szCs w:val="20"/>
              </w:rPr>
              <w:t>939</w:t>
            </w:r>
          </w:p>
        </w:tc>
        <w:tc>
          <w:tcPr>
            <w:tcW w:w="2119" w:type="dxa"/>
            <w:tcBorders>
              <w:top w:val="nil"/>
              <w:left w:val="nil"/>
              <w:right w:val="nil"/>
            </w:tcBorders>
          </w:tcPr>
          <w:p w14:paraId="1AA98641" w14:textId="105B6BE0"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F912A3" w:rsidRPr="00CD3086">
              <w:rPr>
                <w:rFonts w:ascii="Calibri" w:hAnsi="Calibri"/>
                <w:sz w:val="20"/>
                <w:szCs w:val="20"/>
              </w:rPr>
              <w:t>621</w:t>
            </w:r>
          </w:p>
        </w:tc>
        <w:tc>
          <w:tcPr>
            <w:tcW w:w="2401" w:type="dxa"/>
            <w:tcBorders>
              <w:top w:val="nil"/>
              <w:left w:val="nil"/>
              <w:right w:val="nil"/>
            </w:tcBorders>
          </w:tcPr>
          <w:p w14:paraId="74901C8A" w14:textId="04D7287E" w:rsidR="003F1EDD" w:rsidRPr="00CD3086" w:rsidRDefault="003F1EDD" w:rsidP="001C5C00">
            <w:pPr>
              <w:pStyle w:val="ListParagraph"/>
              <w:spacing w:line="360" w:lineRule="auto"/>
              <w:ind w:left="0"/>
              <w:jc w:val="center"/>
              <w:rPr>
                <w:rFonts w:ascii="Calibri" w:hAnsi="Calibri"/>
                <w:sz w:val="20"/>
                <w:szCs w:val="20"/>
              </w:rPr>
            </w:pPr>
            <w:r w:rsidRPr="00CD3086">
              <w:rPr>
                <w:rFonts w:ascii="Calibri" w:hAnsi="Calibri"/>
                <w:sz w:val="20"/>
                <w:szCs w:val="20"/>
              </w:rPr>
              <w:t>,00</w:t>
            </w:r>
            <w:r w:rsidR="00F912A3" w:rsidRPr="00CD3086">
              <w:rPr>
                <w:rFonts w:ascii="Calibri" w:hAnsi="Calibri"/>
                <w:sz w:val="20"/>
                <w:szCs w:val="20"/>
              </w:rPr>
              <w:t>7</w:t>
            </w:r>
          </w:p>
        </w:tc>
      </w:tr>
    </w:tbl>
    <w:p w14:paraId="4914BC8D" w14:textId="578FDF2E" w:rsidR="00840356" w:rsidRPr="00840356" w:rsidRDefault="00840356" w:rsidP="00840356">
      <w:pPr>
        <w:pStyle w:val="ListParagraph"/>
        <w:ind w:left="5670" w:firstLine="284"/>
        <w:jc w:val="both"/>
        <w:rPr>
          <w:rFonts w:ascii="Arno Pro" w:hAnsi="Arno Pro" w:cstheme="majorBidi"/>
        </w:rPr>
      </w:pPr>
      <w:r w:rsidRPr="00AC3CB2">
        <w:rPr>
          <w:rFonts w:ascii="Candara" w:eastAsia="SimSun" w:hAnsi="Candara" w:cs="Times New Roman"/>
          <w:i/>
          <w:iCs/>
          <w:sz w:val="20"/>
          <w:szCs w:val="20"/>
          <w:lang w:val="en-US" w:eastAsia="zh-CN"/>
        </w:rPr>
        <w:t xml:space="preserve">Source: </w:t>
      </w:r>
      <w:r>
        <w:rPr>
          <w:rFonts w:ascii="Candara" w:eastAsia="SimSun" w:hAnsi="Candara" w:cs="Times New Roman"/>
          <w:i/>
          <w:iCs/>
          <w:sz w:val="20"/>
          <w:szCs w:val="20"/>
          <w:lang w:val="en-US" w:eastAsia="zh-CN"/>
        </w:rPr>
        <w:t>SPSS Version 26 Calculations</w:t>
      </w:r>
    </w:p>
    <w:bookmarkEnd w:id="12"/>
    <w:p w14:paraId="43B5307F" w14:textId="77777777" w:rsidR="00596B42" w:rsidRPr="00AB0F44" w:rsidRDefault="00596B42" w:rsidP="00935AEB">
      <w:pPr>
        <w:spacing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value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shown</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tablefor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0.939 &gt;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0.621 &gt;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w:t>
      </w:r>
      <w:r w:rsidRPr="00AB0F44">
        <w:rPr>
          <w:rFonts w:asciiTheme="minorHAnsi" w:eastAsia="Times New Roman" w:hAnsiTheme="minorHAnsi" w:cstheme="minorHAnsi"/>
          <w:lang w:val="id-ID" w:eastAsia="id-ID"/>
        </w:rPr>
        <w:lastRenderedPageBreak/>
        <w:t>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2022. The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cumulative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0.007 &lt;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2022.</w:t>
      </w:r>
    </w:p>
    <w:p w14:paraId="57D896DF" w14:textId="2ECE57CA" w:rsidR="00596B42" w:rsidRPr="00AB0F44" w:rsidRDefault="00596B42" w:rsidP="00935AEB">
      <w:pPr>
        <w:spacing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second-year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40.69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55.93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second-year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Dewi's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research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results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support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second-year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experience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levels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perceived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academic</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stress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r w:rsidRPr="00AB0F44">
        <w:rPr>
          <w:rFonts w:asciiTheme="minorHAnsi" w:hAnsiTheme="minorHAnsi" w:cstheme="minorHAnsi"/>
          <w:color w:val="00B0F0"/>
          <w:lang w:val="id-ID"/>
        </w:rPr>
        <w:fldChar w:fldCharType="begin" w:fldLock="1"/>
      </w:r>
      <w:r w:rsidRPr="00AB0F44">
        <w:rPr>
          <w:rFonts w:asciiTheme="minorHAnsi" w:hAnsiTheme="minorHAnsi" w:cstheme="minorHAnsi"/>
          <w:color w:val="00B0F0"/>
          <w:lang w:val="id-ID"/>
        </w:rPr>
        <w:instrText>ADDIN CSL_CITATION {"citationItems":[{"id":"ITEM-1","itemData":{"author":[{"dropping-particle":"","family":"Safitri","given":"Riszi Irma","non-dropping-particle":"","parse-names":false,"suffix":""},{"dropping-particle":"","family":"Dewi","given":"Damajanti Kusuma","non-dropping-particle":"","parse-names":false,"suffix":""}],"container-title":"Character: Jurnal Penelitian Psikologi","id":"ITEM-1","issue":"2","issued":{"date-parts":[["2020"]]},"page":"32-42","title":"Perbedaan Perceived Academic Stress ditinjau dari Tahun Angkatan pada Mahasiswa Fakultas X","type":"article-journal","volume":"7"},"locator":"37","uris":["http://www.mendeley.com/documents/?uuid=8f825096-bc0a-4679-b33f-e7cc097fd99d"]}],"mendeley":{"formattedCitation":"(Safitri &amp; Dewi, 2020, p. 37)","plainTextFormattedCitation":"(Safitri &amp; Dewi, 2020, p. 37)","previouslyFormattedCitation":"(Safitri &amp; Dewi, 2020, p. 37)"},"properties":{"noteIndex":0},"schema":"https://github.com/citation-style-language/schema/raw/master/csl-citation.json"}</w:instrText>
      </w:r>
      <w:r w:rsidRPr="00AB0F44">
        <w:rPr>
          <w:rFonts w:asciiTheme="minorHAnsi" w:hAnsiTheme="minorHAnsi" w:cstheme="minorHAnsi"/>
          <w:color w:val="00B0F0"/>
          <w:lang w:val="id-ID"/>
        </w:rPr>
        <w:fldChar w:fldCharType="separate"/>
      </w:r>
      <w:r w:rsidRPr="00AB0F44">
        <w:rPr>
          <w:rFonts w:asciiTheme="minorHAnsi" w:hAnsiTheme="minorHAnsi" w:cstheme="minorHAnsi"/>
          <w:noProof/>
          <w:color w:val="00B0F0"/>
          <w:lang w:val="id-ID"/>
        </w:rPr>
        <w:t>(Safitri &amp; Dewi, 2020, p. 37)</w:t>
      </w:r>
      <w:r w:rsidRPr="00AB0F44">
        <w:rPr>
          <w:rFonts w:asciiTheme="minorHAnsi" w:hAnsiTheme="minorHAnsi" w:cstheme="minorHAnsi"/>
          <w:color w:val="00B0F0"/>
          <w:lang w:val="id-ID"/>
        </w:rPr>
        <w:fldChar w:fldCharType="end"/>
      </w:r>
      <w:r w:rsidRPr="00AB0F44">
        <w:rPr>
          <w:rFonts w:asciiTheme="minorHAnsi" w:hAnsiTheme="minorHAnsi" w:cstheme="minorHAnsi"/>
          <w:lang w:val="id-ID"/>
        </w:rPr>
        <w:t xml:space="preserve">. </w:t>
      </w:r>
      <w:proofErr w:type="spellStart"/>
      <w:r w:rsidRPr="00AB0F44">
        <w:rPr>
          <w:rFonts w:asciiTheme="minorHAnsi" w:eastAsia="Times New Roman" w:hAnsiTheme="minorHAnsi" w:cstheme="minorHAnsi"/>
          <w:lang w:val="id-ID" w:eastAsia="id-ID"/>
        </w:rPr>
        <w:t>Academic</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stress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related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indeks </w:t>
      </w:r>
      <w:r w:rsidRPr="00AB0F44">
        <w:rPr>
          <w:rFonts w:asciiTheme="minorHAnsi" w:hAnsiTheme="minorHAnsi" w:cstheme="minorHAnsi"/>
          <w:color w:val="00B0F0"/>
          <w:lang w:val="id-ID"/>
        </w:rPr>
        <w:fldChar w:fldCharType="begin" w:fldLock="1"/>
      </w:r>
      <w:r w:rsidRPr="00AB0F44">
        <w:rPr>
          <w:rFonts w:asciiTheme="minorHAnsi" w:hAnsiTheme="minorHAnsi" w:cstheme="minorHAnsi"/>
          <w:color w:val="00B0F0"/>
          <w:lang w:val="id-ID"/>
        </w:rPr>
        <w:instrText>ADDIN CSL_CITATION {"citationItems":[{"id":"ITEM-1","itemData":{"author":[{"dropping-particle":"","family":"Mentari","given":"Dita Oktaviana","non-dropping-particle":"","parse-names":false,"suffix":""}],"id":"ITEM-1","issued":{"date-parts":[["2018"]]},"publisher":"Skripsi, Universitas Jember","title":"Hubungan Stres Akademik dengan Indeks Prestasi Mahasiswa Tahun Pertama di Fakultas Keperawatan Universitas Jember","type":"thesis"},"locator":"80","uris":["http://www.mendeley.com/documents/?uuid=53b4d6cd-33f2-4584-abbb-1cfac00487aa"]}],"mendeley":{"formattedCitation":"(Mentari, 2018, p. 80)","plainTextFormattedCitation":"(Mentari, 2018, p. 80)","previouslyFormattedCitation":"(Mentari, 2018, p. 80)"},"properties":{"noteIndex":0},"schema":"https://github.com/citation-style-language/schema/raw/master/csl-citation.json"}</w:instrText>
      </w:r>
      <w:r w:rsidRPr="00AB0F44">
        <w:rPr>
          <w:rFonts w:asciiTheme="minorHAnsi" w:hAnsiTheme="minorHAnsi" w:cstheme="minorHAnsi"/>
          <w:color w:val="00B0F0"/>
          <w:lang w:val="id-ID"/>
        </w:rPr>
        <w:fldChar w:fldCharType="separate"/>
      </w:r>
      <w:r w:rsidRPr="00AB0F44">
        <w:rPr>
          <w:rFonts w:asciiTheme="minorHAnsi" w:hAnsiTheme="minorHAnsi" w:cstheme="minorHAnsi"/>
          <w:noProof/>
          <w:color w:val="00B0F0"/>
          <w:lang w:val="id-ID"/>
        </w:rPr>
        <w:t>(Mentari, 2018, p. 80)</w:t>
      </w:r>
      <w:r w:rsidRPr="00AB0F44">
        <w:rPr>
          <w:rFonts w:asciiTheme="minorHAnsi" w:hAnsiTheme="minorHAnsi" w:cstheme="minorHAnsi"/>
          <w:color w:val="00B0F0"/>
          <w:lang w:val="id-ID"/>
        </w:rPr>
        <w:fldChar w:fldCharType="end"/>
      </w:r>
      <w:r w:rsidRPr="00AB0F44">
        <w:rPr>
          <w:rFonts w:asciiTheme="minorHAnsi" w:hAnsiTheme="minorHAnsi" w:cstheme="minorHAnsi"/>
          <w:lang w:val="id-ID"/>
        </w:rPr>
        <w:t>.</w:t>
      </w:r>
      <w:r w:rsidRPr="00AB0F44">
        <w:rPr>
          <w:rFonts w:asciiTheme="minorHAnsi" w:eastAsia="Times New Roman" w:hAnsiTheme="minorHAnsi" w:cstheme="minorHAnsi"/>
          <w:lang w:val="id-ID" w:eastAsia="id-ID"/>
        </w:rPr>
        <w:t xml:space="preserve"> </w:t>
      </w:r>
      <w:r w:rsidR="00667035">
        <w:rPr>
          <w:rFonts w:asciiTheme="minorHAnsi" w:eastAsia="Times New Roman" w:hAnsiTheme="minorHAnsi" w:cstheme="minorHAnsi"/>
          <w:lang w:val="en-US" w:eastAsia="id-ID"/>
        </w:rPr>
        <w:t>T</w:t>
      </w:r>
      <w:proofErr w:type="spellStart"/>
      <w:r w:rsidRPr="00AB0F44">
        <w:rPr>
          <w:rFonts w:asciiTheme="minorHAnsi" w:eastAsia="Times New Roman" w:hAnsiTheme="minorHAnsi" w:cstheme="minorHAnsi"/>
          <w:lang w:val="id-ID" w:eastAsia="id-ID"/>
        </w:rPr>
        <w: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have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better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social</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relationships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previous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year</w:t>
      </w:r>
      <w:proofErr w:type="spellEnd"/>
      <w:r w:rsidRPr="00AB0F44">
        <w:rPr>
          <w:rFonts w:asciiTheme="minorHAnsi" w:hAnsiTheme="minorHAnsi" w:cstheme="minorHAnsi"/>
          <w:lang w:val="id-ID"/>
        </w:rPr>
        <w:t>.</w:t>
      </w:r>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Jain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level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adjustment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third-year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second-year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r w:rsidRPr="00AB0F44">
        <w:rPr>
          <w:rFonts w:asciiTheme="minorHAnsi" w:hAnsiTheme="minorHAnsi" w:cstheme="minorHAnsi"/>
          <w:color w:val="00B0F0"/>
          <w:lang w:val="id-ID"/>
        </w:rPr>
        <w:fldChar w:fldCharType="begin" w:fldLock="1"/>
      </w:r>
      <w:r w:rsidRPr="00AB0F44">
        <w:rPr>
          <w:rFonts w:asciiTheme="minorHAnsi" w:hAnsiTheme="minorHAnsi" w:cstheme="minorHAnsi"/>
          <w:color w:val="00B0F0"/>
          <w:lang w:val="id-ID"/>
        </w:rPr>
        <w:instrText>ADDIN CSL_CITATION {"citationItems":[{"id":"ITEM-1","itemData":{"author":[{"dropping-particle":"","family":"Jain","given":"Paris","non-dropping-particle":"","parse-names":false,"suffix":""}],"container-title":"International Journal of Advances in Scientific Research and Engineering","id":"ITEM-1","issue":"5","issued":{"date-parts":[["2017"]]},"page":"10-12","title":"Adjustment among College Students","type":"article-journal","volume":"3"},"locator":"12","uris":["http://www.mendeley.com/documents/?uuid=c310081a-bce9-40bf-8c4f-e3c1b8d5a43b"]}],"mendeley":{"formattedCitation":"(Jain, 2017, p. 12)","plainTextFormattedCitation":"(Jain, 2017, p. 12)","previouslyFormattedCitation":"(Jain, 2017, p. 12)"},"properties":{"noteIndex":0},"schema":"https://github.com/citation-style-language/schema/raw/master/csl-citation.json"}</w:instrText>
      </w:r>
      <w:r w:rsidRPr="00AB0F44">
        <w:rPr>
          <w:rFonts w:asciiTheme="minorHAnsi" w:hAnsiTheme="minorHAnsi" w:cstheme="minorHAnsi"/>
          <w:color w:val="00B0F0"/>
          <w:lang w:val="id-ID"/>
        </w:rPr>
        <w:fldChar w:fldCharType="separate"/>
      </w:r>
      <w:r w:rsidRPr="00AB0F44">
        <w:rPr>
          <w:rFonts w:asciiTheme="minorHAnsi" w:hAnsiTheme="minorHAnsi" w:cstheme="minorHAnsi"/>
          <w:noProof/>
          <w:color w:val="00B0F0"/>
          <w:lang w:val="id-ID"/>
        </w:rPr>
        <w:t>(Jain, 2017, p. 12)</w:t>
      </w:r>
      <w:r w:rsidRPr="00AB0F44">
        <w:rPr>
          <w:rFonts w:asciiTheme="minorHAnsi" w:hAnsiTheme="minorHAnsi" w:cstheme="minorHAnsi"/>
          <w:color w:val="00B0F0"/>
          <w:lang w:val="id-ID"/>
        </w:rPr>
        <w:fldChar w:fldCharType="end"/>
      </w:r>
      <w:r w:rsidRPr="00AB0F44">
        <w:rPr>
          <w:rFonts w:asciiTheme="minorHAnsi" w:hAnsiTheme="minorHAnsi" w:cstheme="minorHAnsi"/>
          <w:lang w:val="id-ID"/>
        </w:rPr>
        <w:t>.</w:t>
      </w:r>
      <w:r w:rsidRPr="00AB0F44">
        <w:rPr>
          <w:rFonts w:asciiTheme="minorHAnsi" w:eastAsia="Times New Roman" w:hAnsiTheme="minorHAnsi" w:cstheme="minorHAnsi"/>
          <w:lang w:val="id-ID" w:eastAsia="id-ID"/>
        </w:rPr>
        <w:t xml:space="preserve"> </w:t>
      </w:r>
    </w:p>
    <w:p w14:paraId="25BAE710" w14:textId="7C498249" w:rsidR="00F912A3" w:rsidRPr="00CD3086" w:rsidRDefault="00F0252C" w:rsidP="00935AEB">
      <w:pPr>
        <w:spacing w:before="120" w:after="0"/>
        <w:jc w:val="center"/>
        <w:rPr>
          <w:sz w:val="20"/>
          <w:szCs w:val="20"/>
        </w:rPr>
      </w:pPr>
      <w:bookmarkStart w:id="13" w:name="_Hlk162865882"/>
      <w:r w:rsidRPr="00CD3086">
        <w:rPr>
          <w:b/>
          <w:bCs/>
          <w:sz w:val="20"/>
          <w:szCs w:val="20"/>
        </w:rPr>
        <w:t>Table 10.</w:t>
      </w:r>
      <w:r w:rsidRPr="00CD3086">
        <w:rPr>
          <w:sz w:val="20"/>
          <w:szCs w:val="20"/>
        </w:rPr>
        <w:t xml:space="preserve"> Differences between the class of 2021 and the class of 2023</w:t>
      </w:r>
    </w:p>
    <w:tbl>
      <w:tblPr>
        <w:tblStyle w:val="TableGrid"/>
        <w:tblW w:w="9040" w:type="dxa"/>
        <w:tblInd w:w="-5" w:type="dxa"/>
        <w:tblLook w:val="04A0" w:firstRow="1" w:lastRow="0" w:firstColumn="1" w:lastColumn="0" w:noHBand="0" w:noVBand="1"/>
      </w:tblPr>
      <w:tblGrid>
        <w:gridCol w:w="2402"/>
        <w:gridCol w:w="2118"/>
        <w:gridCol w:w="2119"/>
        <w:gridCol w:w="2401"/>
      </w:tblGrid>
      <w:tr w:rsidR="00F912A3" w:rsidRPr="00CD3086" w14:paraId="64E3000E" w14:textId="77777777" w:rsidTr="00AB0F44">
        <w:trPr>
          <w:trHeight w:val="806"/>
        </w:trPr>
        <w:tc>
          <w:tcPr>
            <w:tcW w:w="2402" w:type="dxa"/>
            <w:tcBorders>
              <w:left w:val="nil"/>
              <w:bottom w:val="single" w:sz="4" w:space="0" w:color="auto"/>
              <w:right w:val="nil"/>
            </w:tcBorders>
            <w:vAlign w:val="center"/>
          </w:tcPr>
          <w:p w14:paraId="4F2AF155" w14:textId="7394D3EC" w:rsidR="00F912A3" w:rsidRPr="00CD3086" w:rsidRDefault="002162FF"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3D79303B" w14:textId="77777777" w:rsidR="00F912A3" w:rsidRPr="00CD3086" w:rsidRDefault="00F912A3"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6D3C25EA" w14:textId="77777777" w:rsidR="00F912A3" w:rsidRPr="00CD3086" w:rsidRDefault="00F912A3"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37878416" w14:textId="77777777" w:rsidR="00F912A3" w:rsidRPr="00CD3086" w:rsidRDefault="00F912A3"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F912A3" w:rsidRPr="00CD3086" w14:paraId="5338AD24" w14:textId="77777777" w:rsidTr="001C5C00">
        <w:trPr>
          <w:trHeight w:val="608"/>
        </w:trPr>
        <w:tc>
          <w:tcPr>
            <w:tcW w:w="2402" w:type="dxa"/>
            <w:tcBorders>
              <w:left w:val="nil"/>
              <w:bottom w:val="nil"/>
              <w:right w:val="nil"/>
            </w:tcBorders>
          </w:tcPr>
          <w:p w14:paraId="7385FE89" w14:textId="77777777"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7682CBB9" w14:textId="3BD7601D"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1084</w:t>
            </w:r>
            <w:r w:rsidR="00F912A3" w:rsidRPr="00CD3086">
              <w:rPr>
                <w:rFonts w:ascii="Calibri" w:hAnsi="Calibri"/>
                <w:sz w:val="20"/>
                <w:szCs w:val="20"/>
              </w:rPr>
              <w:t>,</w:t>
            </w:r>
            <w:r w:rsidRPr="00CD3086">
              <w:rPr>
                <w:rFonts w:ascii="Calibri" w:hAnsi="Calibri"/>
                <w:sz w:val="20"/>
                <w:szCs w:val="20"/>
              </w:rPr>
              <w:t>0</w:t>
            </w:r>
            <w:r w:rsidR="00F912A3" w:rsidRPr="00CD3086">
              <w:rPr>
                <w:rFonts w:ascii="Calibri" w:hAnsi="Calibri"/>
                <w:sz w:val="20"/>
                <w:szCs w:val="20"/>
              </w:rPr>
              <w:t>00</w:t>
            </w:r>
          </w:p>
        </w:tc>
        <w:tc>
          <w:tcPr>
            <w:tcW w:w="2119" w:type="dxa"/>
            <w:tcBorders>
              <w:left w:val="nil"/>
              <w:bottom w:val="nil"/>
              <w:right w:val="nil"/>
            </w:tcBorders>
          </w:tcPr>
          <w:p w14:paraId="12CE5F16" w14:textId="11AFC9A1"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1108</w:t>
            </w:r>
            <w:r w:rsidR="00F912A3" w:rsidRPr="00CD3086">
              <w:rPr>
                <w:rFonts w:ascii="Calibri" w:hAnsi="Calibri"/>
                <w:sz w:val="20"/>
                <w:szCs w:val="20"/>
              </w:rPr>
              <w:t>,</w:t>
            </w:r>
            <w:r w:rsidRPr="00CD3086">
              <w:rPr>
                <w:rFonts w:ascii="Calibri" w:hAnsi="Calibri"/>
                <w:sz w:val="20"/>
                <w:szCs w:val="20"/>
              </w:rPr>
              <w:t>0</w:t>
            </w:r>
            <w:r w:rsidR="00F912A3" w:rsidRPr="00CD3086">
              <w:rPr>
                <w:rFonts w:ascii="Calibri" w:hAnsi="Calibri"/>
                <w:sz w:val="20"/>
                <w:szCs w:val="20"/>
              </w:rPr>
              <w:t>00</w:t>
            </w:r>
          </w:p>
        </w:tc>
        <w:tc>
          <w:tcPr>
            <w:tcW w:w="2401" w:type="dxa"/>
            <w:tcBorders>
              <w:left w:val="nil"/>
              <w:bottom w:val="nil"/>
              <w:right w:val="nil"/>
            </w:tcBorders>
          </w:tcPr>
          <w:p w14:paraId="1222919B" w14:textId="1F1E5A78"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139</w:t>
            </w:r>
            <w:r w:rsidR="00F912A3" w:rsidRPr="00CD3086">
              <w:rPr>
                <w:rFonts w:ascii="Calibri" w:hAnsi="Calibri"/>
                <w:sz w:val="20"/>
                <w:szCs w:val="20"/>
              </w:rPr>
              <w:t>,000</w:t>
            </w:r>
          </w:p>
        </w:tc>
      </w:tr>
      <w:tr w:rsidR="00F912A3" w:rsidRPr="00CD3086" w14:paraId="01EAE52B" w14:textId="77777777" w:rsidTr="001C5C00">
        <w:trPr>
          <w:trHeight w:val="608"/>
        </w:trPr>
        <w:tc>
          <w:tcPr>
            <w:tcW w:w="2402" w:type="dxa"/>
            <w:tcBorders>
              <w:top w:val="nil"/>
              <w:left w:val="nil"/>
              <w:bottom w:val="nil"/>
              <w:right w:val="nil"/>
            </w:tcBorders>
          </w:tcPr>
          <w:p w14:paraId="40572302" w14:textId="77777777"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69E6D0E7" w14:textId="3DC8E959"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2795</w:t>
            </w:r>
            <w:r w:rsidR="00F912A3" w:rsidRPr="00CD3086">
              <w:rPr>
                <w:rFonts w:ascii="Calibri" w:hAnsi="Calibri"/>
                <w:sz w:val="20"/>
                <w:szCs w:val="20"/>
              </w:rPr>
              <w:t>,</w:t>
            </w:r>
            <w:r w:rsidRPr="00CD3086">
              <w:rPr>
                <w:rFonts w:ascii="Calibri" w:hAnsi="Calibri"/>
                <w:sz w:val="20"/>
                <w:szCs w:val="20"/>
              </w:rPr>
              <w:t>0</w:t>
            </w:r>
            <w:r w:rsidR="00F912A3" w:rsidRPr="00CD3086">
              <w:rPr>
                <w:rFonts w:ascii="Calibri" w:hAnsi="Calibri"/>
                <w:sz w:val="20"/>
                <w:szCs w:val="20"/>
              </w:rPr>
              <w:t>00</w:t>
            </w:r>
          </w:p>
        </w:tc>
        <w:tc>
          <w:tcPr>
            <w:tcW w:w="2119" w:type="dxa"/>
            <w:tcBorders>
              <w:top w:val="nil"/>
              <w:left w:val="nil"/>
              <w:bottom w:val="nil"/>
              <w:right w:val="nil"/>
            </w:tcBorders>
          </w:tcPr>
          <w:p w14:paraId="56E90B34" w14:textId="0277AA69"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2819</w:t>
            </w:r>
            <w:r w:rsidR="00F912A3" w:rsidRPr="00CD3086">
              <w:rPr>
                <w:rFonts w:ascii="Calibri" w:hAnsi="Calibri"/>
                <w:sz w:val="20"/>
                <w:szCs w:val="20"/>
              </w:rPr>
              <w:t>,</w:t>
            </w:r>
            <w:r w:rsidRPr="00CD3086">
              <w:rPr>
                <w:rFonts w:ascii="Calibri" w:hAnsi="Calibri"/>
                <w:sz w:val="20"/>
                <w:szCs w:val="20"/>
              </w:rPr>
              <w:t>0</w:t>
            </w:r>
            <w:r w:rsidR="00F912A3" w:rsidRPr="00CD3086">
              <w:rPr>
                <w:rFonts w:ascii="Calibri" w:hAnsi="Calibri"/>
                <w:sz w:val="20"/>
                <w:szCs w:val="20"/>
              </w:rPr>
              <w:t>00</w:t>
            </w:r>
          </w:p>
        </w:tc>
        <w:tc>
          <w:tcPr>
            <w:tcW w:w="2401" w:type="dxa"/>
            <w:tcBorders>
              <w:top w:val="nil"/>
              <w:left w:val="nil"/>
              <w:bottom w:val="nil"/>
              <w:right w:val="nil"/>
            </w:tcBorders>
          </w:tcPr>
          <w:p w14:paraId="455FA933" w14:textId="57B7CF1B" w:rsidR="00F912A3"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1850</w:t>
            </w:r>
            <w:r w:rsidR="00F912A3" w:rsidRPr="00CD3086">
              <w:rPr>
                <w:rFonts w:ascii="Calibri" w:hAnsi="Calibri"/>
                <w:sz w:val="20"/>
                <w:szCs w:val="20"/>
              </w:rPr>
              <w:t>,000</w:t>
            </w:r>
          </w:p>
        </w:tc>
      </w:tr>
      <w:tr w:rsidR="00F912A3" w:rsidRPr="00CD3086" w14:paraId="12B4BD5F" w14:textId="77777777" w:rsidTr="001C5C00">
        <w:trPr>
          <w:trHeight w:val="619"/>
        </w:trPr>
        <w:tc>
          <w:tcPr>
            <w:tcW w:w="2402" w:type="dxa"/>
            <w:tcBorders>
              <w:top w:val="nil"/>
              <w:left w:val="nil"/>
              <w:bottom w:val="nil"/>
              <w:right w:val="nil"/>
            </w:tcBorders>
          </w:tcPr>
          <w:p w14:paraId="2B665BB8" w14:textId="77777777"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10D9650F" w14:textId="013055EC"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AF0634" w:rsidRPr="00CD3086">
              <w:rPr>
                <w:rFonts w:ascii="Calibri" w:hAnsi="Calibri"/>
                <w:sz w:val="20"/>
                <w:szCs w:val="20"/>
              </w:rPr>
              <w:t>,936</w:t>
            </w:r>
          </w:p>
        </w:tc>
        <w:tc>
          <w:tcPr>
            <w:tcW w:w="2119" w:type="dxa"/>
            <w:tcBorders>
              <w:top w:val="nil"/>
              <w:left w:val="nil"/>
              <w:bottom w:val="nil"/>
              <w:right w:val="nil"/>
            </w:tcBorders>
          </w:tcPr>
          <w:p w14:paraId="7F06B84D" w14:textId="68C46AF0"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AF0634" w:rsidRPr="00CD3086">
              <w:rPr>
                <w:rFonts w:ascii="Calibri" w:hAnsi="Calibri"/>
                <w:sz w:val="20"/>
                <w:szCs w:val="20"/>
              </w:rPr>
              <w:t>,769</w:t>
            </w:r>
          </w:p>
        </w:tc>
        <w:tc>
          <w:tcPr>
            <w:tcW w:w="2401" w:type="dxa"/>
            <w:tcBorders>
              <w:top w:val="nil"/>
              <w:left w:val="nil"/>
              <w:bottom w:val="nil"/>
              <w:right w:val="nil"/>
            </w:tcBorders>
          </w:tcPr>
          <w:p w14:paraId="3FD96998" w14:textId="22400C78"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AF0634" w:rsidRPr="00CD3086">
              <w:rPr>
                <w:rFonts w:ascii="Calibri" w:hAnsi="Calibri"/>
                <w:sz w:val="20"/>
                <w:szCs w:val="20"/>
              </w:rPr>
              <w:t>7,539</w:t>
            </w:r>
          </w:p>
        </w:tc>
      </w:tr>
      <w:tr w:rsidR="00F912A3" w:rsidRPr="00CD3086" w14:paraId="0F0603BF" w14:textId="77777777" w:rsidTr="001C5C00">
        <w:trPr>
          <w:trHeight w:val="362"/>
        </w:trPr>
        <w:tc>
          <w:tcPr>
            <w:tcW w:w="2402" w:type="dxa"/>
            <w:tcBorders>
              <w:top w:val="nil"/>
              <w:left w:val="nil"/>
              <w:right w:val="nil"/>
            </w:tcBorders>
          </w:tcPr>
          <w:p w14:paraId="3AD18E20" w14:textId="77777777" w:rsidR="00F912A3" w:rsidRPr="00CD3086" w:rsidRDefault="00F912A3" w:rsidP="001C5C00">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14462656" w14:textId="06B21FCD"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AF0634" w:rsidRPr="00CD3086">
              <w:rPr>
                <w:rFonts w:ascii="Calibri" w:hAnsi="Calibri"/>
                <w:sz w:val="20"/>
                <w:szCs w:val="20"/>
              </w:rPr>
              <w:t>349</w:t>
            </w:r>
          </w:p>
        </w:tc>
        <w:tc>
          <w:tcPr>
            <w:tcW w:w="2119" w:type="dxa"/>
            <w:tcBorders>
              <w:top w:val="nil"/>
              <w:left w:val="nil"/>
              <w:right w:val="nil"/>
            </w:tcBorders>
          </w:tcPr>
          <w:p w14:paraId="62397A5F" w14:textId="648421D0"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w:t>
            </w:r>
            <w:r w:rsidR="00AF0634" w:rsidRPr="00CD3086">
              <w:rPr>
                <w:rFonts w:ascii="Calibri" w:hAnsi="Calibri"/>
                <w:sz w:val="20"/>
                <w:szCs w:val="20"/>
              </w:rPr>
              <w:t>442</w:t>
            </w:r>
          </w:p>
        </w:tc>
        <w:tc>
          <w:tcPr>
            <w:tcW w:w="2401" w:type="dxa"/>
            <w:tcBorders>
              <w:top w:val="nil"/>
              <w:left w:val="nil"/>
              <w:right w:val="nil"/>
            </w:tcBorders>
          </w:tcPr>
          <w:p w14:paraId="52187324" w14:textId="77777777" w:rsidR="00F912A3" w:rsidRPr="00CD3086" w:rsidRDefault="00F912A3" w:rsidP="001C5C00">
            <w:pPr>
              <w:pStyle w:val="ListParagraph"/>
              <w:spacing w:line="360" w:lineRule="auto"/>
              <w:ind w:left="0"/>
              <w:jc w:val="center"/>
              <w:rPr>
                <w:rFonts w:ascii="Calibri" w:hAnsi="Calibri"/>
                <w:sz w:val="20"/>
                <w:szCs w:val="20"/>
              </w:rPr>
            </w:pPr>
            <w:r w:rsidRPr="00CD3086">
              <w:rPr>
                <w:rFonts w:ascii="Calibri" w:hAnsi="Calibri"/>
                <w:sz w:val="20"/>
                <w:szCs w:val="20"/>
              </w:rPr>
              <w:t>,000</w:t>
            </w:r>
          </w:p>
        </w:tc>
      </w:tr>
    </w:tbl>
    <w:p w14:paraId="3A17D901" w14:textId="000185B6" w:rsidR="00840356" w:rsidRPr="00CD3086" w:rsidRDefault="00840356" w:rsidP="00840356">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13"/>
    <w:p w14:paraId="5F0DFA82" w14:textId="77777777" w:rsidR="00E316A5" w:rsidRPr="00AB0F44" w:rsidRDefault="00E316A5" w:rsidP="00935AEB">
      <w:pPr>
        <w:spacing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value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shown</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which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0.349 &gt;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which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0.442 &gt;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2023. The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cumulative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0.000 &lt;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2023.</w:t>
      </w:r>
    </w:p>
    <w:p w14:paraId="2F42370C" w14:textId="117712F5" w:rsidR="00AF6DCA" w:rsidRPr="00AB0F44" w:rsidRDefault="00E316A5" w:rsidP="00935AEB">
      <w:pPr>
        <w:spacing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31.90,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76.19.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2021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w:t>
      </w:r>
      <w:bookmarkStart w:id="14" w:name="_Hlk162865933"/>
    </w:p>
    <w:p w14:paraId="7BEF0FC2" w14:textId="68161202" w:rsidR="003F1EDD" w:rsidRPr="00CD3086" w:rsidRDefault="00F0252C" w:rsidP="00935AEB">
      <w:pPr>
        <w:spacing w:before="120" w:after="0"/>
        <w:jc w:val="center"/>
        <w:rPr>
          <w:sz w:val="20"/>
          <w:szCs w:val="20"/>
        </w:rPr>
      </w:pPr>
      <w:r w:rsidRPr="00CD3086">
        <w:rPr>
          <w:b/>
          <w:bCs/>
          <w:sz w:val="20"/>
          <w:szCs w:val="20"/>
        </w:rPr>
        <w:t xml:space="preserve">Table 11. </w:t>
      </w:r>
      <w:r w:rsidRPr="00CD3086">
        <w:rPr>
          <w:sz w:val="20"/>
          <w:szCs w:val="20"/>
        </w:rPr>
        <w:t>Differences between the class of 2022 and the class of 2023</w:t>
      </w:r>
    </w:p>
    <w:tbl>
      <w:tblPr>
        <w:tblStyle w:val="TableGrid"/>
        <w:tblW w:w="9040" w:type="dxa"/>
        <w:tblInd w:w="-5" w:type="dxa"/>
        <w:tblLook w:val="04A0" w:firstRow="1" w:lastRow="0" w:firstColumn="1" w:lastColumn="0" w:noHBand="0" w:noVBand="1"/>
      </w:tblPr>
      <w:tblGrid>
        <w:gridCol w:w="2402"/>
        <w:gridCol w:w="2118"/>
        <w:gridCol w:w="2119"/>
        <w:gridCol w:w="2401"/>
      </w:tblGrid>
      <w:tr w:rsidR="00AF0634" w:rsidRPr="00CD3086" w14:paraId="29F30191" w14:textId="77777777" w:rsidTr="00AB0F44">
        <w:trPr>
          <w:trHeight w:val="806"/>
        </w:trPr>
        <w:tc>
          <w:tcPr>
            <w:tcW w:w="2402" w:type="dxa"/>
            <w:tcBorders>
              <w:left w:val="nil"/>
              <w:bottom w:val="single" w:sz="4" w:space="0" w:color="auto"/>
              <w:right w:val="nil"/>
            </w:tcBorders>
            <w:vAlign w:val="center"/>
          </w:tcPr>
          <w:p w14:paraId="0E2B2825" w14:textId="74B59154" w:rsidR="00AF0634" w:rsidRPr="00CD3086" w:rsidRDefault="002162FF"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Testing</w:t>
            </w:r>
          </w:p>
        </w:tc>
        <w:tc>
          <w:tcPr>
            <w:tcW w:w="2118" w:type="dxa"/>
            <w:tcBorders>
              <w:left w:val="nil"/>
              <w:bottom w:val="single" w:sz="4" w:space="0" w:color="auto"/>
              <w:right w:val="nil"/>
            </w:tcBorders>
            <w:vAlign w:val="center"/>
          </w:tcPr>
          <w:p w14:paraId="28AFD109" w14:textId="77777777" w:rsidR="00AF0634" w:rsidRPr="00CD3086" w:rsidRDefault="00AF0634"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Self-Efficacy</w:t>
            </w:r>
          </w:p>
        </w:tc>
        <w:tc>
          <w:tcPr>
            <w:tcW w:w="2119" w:type="dxa"/>
            <w:tcBorders>
              <w:left w:val="nil"/>
              <w:bottom w:val="single" w:sz="4" w:space="0" w:color="auto"/>
              <w:right w:val="nil"/>
            </w:tcBorders>
            <w:vAlign w:val="center"/>
          </w:tcPr>
          <w:p w14:paraId="7BF30595" w14:textId="77777777" w:rsidR="00AF0634" w:rsidRPr="00CD3086" w:rsidRDefault="00AF0634"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Self-Management</w:t>
            </w:r>
          </w:p>
        </w:tc>
        <w:tc>
          <w:tcPr>
            <w:tcW w:w="2401" w:type="dxa"/>
            <w:tcBorders>
              <w:left w:val="nil"/>
              <w:bottom w:val="single" w:sz="4" w:space="0" w:color="auto"/>
              <w:right w:val="nil"/>
            </w:tcBorders>
            <w:vAlign w:val="center"/>
          </w:tcPr>
          <w:p w14:paraId="352A11A0" w14:textId="77777777" w:rsidR="00AF0634" w:rsidRPr="00CD3086" w:rsidRDefault="00AF0634" w:rsidP="00AB0F44">
            <w:pPr>
              <w:pStyle w:val="ListParagraph"/>
              <w:spacing w:after="0" w:line="360" w:lineRule="auto"/>
              <w:ind w:left="0"/>
              <w:jc w:val="center"/>
              <w:rPr>
                <w:rFonts w:ascii="Calibri" w:hAnsi="Calibri"/>
                <w:b/>
                <w:bCs/>
                <w:sz w:val="20"/>
                <w:szCs w:val="20"/>
              </w:rPr>
            </w:pPr>
            <w:r w:rsidRPr="00CD3086">
              <w:rPr>
                <w:rFonts w:ascii="Calibri" w:hAnsi="Calibri"/>
                <w:b/>
                <w:bCs/>
                <w:sz w:val="20"/>
                <w:szCs w:val="20"/>
              </w:rPr>
              <w:t>Achievement Index</w:t>
            </w:r>
          </w:p>
        </w:tc>
      </w:tr>
      <w:tr w:rsidR="00AF0634" w:rsidRPr="00CD3086" w14:paraId="4A1D5500" w14:textId="77777777" w:rsidTr="001C5C00">
        <w:trPr>
          <w:trHeight w:val="608"/>
        </w:trPr>
        <w:tc>
          <w:tcPr>
            <w:tcW w:w="2402" w:type="dxa"/>
            <w:tcBorders>
              <w:left w:val="nil"/>
              <w:bottom w:val="nil"/>
              <w:right w:val="nil"/>
            </w:tcBorders>
          </w:tcPr>
          <w:p w14:paraId="6A8FD45E" w14:textId="77777777"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Mann-Whitney</w:t>
            </w:r>
          </w:p>
        </w:tc>
        <w:tc>
          <w:tcPr>
            <w:tcW w:w="2118" w:type="dxa"/>
            <w:tcBorders>
              <w:left w:val="nil"/>
              <w:bottom w:val="nil"/>
              <w:right w:val="nil"/>
            </w:tcBorders>
          </w:tcPr>
          <w:p w14:paraId="2AD2F8EF" w14:textId="03121DA1"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1252,000</w:t>
            </w:r>
          </w:p>
        </w:tc>
        <w:tc>
          <w:tcPr>
            <w:tcW w:w="2119" w:type="dxa"/>
            <w:tcBorders>
              <w:left w:val="nil"/>
              <w:bottom w:val="nil"/>
              <w:right w:val="nil"/>
            </w:tcBorders>
          </w:tcPr>
          <w:p w14:paraId="7AA4BA0B" w14:textId="0D7D0A6A"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1233,500</w:t>
            </w:r>
          </w:p>
        </w:tc>
        <w:tc>
          <w:tcPr>
            <w:tcW w:w="2401" w:type="dxa"/>
            <w:tcBorders>
              <w:left w:val="nil"/>
              <w:bottom w:val="nil"/>
              <w:right w:val="nil"/>
            </w:tcBorders>
          </w:tcPr>
          <w:p w14:paraId="1C82344E" w14:textId="2ACADE70"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321,000</w:t>
            </w:r>
          </w:p>
        </w:tc>
      </w:tr>
      <w:tr w:rsidR="00AF0634" w:rsidRPr="00CD3086" w14:paraId="60E23019" w14:textId="77777777" w:rsidTr="001C5C00">
        <w:trPr>
          <w:trHeight w:val="608"/>
        </w:trPr>
        <w:tc>
          <w:tcPr>
            <w:tcW w:w="2402" w:type="dxa"/>
            <w:tcBorders>
              <w:top w:val="nil"/>
              <w:left w:val="nil"/>
              <w:bottom w:val="nil"/>
              <w:right w:val="nil"/>
            </w:tcBorders>
          </w:tcPr>
          <w:p w14:paraId="6252B179" w14:textId="77777777"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Wilcoxon W</w:t>
            </w:r>
          </w:p>
        </w:tc>
        <w:tc>
          <w:tcPr>
            <w:tcW w:w="2118" w:type="dxa"/>
            <w:tcBorders>
              <w:top w:val="nil"/>
              <w:left w:val="nil"/>
              <w:bottom w:val="nil"/>
              <w:right w:val="nil"/>
            </w:tcBorders>
          </w:tcPr>
          <w:p w14:paraId="196F4BF2" w14:textId="10D6A21E"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2963,000</w:t>
            </w:r>
          </w:p>
        </w:tc>
        <w:tc>
          <w:tcPr>
            <w:tcW w:w="2119" w:type="dxa"/>
            <w:tcBorders>
              <w:top w:val="nil"/>
              <w:left w:val="nil"/>
              <w:bottom w:val="nil"/>
              <w:right w:val="nil"/>
            </w:tcBorders>
          </w:tcPr>
          <w:p w14:paraId="5DC14659" w14:textId="71EA714F"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2944,500</w:t>
            </w:r>
          </w:p>
        </w:tc>
        <w:tc>
          <w:tcPr>
            <w:tcW w:w="2401" w:type="dxa"/>
            <w:tcBorders>
              <w:top w:val="nil"/>
              <w:left w:val="nil"/>
              <w:bottom w:val="nil"/>
              <w:right w:val="nil"/>
            </w:tcBorders>
          </w:tcPr>
          <w:p w14:paraId="5AB4B074" w14:textId="08E0DA65"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2032,000</w:t>
            </w:r>
          </w:p>
        </w:tc>
      </w:tr>
      <w:tr w:rsidR="00AF0634" w:rsidRPr="00CD3086" w14:paraId="549D603B" w14:textId="77777777" w:rsidTr="001C5C00">
        <w:trPr>
          <w:trHeight w:val="619"/>
        </w:trPr>
        <w:tc>
          <w:tcPr>
            <w:tcW w:w="2402" w:type="dxa"/>
            <w:tcBorders>
              <w:top w:val="nil"/>
              <w:left w:val="nil"/>
              <w:bottom w:val="nil"/>
              <w:right w:val="nil"/>
            </w:tcBorders>
          </w:tcPr>
          <w:p w14:paraId="605C26BE" w14:textId="77777777"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Z</w:t>
            </w:r>
          </w:p>
        </w:tc>
        <w:tc>
          <w:tcPr>
            <w:tcW w:w="2118" w:type="dxa"/>
            <w:tcBorders>
              <w:top w:val="nil"/>
              <w:left w:val="nil"/>
              <w:bottom w:val="nil"/>
              <w:right w:val="nil"/>
            </w:tcBorders>
          </w:tcPr>
          <w:p w14:paraId="4A4723EF" w14:textId="08044236"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-1,533</w:t>
            </w:r>
          </w:p>
        </w:tc>
        <w:tc>
          <w:tcPr>
            <w:tcW w:w="2119" w:type="dxa"/>
            <w:tcBorders>
              <w:top w:val="nil"/>
              <w:left w:val="nil"/>
              <w:bottom w:val="nil"/>
              <w:right w:val="nil"/>
            </w:tcBorders>
          </w:tcPr>
          <w:p w14:paraId="263A6AA8" w14:textId="6F4207C4"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-1,644</w:t>
            </w:r>
          </w:p>
        </w:tc>
        <w:tc>
          <w:tcPr>
            <w:tcW w:w="2401" w:type="dxa"/>
            <w:tcBorders>
              <w:top w:val="nil"/>
              <w:left w:val="nil"/>
              <w:bottom w:val="nil"/>
              <w:right w:val="nil"/>
            </w:tcBorders>
          </w:tcPr>
          <w:p w14:paraId="2A1A78EA" w14:textId="4B6AFE2E"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-7,110</w:t>
            </w:r>
          </w:p>
        </w:tc>
      </w:tr>
      <w:tr w:rsidR="00AF0634" w:rsidRPr="00CD3086" w14:paraId="3F36B520" w14:textId="77777777" w:rsidTr="001C5C00">
        <w:trPr>
          <w:trHeight w:val="362"/>
        </w:trPr>
        <w:tc>
          <w:tcPr>
            <w:tcW w:w="2402" w:type="dxa"/>
            <w:tcBorders>
              <w:top w:val="nil"/>
              <w:left w:val="nil"/>
              <w:right w:val="nil"/>
            </w:tcBorders>
          </w:tcPr>
          <w:p w14:paraId="34818C41" w14:textId="77777777" w:rsidR="00AF0634" w:rsidRPr="00CD3086" w:rsidRDefault="00AF0634" w:rsidP="001C5C00">
            <w:pPr>
              <w:pStyle w:val="ListParagraph"/>
              <w:spacing w:line="360" w:lineRule="auto"/>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 (2-tailed)</w:t>
            </w:r>
          </w:p>
        </w:tc>
        <w:tc>
          <w:tcPr>
            <w:tcW w:w="2118" w:type="dxa"/>
            <w:tcBorders>
              <w:top w:val="nil"/>
              <w:left w:val="nil"/>
              <w:right w:val="nil"/>
            </w:tcBorders>
          </w:tcPr>
          <w:p w14:paraId="68EE64C4" w14:textId="503E4BCA"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,125</w:t>
            </w:r>
          </w:p>
        </w:tc>
        <w:tc>
          <w:tcPr>
            <w:tcW w:w="2119" w:type="dxa"/>
            <w:tcBorders>
              <w:top w:val="nil"/>
              <w:left w:val="nil"/>
              <w:right w:val="nil"/>
            </w:tcBorders>
          </w:tcPr>
          <w:p w14:paraId="1C9C942A" w14:textId="7C307A9C"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,100</w:t>
            </w:r>
          </w:p>
        </w:tc>
        <w:tc>
          <w:tcPr>
            <w:tcW w:w="2401" w:type="dxa"/>
            <w:tcBorders>
              <w:top w:val="nil"/>
              <w:left w:val="nil"/>
              <w:right w:val="nil"/>
            </w:tcBorders>
          </w:tcPr>
          <w:p w14:paraId="3DECC462" w14:textId="77777777" w:rsidR="00AF0634" w:rsidRPr="00CD3086" w:rsidRDefault="00AF0634" w:rsidP="001C5C00">
            <w:pPr>
              <w:pStyle w:val="ListParagraph"/>
              <w:spacing w:line="360" w:lineRule="auto"/>
              <w:ind w:left="0"/>
              <w:jc w:val="center"/>
              <w:rPr>
                <w:rFonts w:ascii="Calibri" w:hAnsi="Calibri"/>
                <w:sz w:val="20"/>
                <w:szCs w:val="20"/>
              </w:rPr>
            </w:pPr>
            <w:r w:rsidRPr="00CD3086">
              <w:rPr>
                <w:rFonts w:ascii="Calibri" w:hAnsi="Calibri"/>
                <w:sz w:val="20"/>
                <w:szCs w:val="20"/>
              </w:rPr>
              <w:t>,000</w:t>
            </w:r>
          </w:p>
        </w:tc>
      </w:tr>
    </w:tbl>
    <w:p w14:paraId="3FCE3FC0" w14:textId="10A3E324" w:rsidR="00840356" w:rsidRPr="00CD3086" w:rsidRDefault="00840356" w:rsidP="00840356">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14"/>
    <w:p w14:paraId="23B27684" w14:textId="77777777" w:rsidR="002C2746" w:rsidRPr="00AB0F44" w:rsidRDefault="00E316A5" w:rsidP="002C2746">
      <w:pPr>
        <w:spacing w:after="0" w:line="240" w:lineRule="auto"/>
        <w:ind w:firstLine="284"/>
        <w:jc w:val="both"/>
        <w:rPr>
          <w:rFonts w:asciiTheme="minorHAnsi" w:eastAsia="Times New Roman" w:hAnsiTheme="minorHAnsi" w:cstheme="minorHAnsi"/>
          <w:lang w:val="id-ID" w:eastAsia="id-ID"/>
        </w:rPr>
      </w:pPr>
      <w:proofErr w:type="spellStart"/>
      <w:r w:rsidRPr="00AB0F44">
        <w:rPr>
          <w:rFonts w:asciiTheme="minorHAnsi" w:eastAsia="Times New Roman" w:hAnsiTheme="minorHAnsi" w:cstheme="minorHAnsi"/>
          <w:lang w:val="id-ID" w:eastAsia="id-ID"/>
        </w:rPr>
        <w:lastRenderedPageBreak/>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table</w:t>
      </w:r>
      <w:proofErr w:type="spellEnd"/>
      <w:r w:rsidRPr="00AB0F44">
        <w:rPr>
          <w:rFonts w:asciiTheme="minorHAnsi" w:eastAsia="Times New Roman" w:hAnsiTheme="minorHAnsi" w:cstheme="minorHAnsi"/>
          <w:lang w:val="id-ID" w:eastAsia="id-ID"/>
        </w:rPr>
        <w:t xml:space="preserve"> 11,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value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0.125 &gt; 0.05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which</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0.100 &gt;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no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2022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2023. The </w:t>
      </w:r>
      <w:proofErr w:type="spellStart"/>
      <w:r w:rsidRPr="00AB0F44">
        <w:rPr>
          <w:rFonts w:asciiTheme="minorHAnsi" w:eastAsia="Times New Roman" w:hAnsiTheme="minorHAnsi" w:cstheme="minorHAnsi"/>
          <w:lang w:val="id-ID" w:eastAsia="id-ID"/>
        </w:rPr>
        <w:t>asymp</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cumulative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variable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0.000 &lt; 0.05, </w:t>
      </w:r>
      <w:proofErr w:type="spellStart"/>
      <w:r w:rsidRPr="00AB0F44">
        <w:rPr>
          <w:rFonts w:asciiTheme="minorHAnsi" w:eastAsia="Times New Roman" w:hAnsiTheme="minorHAnsi" w:cstheme="minorHAnsi"/>
          <w:lang w:val="id-ID" w:eastAsia="id-ID"/>
        </w:rPr>
        <w:t>indicating</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between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2022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2023.</w:t>
      </w:r>
    </w:p>
    <w:p w14:paraId="2DD55E6E" w14:textId="5BA846A7" w:rsidR="003A6AC4" w:rsidRPr="00AB0F44" w:rsidRDefault="00E316A5" w:rsidP="00667035">
      <w:pPr>
        <w:spacing w:after="0" w:line="240" w:lineRule="auto"/>
        <w:ind w:firstLine="284"/>
        <w:jc w:val="both"/>
        <w:rPr>
          <w:rFonts w:asciiTheme="minorHAnsi" w:eastAsia="Times New Roman" w:hAnsiTheme="minorHAnsi" w:cstheme="minorHAnsi"/>
          <w:lang w:val="id-ID" w:eastAsia="id-ID"/>
        </w:rPr>
      </w:pPr>
      <w:r w:rsidRPr="00AB0F44">
        <w:rPr>
          <w:rFonts w:asciiTheme="minorHAnsi" w:eastAsia="Times New Roman" w:hAnsiTheme="minorHAnsi" w:cstheme="minorHAnsi"/>
          <w:lang w:val="id-ID" w:eastAsia="id-ID"/>
        </w:rPr>
        <w:t xml:space="preserve">The </w:t>
      </w:r>
      <w:proofErr w:type="spellStart"/>
      <w:r w:rsidRPr="00AB0F44">
        <w:rPr>
          <w:rFonts w:asciiTheme="minorHAnsi" w:eastAsia="Times New Roman" w:hAnsiTheme="minorHAnsi" w:cstheme="minorHAnsi"/>
          <w:lang w:val="id-ID" w:eastAsia="id-ID"/>
        </w:rPr>
        <w:t>difference</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rank</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35.03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from</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2022, </w:t>
      </w:r>
      <w:proofErr w:type="spellStart"/>
      <w:r w:rsidRPr="00AB0F44">
        <w:rPr>
          <w:rFonts w:asciiTheme="minorHAnsi" w:eastAsia="Times New Roman" w:hAnsiTheme="minorHAnsi" w:cstheme="minorHAnsi"/>
          <w:lang w:val="id-ID" w:eastAsia="id-ID"/>
        </w:rPr>
        <w:t>namely</w:t>
      </w:r>
      <w:proofErr w:type="spellEnd"/>
      <w:r w:rsidRPr="00AB0F44">
        <w:rPr>
          <w:rFonts w:asciiTheme="minorHAnsi" w:eastAsia="Times New Roman" w:hAnsiTheme="minorHAnsi" w:cstheme="minorHAnsi"/>
          <w:lang w:val="id-ID" w:eastAsia="id-ID"/>
        </w:rPr>
        <w:t xml:space="preserve"> 78.33. </w:t>
      </w:r>
      <w:proofErr w:type="spellStart"/>
      <w:r w:rsidRPr="00AB0F44">
        <w:rPr>
          <w:rFonts w:asciiTheme="minorHAnsi" w:eastAsia="Times New Roman" w:hAnsiTheme="minorHAnsi" w:cstheme="minorHAnsi"/>
          <w:lang w:val="id-ID" w:eastAsia="id-ID"/>
        </w:rPr>
        <w:t>This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explains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2022 </w:t>
      </w:r>
      <w:proofErr w:type="spellStart"/>
      <w:r w:rsidRPr="00AB0F44">
        <w:rPr>
          <w:rFonts w:asciiTheme="minorHAnsi" w:eastAsia="Times New Roman" w:hAnsiTheme="minorHAnsi" w:cstheme="minorHAnsi"/>
          <w:lang w:val="id-ID" w:eastAsia="id-ID"/>
        </w:rPr>
        <w:t>is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higher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that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of</w:t>
      </w:r>
      <w:proofErr w:type="spellEnd"/>
      <w:r w:rsidRPr="00AB0F44">
        <w:rPr>
          <w:rFonts w:asciiTheme="minorHAnsi" w:eastAsia="Times New Roman" w:hAnsiTheme="minorHAnsi" w:cstheme="minorHAnsi"/>
          <w:lang w:val="id-ID" w:eastAsia="id-ID"/>
        </w:rPr>
        <w:t xml:space="preserve"> 2023. </w:t>
      </w:r>
      <w:proofErr w:type="spellStart"/>
      <w:r w:rsidRPr="00AB0F44">
        <w:rPr>
          <w:rFonts w:asciiTheme="minorHAnsi" w:eastAsia="Times New Roman" w:hAnsiTheme="minorHAnsi" w:cstheme="minorHAnsi"/>
          <w:lang w:val="id-ID" w:eastAsia="id-ID"/>
        </w:rPr>
        <w:t>Next</w:t>
      </w:r>
      <w:proofErr w:type="spellEnd"/>
      <w:r w:rsidRPr="00AB0F44">
        <w:rPr>
          <w:rFonts w:asciiTheme="minorHAnsi" w:eastAsia="Times New Roman" w:hAnsiTheme="minorHAnsi" w:cstheme="minorHAnsi"/>
          <w:lang w:val="id-ID" w:eastAsia="id-ID"/>
        </w:rPr>
        <w:t xml:space="preserve">, a </w:t>
      </w:r>
      <w:proofErr w:type="spellStart"/>
      <w:r w:rsidRPr="00AB0F44">
        <w:rPr>
          <w:rFonts w:asciiTheme="minorHAnsi" w:eastAsia="Times New Roman" w:hAnsiTheme="minorHAnsi" w:cstheme="minorHAnsi"/>
          <w:lang w:val="id-ID" w:eastAsia="id-ID"/>
        </w:rPr>
        <w:t>Kruskal-Walls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test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was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carried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out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to</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determine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whether</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there</w:t>
      </w:r>
      <w:proofErr w:type="spellEnd"/>
      <w:r w:rsidRPr="00AB0F44">
        <w:rPr>
          <w:rFonts w:asciiTheme="minorHAnsi" w:eastAsia="Times New Roman" w:hAnsiTheme="minorHAnsi" w:cstheme="minorHAnsi"/>
          <w:lang w:val="id-ID" w:eastAsia="id-ID"/>
        </w:rPr>
        <w:t xml:space="preserve"> were </w:t>
      </w:r>
      <w:proofErr w:type="spellStart"/>
      <w:r w:rsidRPr="00AB0F44">
        <w:rPr>
          <w:rFonts w:asciiTheme="minorHAnsi" w:eastAsia="Times New Roman" w:hAnsiTheme="minorHAnsi" w:cstheme="minorHAnsi"/>
          <w:lang w:val="id-ID" w:eastAsia="id-ID"/>
        </w:rPr>
        <w:t>differences</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self-efficacy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self-management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student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achievement</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indexes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based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on</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classes</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measured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simultaneously</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and</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obtained</w:t>
      </w:r>
      <w:proofErr w:type="spellEnd"/>
      <w:r w:rsidRPr="00AB0F44">
        <w:rPr>
          <w:rFonts w:asciiTheme="minorHAnsi" w:eastAsia="Times New Roman" w:hAnsiTheme="minorHAnsi" w:cstheme="minorHAnsi"/>
          <w:lang w:val="id-ID" w:eastAsia="id-ID"/>
        </w:rPr>
        <w:t xml:space="preserve"> in </w:t>
      </w:r>
      <w:proofErr w:type="spellStart"/>
      <w:r w:rsidRPr="00AB0F44">
        <w:rPr>
          <w:rFonts w:asciiTheme="minorHAnsi" w:eastAsia="Times New Roman" w:hAnsiTheme="minorHAnsi" w:cstheme="minorHAnsi"/>
          <w:lang w:val="id-ID" w:eastAsia="id-ID"/>
        </w:rPr>
        <w:t>the</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following</w:t>
      </w:r>
      <w:proofErr w:type="spellEnd"/>
      <w:r w:rsidRPr="00AB0F44">
        <w:rPr>
          <w:rFonts w:asciiTheme="minorHAnsi" w:eastAsia="Times New Roman" w:hAnsiTheme="minorHAnsi" w:cstheme="minorHAnsi"/>
          <w:lang w:val="id-ID" w:eastAsia="id-ID"/>
        </w:rPr>
        <w:t xml:space="preserve"> </w:t>
      </w:r>
      <w:proofErr w:type="spellStart"/>
      <w:r w:rsidRPr="00AB0F44">
        <w:rPr>
          <w:rFonts w:asciiTheme="minorHAnsi" w:eastAsia="Times New Roman" w:hAnsiTheme="minorHAnsi" w:cstheme="minorHAnsi"/>
          <w:lang w:val="id-ID" w:eastAsia="id-ID"/>
        </w:rPr>
        <w:t>table</w:t>
      </w:r>
      <w:proofErr w:type="spellEnd"/>
      <w:r w:rsidRPr="00AB0F44">
        <w:rPr>
          <w:rFonts w:asciiTheme="minorHAnsi" w:eastAsia="Times New Roman" w:hAnsiTheme="minorHAnsi" w:cstheme="minorHAnsi"/>
          <w:lang w:val="id-ID" w:eastAsia="id-ID"/>
        </w:rPr>
        <w:t>.</w:t>
      </w:r>
      <w:bookmarkStart w:id="15" w:name="_Hlk162865964"/>
    </w:p>
    <w:p w14:paraId="6C3C5AD0" w14:textId="5FB4531C" w:rsidR="007D2D6B" w:rsidRPr="00CD3086" w:rsidRDefault="00595BCA" w:rsidP="00935AEB">
      <w:pPr>
        <w:autoSpaceDE w:val="0"/>
        <w:autoSpaceDN w:val="0"/>
        <w:adjustRightInd w:val="0"/>
        <w:spacing w:before="120" w:after="0" w:line="400" w:lineRule="atLeast"/>
        <w:jc w:val="center"/>
        <w:rPr>
          <w:sz w:val="20"/>
          <w:szCs w:val="20"/>
        </w:rPr>
      </w:pPr>
      <w:proofErr w:type="spellStart"/>
      <w:r w:rsidRPr="00CD3086">
        <w:rPr>
          <w:b/>
          <w:bCs/>
          <w:sz w:val="20"/>
          <w:szCs w:val="20"/>
          <w:lang w:val="id-ID"/>
        </w:rPr>
        <w:t>Table</w:t>
      </w:r>
      <w:proofErr w:type="spellEnd"/>
      <w:r w:rsidRPr="00CD3086">
        <w:rPr>
          <w:b/>
          <w:bCs/>
          <w:sz w:val="20"/>
          <w:szCs w:val="20"/>
          <w:lang w:val="id-ID"/>
        </w:rPr>
        <w:t xml:space="preserve"> 12.</w:t>
      </w:r>
      <w:r w:rsidR="000055F4" w:rsidRPr="00CD3086">
        <w:rPr>
          <w:sz w:val="20"/>
          <w:szCs w:val="20"/>
          <w:lang w:val="id-ID"/>
        </w:rPr>
        <w:t xml:space="preserve"> </w:t>
      </w:r>
      <w:r w:rsidR="000055F4" w:rsidRPr="00CD3086">
        <w:rPr>
          <w:sz w:val="20"/>
          <w:szCs w:val="20"/>
        </w:rPr>
        <w:t>Results of the Kruskal-Walls Test on Student Forces</w:t>
      </w:r>
    </w:p>
    <w:tbl>
      <w:tblPr>
        <w:tblStyle w:val="TableGrid"/>
        <w:tblW w:w="9077" w:type="dxa"/>
        <w:tblInd w:w="-10" w:type="dxa"/>
        <w:tblLook w:val="04A0" w:firstRow="1" w:lastRow="0" w:firstColumn="1" w:lastColumn="0" w:noHBand="0" w:noVBand="1"/>
      </w:tblPr>
      <w:tblGrid>
        <w:gridCol w:w="2268"/>
        <w:gridCol w:w="2127"/>
        <w:gridCol w:w="2268"/>
        <w:gridCol w:w="2414"/>
      </w:tblGrid>
      <w:tr w:rsidR="002162FF" w:rsidRPr="00CD3086" w14:paraId="5653D0EE" w14:textId="77777777" w:rsidTr="0016799D">
        <w:tc>
          <w:tcPr>
            <w:tcW w:w="2268" w:type="dxa"/>
            <w:tcBorders>
              <w:left w:val="nil"/>
              <w:bottom w:val="single" w:sz="4" w:space="0" w:color="auto"/>
              <w:right w:val="nil"/>
            </w:tcBorders>
          </w:tcPr>
          <w:p w14:paraId="4983C9C2"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Testing</w:t>
            </w:r>
          </w:p>
        </w:tc>
        <w:tc>
          <w:tcPr>
            <w:tcW w:w="2127" w:type="dxa"/>
            <w:tcBorders>
              <w:left w:val="nil"/>
              <w:bottom w:val="single" w:sz="4" w:space="0" w:color="auto"/>
              <w:right w:val="nil"/>
            </w:tcBorders>
          </w:tcPr>
          <w:p w14:paraId="5FE0058B"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Self-Efficacy</w:t>
            </w:r>
          </w:p>
        </w:tc>
        <w:tc>
          <w:tcPr>
            <w:tcW w:w="2268" w:type="dxa"/>
            <w:tcBorders>
              <w:left w:val="nil"/>
              <w:bottom w:val="single" w:sz="4" w:space="0" w:color="auto"/>
              <w:right w:val="nil"/>
            </w:tcBorders>
          </w:tcPr>
          <w:p w14:paraId="30419F2E"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 xml:space="preserve">Self-Management </w:t>
            </w:r>
          </w:p>
        </w:tc>
        <w:tc>
          <w:tcPr>
            <w:tcW w:w="2414" w:type="dxa"/>
            <w:tcBorders>
              <w:left w:val="nil"/>
              <w:bottom w:val="single" w:sz="4" w:space="0" w:color="auto"/>
              <w:right w:val="nil"/>
            </w:tcBorders>
          </w:tcPr>
          <w:p w14:paraId="608480F3"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Achievement Index</w:t>
            </w:r>
          </w:p>
        </w:tc>
      </w:tr>
      <w:tr w:rsidR="002162FF" w:rsidRPr="00CD3086" w14:paraId="13A13DC8" w14:textId="77777777" w:rsidTr="0016799D">
        <w:tc>
          <w:tcPr>
            <w:tcW w:w="2268" w:type="dxa"/>
            <w:tcBorders>
              <w:left w:val="nil"/>
              <w:bottom w:val="nil"/>
              <w:right w:val="nil"/>
            </w:tcBorders>
          </w:tcPr>
          <w:p w14:paraId="68830E74"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Kruskal-Walls H</w:t>
            </w:r>
          </w:p>
        </w:tc>
        <w:tc>
          <w:tcPr>
            <w:tcW w:w="2127" w:type="dxa"/>
            <w:tcBorders>
              <w:left w:val="nil"/>
              <w:bottom w:val="nil"/>
              <w:right w:val="nil"/>
            </w:tcBorders>
          </w:tcPr>
          <w:p w14:paraId="06CE69BC" w14:textId="1A5D1734"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8,387</w:t>
            </w:r>
          </w:p>
        </w:tc>
        <w:tc>
          <w:tcPr>
            <w:tcW w:w="2268" w:type="dxa"/>
            <w:tcBorders>
              <w:left w:val="nil"/>
              <w:bottom w:val="nil"/>
              <w:right w:val="nil"/>
            </w:tcBorders>
          </w:tcPr>
          <w:p w14:paraId="37BB12DC" w14:textId="63185F7E"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4,504</w:t>
            </w:r>
          </w:p>
        </w:tc>
        <w:tc>
          <w:tcPr>
            <w:tcW w:w="2414" w:type="dxa"/>
            <w:tcBorders>
              <w:left w:val="nil"/>
              <w:bottom w:val="nil"/>
              <w:right w:val="nil"/>
            </w:tcBorders>
          </w:tcPr>
          <w:p w14:paraId="1ECF594A" w14:textId="025F1452"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87,919</w:t>
            </w:r>
          </w:p>
        </w:tc>
      </w:tr>
      <w:tr w:rsidR="002162FF" w:rsidRPr="00CD3086" w14:paraId="5B43A944" w14:textId="77777777" w:rsidTr="0016799D">
        <w:tc>
          <w:tcPr>
            <w:tcW w:w="2268" w:type="dxa"/>
            <w:tcBorders>
              <w:top w:val="nil"/>
              <w:left w:val="nil"/>
              <w:bottom w:val="nil"/>
              <w:right w:val="nil"/>
            </w:tcBorders>
          </w:tcPr>
          <w:p w14:paraId="2BCBE997"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proofErr w:type="spellStart"/>
            <w:r w:rsidRPr="00CD3086">
              <w:rPr>
                <w:rFonts w:ascii="Calibri" w:hAnsi="Calibri"/>
                <w:sz w:val="20"/>
                <w:szCs w:val="20"/>
              </w:rPr>
              <w:t>Df</w:t>
            </w:r>
            <w:proofErr w:type="spellEnd"/>
          </w:p>
        </w:tc>
        <w:tc>
          <w:tcPr>
            <w:tcW w:w="2127" w:type="dxa"/>
            <w:tcBorders>
              <w:top w:val="nil"/>
              <w:left w:val="nil"/>
              <w:bottom w:val="nil"/>
              <w:right w:val="nil"/>
            </w:tcBorders>
          </w:tcPr>
          <w:p w14:paraId="48CD07B8" w14:textId="1183C623"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3</w:t>
            </w:r>
          </w:p>
        </w:tc>
        <w:tc>
          <w:tcPr>
            <w:tcW w:w="2268" w:type="dxa"/>
            <w:tcBorders>
              <w:top w:val="nil"/>
              <w:left w:val="nil"/>
              <w:bottom w:val="nil"/>
              <w:right w:val="nil"/>
            </w:tcBorders>
          </w:tcPr>
          <w:p w14:paraId="7CADEAB8" w14:textId="003D32C3"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3</w:t>
            </w:r>
          </w:p>
        </w:tc>
        <w:tc>
          <w:tcPr>
            <w:tcW w:w="2414" w:type="dxa"/>
            <w:tcBorders>
              <w:top w:val="nil"/>
              <w:left w:val="nil"/>
              <w:bottom w:val="nil"/>
              <w:right w:val="nil"/>
            </w:tcBorders>
          </w:tcPr>
          <w:p w14:paraId="37127C9F" w14:textId="20663EEF"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3</w:t>
            </w:r>
          </w:p>
        </w:tc>
      </w:tr>
      <w:tr w:rsidR="002162FF" w:rsidRPr="00CD3086" w14:paraId="30F2E6F9" w14:textId="77777777" w:rsidTr="0016799D">
        <w:trPr>
          <w:trHeight w:val="277"/>
        </w:trPr>
        <w:tc>
          <w:tcPr>
            <w:tcW w:w="2268" w:type="dxa"/>
            <w:tcBorders>
              <w:top w:val="nil"/>
              <w:left w:val="nil"/>
              <w:right w:val="nil"/>
            </w:tcBorders>
          </w:tcPr>
          <w:p w14:paraId="4DC176CF" w14:textId="77777777"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w:t>
            </w:r>
          </w:p>
        </w:tc>
        <w:tc>
          <w:tcPr>
            <w:tcW w:w="2127" w:type="dxa"/>
            <w:tcBorders>
              <w:top w:val="nil"/>
              <w:left w:val="nil"/>
              <w:right w:val="nil"/>
            </w:tcBorders>
          </w:tcPr>
          <w:p w14:paraId="11F7CCA0" w14:textId="5C916A34"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,039</w:t>
            </w:r>
          </w:p>
        </w:tc>
        <w:tc>
          <w:tcPr>
            <w:tcW w:w="2268" w:type="dxa"/>
            <w:tcBorders>
              <w:top w:val="nil"/>
              <w:left w:val="nil"/>
              <w:right w:val="nil"/>
            </w:tcBorders>
          </w:tcPr>
          <w:p w14:paraId="6A71DF67" w14:textId="6656E8E1"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,212</w:t>
            </w:r>
          </w:p>
        </w:tc>
        <w:tc>
          <w:tcPr>
            <w:tcW w:w="2414" w:type="dxa"/>
            <w:tcBorders>
              <w:top w:val="nil"/>
              <w:left w:val="nil"/>
              <w:right w:val="nil"/>
            </w:tcBorders>
          </w:tcPr>
          <w:p w14:paraId="2D9464FC" w14:textId="41820605" w:rsidR="002162FF" w:rsidRPr="00CD3086" w:rsidRDefault="002162FF" w:rsidP="0016799D">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,000</w:t>
            </w:r>
          </w:p>
        </w:tc>
      </w:tr>
    </w:tbl>
    <w:p w14:paraId="42942CB4" w14:textId="7052D8DE" w:rsidR="002162FF" w:rsidRPr="00CD3086" w:rsidRDefault="002162FF" w:rsidP="002162FF">
      <w:pPr>
        <w:pStyle w:val="ListParagraph"/>
        <w:ind w:left="5670" w:firstLine="284"/>
        <w:jc w:val="both"/>
        <w:rPr>
          <w:sz w:val="20"/>
          <w:szCs w:val="20"/>
        </w:rPr>
      </w:pPr>
      <w:r w:rsidRPr="00CD3086">
        <w:rPr>
          <w:rFonts w:eastAsia="SimSun"/>
          <w:i/>
          <w:iCs/>
          <w:sz w:val="20"/>
          <w:szCs w:val="20"/>
          <w:lang w:val="en-US" w:eastAsia="zh-CN"/>
        </w:rPr>
        <w:t>Source: SPSS Version 26 Calculations</w:t>
      </w:r>
    </w:p>
    <w:bookmarkEnd w:id="15"/>
    <w:p w14:paraId="56A7C60A" w14:textId="33D3373A" w:rsidR="00AF42BD" w:rsidRPr="00A3151D" w:rsidRDefault="00AF42BD" w:rsidP="002C2746">
      <w:pPr>
        <w:spacing w:after="0" w:line="240" w:lineRule="auto"/>
        <w:ind w:firstLine="284"/>
        <w:jc w:val="both"/>
        <w:rPr>
          <w:rFonts w:asciiTheme="minorHAnsi" w:eastAsia="Times New Roman" w:hAnsiTheme="minorHAnsi" w:cstheme="minorHAnsi"/>
          <w:lang w:val="id-ID" w:eastAsia="id-ID"/>
        </w:rPr>
      </w:pPr>
      <w:proofErr w:type="spellStart"/>
      <w:r w:rsidRPr="00A3151D">
        <w:rPr>
          <w:rFonts w:asciiTheme="minorHAnsi" w:eastAsia="Times New Roman" w:hAnsiTheme="minorHAnsi" w:cstheme="minorHAnsi"/>
          <w:lang w:val="id-ID" w:eastAsia="id-ID"/>
        </w:rPr>
        <w:t>Based</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on</w:t>
      </w:r>
      <w:proofErr w:type="spellEnd"/>
      <w:r w:rsidRPr="00A3151D">
        <w:rPr>
          <w:rFonts w:asciiTheme="minorHAnsi" w:eastAsia="Times New Roman" w:hAnsiTheme="minorHAnsi" w:cstheme="minorHAnsi"/>
          <w:lang w:val="id-ID" w:eastAsia="id-ID"/>
        </w:rPr>
        <w:t xml:space="preserve"> </w:t>
      </w:r>
      <w:proofErr w:type="spellStart"/>
      <w:r w:rsidR="00595BCA" w:rsidRPr="00A3151D">
        <w:rPr>
          <w:rFonts w:asciiTheme="minorHAnsi" w:eastAsia="Times New Roman" w:hAnsiTheme="minorHAnsi" w:cstheme="minorHAnsi"/>
          <w:lang w:val="id-ID" w:eastAsia="id-ID"/>
        </w:rPr>
        <w:t>the</w:t>
      </w:r>
      <w:proofErr w:type="spellEnd"/>
      <w:r w:rsidR="00595BCA" w:rsidRPr="00A3151D">
        <w:rPr>
          <w:rFonts w:asciiTheme="minorHAnsi" w:eastAsia="Times New Roman" w:hAnsiTheme="minorHAnsi" w:cstheme="minorHAnsi"/>
          <w:lang w:val="id-ID" w:eastAsia="id-ID"/>
        </w:rPr>
        <w:t xml:space="preserve"> </w:t>
      </w:r>
      <w:proofErr w:type="spellStart"/>
      <w:r w:rsidR="00595BCA" w:rsidRPr="00A3151D">
        <w:rPr>
          <w:rFonts w:asciiTheme="minorHAnsi" w:eastAsia="Times New Roman" w:hAnsiTheme="minorHAnsi" w:cstheme="minorHAnsi"/>
          <w:lang w:val="id-ID" w:eastAsia="id-ID"/>
        </w:rPr>
        <w:t>t</w:t>
      </w:r>
      <w:r w:rsidRPr="00A3151D">
        <w:rPr>
          <w:rFonts w:asciiTheme="minorHAnsi" w:eastAsia="Times New Roman" w:hAnsiTheme="minorHAnsi" w:cstheme="minorHAnsi"/>
          <w:lang w:val="id-ID" w:eastAsia="id-ID"/>
        </w:rPr>
        <w:t>able</w:t>
      </w:r>
      <w:proofErr w:type="spellEnd"/>
      <w:r w:rsidRPr="00A3151D">
        <w:rPr>
          <w:rFonts w:asciiTheme="minorHAnsi" w:eastAsia="Times New Roman" w:hAnsiTheme="minorHAnsi" w:cstheme="minorHAnsi"/>
          <w:lang w:val="id-ID" w:eastAsia="id-ID"/>
        </w:rPr>
        <w:t xml:space="preserve"> 12,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asymp</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sig</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for</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self-efficacy</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variable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is</w:t>
      </w:r>
      <w:proofErr w:type="spellEnd"/>
      <w:r w:rsidRPr="00A3151D">
        <w:rPr>
          <w:rFonts w:asciiTheme="minorHAnsi" w:eastAsia="Times New Roman" w:hAnsiTheme="minorHAnsi" w:cstheme="minorHAnsi"/>
          <w:lang w:val="id-ID" w:eastAsia="id-ID"/>
        </w:rPr>
        <w:t xml:space="preserve"> 0.039 &lt; 0.05, </w:t>
      </w:r>
      <w:proofErr w:type="spellStart"/>
      <w:r w:rsidRPr="00A3151D">
        <w:rPr>
          <w:rFonts w:asciiTheme="minorHAnsi" w:eastAsia="Times New Roman" w:hAnsiTheme="minorHAnsi" w:cstheme="minorHAnsi"/>
          <w:lang w:val="id-ID" w:eastAsia="id-ID"/>
        </w:rPr>
        <w:t>and</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achievement</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index</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is</w:t>
      </w:r>
      <w:proofErr w:type="spellEnd"/>
      <w:r w:rsidRPr="00A3151D">
        <w:rPr>
          <w:rFonts w:asciiTheme="minorHAnsi" w:eastAsia="Times New Roman" w:hAnsiTheme="minorHAnsi" w:cstheme="minorHAnsi"/>
          <w:lang w:val="id-ID" w:eastAsia="id-ID"/>
        </w:rPr>
        <w:t xml:space="preserve"> 0.000 &lt; 0.05, </w:t>
      </w:r>
      <w:proofErr w:type="spellStart"/>
      <w:r w:rsidRPr="00A3151D">
        <w:rPr>
          <w:rFonts w:asciiTheme="minorHAnsi" w:eastAsia="Times New Roman" w:hAnsiTheme="minorHAnsi" w:cstheme="minorHAnsi"/>
          <w:lang w:val="id-ID" w:eastAsia="id-ID"/>
        </w:rPr>
        <w:t>which</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shows</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that</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there</w:t>
      </w:r>
      <w:proofErr w:type="spellEnd"/>
      <w:r w:rsidRPr="00A3151D">
        <w:rPr>
          <w:rFonts w:asciiTheme="minorHAnsi" w:eastAsia="Times New Roman" w:hAnsiTheme="minorHAnsi" w:cstheme="minorHAnsi"/>
          <w:lang w:val="id-ID" w:eastAsia="id-ID"/>
        </w:rPr>
        <w:t xml:space="preserve"> are </w:t>
      </w:r>
      <w:proofErr w:type="spellStart"/>
      <w:r w:rsidRPr="00A3151D">
        <w:rPr>
          <w:rFonts w:asciiTheme="minorHAnsi" w:eastAsia="Times New Roman" w:hAnsiTheme="minorHAnsi" w:cstheme="minorHAnsi"/>
          <w:lang w:val="id-ID" w:eastAsia="id-ID"/>
        </w:rPr>
        <w:t>differences</w:t>
      </w:r>
      <w:proofErr w:type="spellEnd"/>
      <w:r w:rsidRPr="00A3151D">
        <w:rPr>
          <w:rFonts w:asciiTheme="minorHAnsi" w:eastAsia="Times New Roman" w:hAnsiTheme="minorHAnsi" w:cstheme="minorHAnsi"/>
          <w:lang w:val="id-ID" w:eastAsia="id-ID"/>
        </w:rPr>
        <w:t xml:space="preserve"> in </w:t>
      </w:r>
      <w:proofErr w:type="spellStart"/>
      <w:r w:rsidRPr="00A3151D">
        <w:rPr>
          <w:rFonts w:asciiTheme="minorHAnsi" w:eastAsia="Times New Roman" w:hAnsiTheme="minorHAnsi" w:cstheme="minorHAnsi"/>
          <w:lang w:val="id-ID" w:eastAsia="id-ID"/>
        </w:rPr>
        <w:t>self-efficacy</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and</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achievement</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index</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between</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students</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from</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classes</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of</w:t>
      </w:r>
      <w:proofErr w:type="spellEnd"/>
      <w:r w:rsidRPr="00A3151D">
        <w:rPr>
          <w:rFonts w:asciiTheme="minorHAnsi" w:eastAsia="Times New Roman" w:hAnsiTheme="minorHAnsi" w:cstheme="minorHAnsi"/>
          <w:lang w:val="id-ID" w:eastAsia="id-ID"/>
        </w:rPr>
        <w:t xml:space="preserve"> 2020, 2021, 2022, </w:t>
      </w:r>
      <w:proofErr w:type="spellStart"/>
      <w:r w:rsidRPr="00A3151D">
        <w:rPr>
          <w:rFonts w:asciiTheme="minorHAnsi" w:eastAsia="Times New Roman" w:hAnsiTheme="minorHAnsi" w:cstheme="minorHAnsi"/>
          <w:lang w:val="id-ID" w:eastAsia="id-ID"/>
        </w:rPr>
        <w:t>and</w:t>
      </w:r>
      <w:proofErr w:type="spellEnd"/>
      <w:r w:rsidRPr="00A3151D">
        <w:rPr>
          <w:rFonts w:asciiTheme="minorHAnsi" w:eastAsia="Times New Roman" w:hAnsiTheme="minorHAnsi" w:cstheme="minorHAnsi"/>
          <w:lang w:val="id-ID" w:eastAsia="id-ID"/>
        </w:rPr>
        <w:t xml:space="preserve"> 2023 </w:t>
      </w:r>
      <w:proofErr w:type="spellStart"/>
      <w:r w:rsidRPr="00A3151D">
        <w:rPr>
          <w:rFonts w:asciiTheme="minorHAnsi" w:eastAsia="Times New Roman" w:hAnsiTheme="minorHAnsi" w:cstheme="minorHAnsi"/>
          <w:lang w:val="id-ID" w:eastAsia="id-ID"/>
        </w:rPr>
        <w:t>that</w:t>
      </w:r>
      <w:proofErr w:type="spellEnd"/>
      <w:r w:rsidRPr="00A3151D">
        <w:rPr>
          <w:rFonts w:asciiTheme="minorHAnsi" w:eastAsia="Times New Roman" w:hAnsiTheme="minorHAnsi" w:cstheme="minorHAnsi"/>
          <w:lang w:val="id-ID" w:eastAsia="id-ID"/>
        </w:rPr>
        <w:t xml:space="preserve"> are </w:t>
      </w:r>
      <w:proofErr w:type="spellStart"/>
      <w:r w:rsidRPr="00A3151D">
        <w:rPr>
          <w:rFonts w:asciiTheme="minorHAnsi" w:eastAsia="Times New Roman" w:hAnsiTheme="minorHAnsi" w:cstheme="minorHAnsi"/>
          <w:lang w:val="id-ID" w:eastAsia="id-ID"/>
        </w:rPr>
        <w:t>measured</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simultaneously</w:t>
      </w:r>
      <w:proofErr w:type="spellEnd"/>
      <w:r w:rsidRPr="00A3151D">
        <w:rPr>
          <w:rFonts w:asciiTheme="minorHAnsi" w:eastAsia="Times New Roman" w:hAnsiTheme="minorHAnsi" w:cstheme="minorHAnsi"/>
          <w:lang w:val="id-ID" w:eastAsia="id-ID"/>
        </w:rPr>
        <w:t xml:space="preserve">. As </w:t>
      </w:r>
      <w:proofErr w:type="spellStart"/>
      <w:r w:rsidRPr="00A3151D">
        <w:rPr>
          <w:rFonts w:asciiTheme="minorHAnsi" w:eastAsia="Times New Roman" w:hAnsiTheme="minorHAnsi" w:cstheme="minorHAnsi"/>
          <w:lang w:val="id-ID" w:eastAsia="id-ID"/>
        </w:rPr>
        <w:t>for</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asymp</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sig</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value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for</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self-management</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variable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is</w:t>
      </w:r>
      <w:proofErr w:type="spellEnd"/>
      <w:r w:rsidRPr="00A3151D">
        <w:rPr>
          <w:rFonts w:asciiTheme="minorHAnsi" w:eastAsia="Times New Roman" w:hAnsiTheme="minorHAnsi" w:cstheme="minorHAnsi"/>
          <w:lang w:val="id-ID" w:eastAsia="id-ID"/>
        </w:rPr>
        <w:t xml:space="preserve"> 0.212 &gt; 0.05, </w:t>
      </w:r>
      <w:proofErr w:type="spellStart"/>
      <w:r w:rsidRPr="00A3151D">
        <w:rPr>
          <w:rFonts w:asciiTheme="minorHAnsi" w:eastAsia="Times New Roman" w:hAnsiTheme="minorHAnsi" w:cstheme="minorHAnsi"/>
          <w:lang w:val="id-ID" w:eastAsia="id-ID"/>
        </w:rPr>
        <w:t>indicating</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no</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difference</w:t>
      </w:r>
      <w:proofErr w:type="spellEnd"/>
      <w:r w:rsidRPr="00A3151D">
        <w:rPr>
          <w:rFonts w:asciiTheme="minorHAnsi" w:eastAsia="Times New Roman" w:hAnsiTheme="minorHAnsi" w:cstheme="minorHAnsi"/>
          <w:lang w:val="id-ID" w:eastAsia="id-ID"/>
        </w:rPr>
        <w:t xml:space="preserve"> in </w:t>
      </w:r>
      <w:proofErr w:type="spellStart"/>
      <w:r w:rsidRPr="00A3151D">
        <w:rPr>
          <w:rFonts w:asciiTheme="minorHAnsi" w:eastAsia="Times New Roman" w:hAnsiTheme="minorHAnsi" w:cstheme="minorHAnsi"/>
          <w:lang w:val="id-ID" w:eastAsia="id-ID"/>
        </w:rPr>
        <w:t>self-management</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between</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students</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from</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the</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classes</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of</w:t>
      </w:r>
      <w:proofErr w:type="spellEnd"/>
      <w:r w:rsidRPr="00A3151D">
        <w:rPr>
          <w:rFonts w:asciiTheme="minorHAnsi" w:eastAsia="Times New Roman" w:hAnsiTheme="minorHAnsi" w:cstheme="minorHAnsi"/>
          <w:lang w:val="id-ID" w:eastAsia="id-ID"/>
        </w:rPr>
        <w:t xml:space="preserve"> 2020, 2021, 2022, </w:t>
      </w:r>
      <w:proofErr w:type="spellStart"/>
      <w:r w:rsidRPr="00A3151D">
        <w:rPr>
          <w:rFonts w:asciiTheme="minorHAnsi" w:eastAsia="Times New Roman" w:hAnsiTheme="minorHAnsi" w:cstheme="minorHAnsi"/>
          <w:lang w:val="id-ID" w:eastAsia="id-ID"/>
        </w:rPr>
        <w:t>and</w:t>
      </w:r>
      <w:proofErr w:type="spellEnd"/>
      <w:r w:rsidRPr="00A3151D">
        <w:rPr>
          <w:rFonts w:asciiTheme="minorHAnsi" w:eastAsia="Times New Roman" w:hAnsiTheme="minorHAnsi" w:cstheme="minorHAnsi"/>
          <w:lang w:val="id-ID" w:eastAsia="id-ID"/>
        </w:rPr>
        <w:t xml:space="preserve"> 2023 </w:t>
      </w:r>
      <w:proofErr w:type="spellStart"/>
      <w:r w:rsidRPr="00A3151D">
        <w:rPr>
          <w:rFonts w:asciiTheme="minorHAnsi" w:eastAsia="Times New Roman" w:hAnsiTheme="minorHAnsi" w:cstheme="minorHAnsi"/>
          <w:lang w:val="id-ID" w:eastAsia="id-ID"/>
        </w:rPr>
        <w:t>who</w:t>
      </w:r>
      <w:proofErr w:type="spellEnd"/>
      <w:r w:rsidRPr="00A3151D">
        <w:rPr>
          <w:rFonts w:asciiTheme="minorHAnsi" w:eastAsia="Times New Roman" w:hAnsiTheme="minorHAnsi" w:cstheme="minorHAnsi"/>
          <w:lang w:val="id-ID" w:eastAsia="id-ID"/>
        </w:rPr>
        <w:t xml:space="preserve"> were </w:t>
      </w:r>
      <w:proofErr w:type="spellStart"/>
      <w:r w:rsidRPr="00A3151D">
        <w:rPr>
          <w:rFonts w:asciiTheme="minorHAnsi" w:eastAsia="Times New Roman" w:hAnsiTheme="minorHAnsi" w:cstheme="minorHAnsi"/>
          <w:lang w:val="id-ID" w:eastAsia="id-ID"/>
        </w:rPr>
        <w:t>measured</w:t>
      </w:r>
      <w:proofErr w:type="spellEnd"/>
      <w:r w:rsidRPr="00A3151D">
        <w:rPr>
          <w:rFonts w:asciiTheme="minorHAnsi" w:eastAsia="Times New Roman" w:hAnsiTheme="minorHAnsi" w:cstheme="minorHAnsi"/>
          <w:lang w:val="id-ID" w:eastAsia="id-ID"/>
        </w:rPr>
        <w:t xml:space="preserve"> </w:t>
      </w:r>
      <w:proofErr w:type="spellStart"/>
      <w:r w:rsidRPr="00A3151D">
        <w:rPr>
          <w:rFonts w:asciiTheme="minorHAnsi" w:eastAsia="Times New Roman" w:hAnsiTheme="minorHAnsi" w:cstheme="minorHAnsi"/>
          <w:lang w:val="id-ID" w:eastAsia="id-ID"/>
        </w:rPr>
        <w:t>simultaneously</w:t>
      </w:r>
      <w:proofErr w:type="spellEnd"/>
      <w:r w:rsidRPr="00A3151D">
        <w:rPr>
          <w:rFonts w:asciiTheme="minorHAnsi" w:eastAsia="Times New Roman" w:hAnsiTheme="minorHAnsi" w:cstheme="minorHAnsi"/>
          <w:lang w:val="id-ID" w:eastAsia="id-ID"/>
        </w:rPr>
        <w:t>.</w:t>
      </w:r>
    </w:p>
    <w:p w14:paraId="6F746A95" w14:textId="77777777" w:rsidR="00AF42BD" w:rsidRDefault="00AF42BD" w:rsidP="001354B8">
      <w:pPr>
        <w:spacing w:after="0" w:line="240" w:lineRule="auto"/>
        <w:jc w:val="both"/>
        <w:rPr>
          <w:rFonts w:ascii="Times New Roman" w:eastAsia="Times New Roman" w:hAnsi="Times New Roman" w:cs="Times New Roman"/>
          <w:lang w:val="id-ID" w:eastAsia="id-ID"/>
        </w:rPr>
      </w:pPr>
    </w:p>
    <w:p w14:paraId="5DCA1D9E" w14:textId="4195937A" w:rsidR="006330F5" w:rsidRDefault="0035592B" w:rsidP="00667035">
      <w:pPr>
        <w:spacing w:after="80" w:line="240" w:lineRule="auto"/>
        <w:ind w:left="426" w:hanging="426"/>
        <w:jc w:val="both"/>
        <w:rPr>
          <w:b/>
          <w:lang w:val="en-US"/>
        </w:rPr>
      </w:pPr>
      <w:bookmarkStart w:id="16" w:name="_Hlk162866014"/>
      <w:r>
        <w:rPr>
          <w:b/>
          <w:lang w:val="en-US"/>
        </w:rPr>
        <w:t xml:space="preserve">4.4. </w:t>
      </w:r>
      <w:r w:rsidRPr="0035592B">
        <w:rPr>
          <w:b/>
          <w:lang w:val="en-US"/>
        </w:rPr>
        <w:t>Differences in Self-Efficacy, Self-Management, and Student Achievement Index Based on Student Statu</w:t>
      </w:r>
      <w:r>
        <w:rPr>
          <w:b/>
          <w:lang w:val="en-US"/>
        </w:rPr>
        <w:t>s</w:t>
      </w:r>
    </w:p>
    <w:bookmarkEnd w:id="16"/>
    <w:p w14:paraId="08807A3F" w14:textId="165CEC07" w:rsidR="007C558A" w:rsidRPr="0035592B" w:rsidRDefault="00FA0F77" w:rsidP="00667035">
      <w:pPr>
        <w:spacing w:after="0" w:line="240" w:lineRule="auto"/>
        <w:ind w:firstLine="284"/>
        <w:jc w:val="both"/>
        <w:rPr>
          <w:rFonts w:asciiTheme="minorHAnsi" w:eastAsia="Times New Roman" w:hAnsiTheme="minorHAnsi" w:cstheme="minorHAnsi"/>
          <w:lang w:val="id-ID" w:eastAsia="id-ID"/>
        </w:rPr>
      </w:pPr>
      <w:r w:rsidRPr="0035592B">
        <w:rPr>
          <w:rFonts w:asciiTheme="minorHAnsi" w:eastAsia="Times New Roman" w:hAnsiTheme="minorHAnsi" w:cstheme="minorHAnsi"/>
          <w:lang w:val="id-ID" w:eastAsia="id-ID"/>
        </w:rPr>
        <w:t xml:space="preserve">Testing </w:t>
      </w:r>
      <w:proofErr w:type="spellStart"/>
      <w:r w:rsidRPr="0035592B">
        <w:rPr>
          <w:rFonts w:asciiTheme="minorHAnsi" w:eastAsia="Times New Roman" w:hAnsiTheme="minorHAnsi" w:cstheme="minorHAnsi"/>
          <w:lang w:val="id-ID" w:eastAsia="id-ID"/>
        </w:rPr>
        <w:t>differences</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student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self-efficacy</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self-management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achievement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index</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based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w:t>
      </w:r>
      <w:proofErr w:type="spellEnd"/>
      <w:r w:rsidRPr="0035592B">
        <w:rPr>
          <w:rFonts w:asciiTheme="minorHAnsi" w:eastAsia="Times New Roman" w:hAnsiTheme="minorHAnsi" w:cstheme="minorHAnsi"/>
          <w:lang w:val="id-ID" w:eastAsia="id-ID"/>
        </w:rPr>
        <w:t xml:space="preserve"> status </w:t>
      </w:r>
      <w:proofErr w:type="spellStart"/>
      <w:r w:rsidRPr="0035592B">
        <w:rPr>
          <w:rFonts w:asciiTheme="minorHAnsi" w:eastAsia="Times New Roman" w:hAnsiTheme="minorHAnsi" w:cstheme="minorHAnsi"/>
          <w:lang w:val="id-ID" w:eastAsia="id-ID"/>
        </w:rPr>
        <w:t>was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conducted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using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Kruskal-Walls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test</w:t>
      </w:r>
      <w:proofErr w:type="spellEnd"/>
      <w:r w:rsidRPr="0035592B">
        <w:rPr>
          <w:rFonts w:asciiTheme="minorHAnsi" w:eastAsia="Times New Roman" w:hAnsiTheme="minorHAnsi" w:cstheme="minorHAnsi"/>
          <w:lang w:val="id-ID" w:eastAsia="id-ID"/>
        </w:rPr>
        <w:t xml:space="preserve">. The </w:t>
      </w:r>
      <w:proofErr w:type="spellStart"/>
      <w:r w:rsidRPr="0035592B">
        <w:rPr>
          <w:rFonts w:asciiTheme="minorHAnsi" w:eastAsia="Times New Roman" w:hAnsiTheme="minorHAnsi" w:cstheme="minorHAnsi"/>
          <w:lang w:val="id-ID" w:eastAsia="id-ID"/>
        </w:rPr>
        <w:t>Kruskal-Walls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test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was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used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to</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gather</w:t>
      </w:r>
      <w:proofErr w:type="spellEnd"/>
      <w:r w:rsidRPr="0035592B">
        <w:rPr>
          <w:rFonts w:asciiTheme="minorHAnsi" w:eastAsia="Times New Roman" w:hAnsiTheme="minorHAnsi" w:cstheme="minorHAnsi"/>
          <w:lang w:val="id-ID" w:eastAsia="id-ID"/>
        </w:rPr>
        <w:t xml:space="preserve"> data </w:t>
      </w:r>
      <w:proofErr w:type="spellStart"/>
      <w:r w:rsidRPr="0035592B">
        <w:rPr>
          <w:rFonts w:asciiTheme="minorHAnsi" w:eastAsia="Times New Roman" w:hAnsiTheme="minorHAnsi" w:cstheme="minorHAnsi"/>
          <w:lang w:val="id-ID" w:eastAsia="id-ID"/>
        </w:rPr>
        <w:t>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differences</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student</w:t>
      </w:r>
      <w:proofErr w:type="spellEnd"/>
      <w:r w:rsidRPr="0035592B">
        <w:rPr>
          <w:rFonts w:asciiTheme="minorHAnsi" w:eastAsia="Times New Roman" w:hAnsiTheme="minorHAnsi" w:cstheme="minorHAnsi"/>
          <w:lang w:val="id-ID" w:eastAsia="id-ID"/>
        </w:rPr>
        <w:t xml:space="preserve"> status. The </w:t>
      </w:r>
      <w:proofErr w:type="spellStart"/>
      <w:r w:rsidRPr="0035592B">
        <w:rPr>
          <w:rFonts w:asciiTheme="minorHAnsi" w:eastAsia="Times New Roman" w:hAnsiTheme="minorHAnsi" w:cstheme="minorHAnsi"/>
          <w:lang w:val="id-ID" w:eastAsia="id-ID"/>
        </w:rPr>
        <w:t>student</w:t>
      </w:r>
      <w:proofErr w:type="spellEnd"/>
      <w:r w:rsidRPr="0035592B">
        <w:rPr>
          <w:rFonts w:asciiTheme="minorHAnsi" w:eastAsia="Times New Roman" w:hAnsiTheme="minorHAnsi" w:cstheme="minorHAnsi"/>
          <w:lang w:val="id-ID" w:eastAsia="id-ID"/>
        </w:rPr>
        <w:t xml:space="preserve"> status in </w:t>
      </w:r>
      <w:proofErr w:type="spellStart"/>
      <w:r w:rsidRPr="0035592B">
        <w:rPr>
          <w:rFonts w:asciiTheme="minorHAnsi" w:eastAsia="Times New Roman" w:hAnsiTheme="minorHAnsi" w:cstheme="minorHAnsi"/>
          <w:lang w:val="id-ID" w:eastAsia="id-ID"/>
        </w:rPr>
        <w:t>question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consists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8 </w:t>
      </w:r>
      <w:proofErr w:type="spellStart"/>
      <w:r w:rsidRPr="0035592B">
        <w:rPr>
          <w:rFonts w:asciiTheme="minorHAnsi" w:eastAsia="Times New Roman" w:hAnsiTheme="minorHAnsi" w:cstheme="minorHAnsi"/>
          <w:lang w:val="id-ID" w:eastAsia="id-ID"/>
        </w:rPr>
        <w:t>groups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including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all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none.</w:t>
      </w:r>
    </w:p>
    <w:p w14:paraId="2D0AB2EF" w14:textId="73B8A4A2" w:rsidR="000055F4" w:rsidRPr="00CD3086" w:rsidRDefault="000055F4" w:rsidP="00E44396">
      <w:pPr>
        <w:spacing w:before="100" w:beforeAutospacing="1" w:after="0" w:line="240" w:lineRule="auto"/>
        <w:jc w:val="center"/>
        <w:rPr>
          <w:rFonts w:eastAsia="Times New Roman"/>
          <w:sz w:val="20"/>
          <w:szCs w:val="20"/>
          <w:lang w:val="id-ID" w:eastAsia="id-ID"/>
        </w:rPr>
      </w:pPr>
      <w:proofErr w:type="spellStart"/>
      <w:r w:rsidRPr="00CD3086">
        <w:rPr>
          <w:rFonts w:eastAsia="Times New Roman"/>
          <w:b/>
          <w:bCs/>
          <w:sz w:val="20"/>
          <w:szCs w:val="20"/>
          <w:lang w:val="id-ID" w:eastAsia="id-ID"/>
        </w:rPr>
        <w:t>Table</w:t>
      </w:r>
      <w:proofErr w:type="spellEnd"/>
      <w:r w:rsidRPr="00CD3086">
        <w:rPr>
          <w:rFonts w:eastAsia="Times New Roman"/>
          <w:b/>
          <w:bCs/>
          <w:sz w:val="20"/>
          <w:szCs w:val="20"/>
          <w:lang w:val="id-ID" w:eastAsia="id-ID"/>
        </w:rPr>
        <w:t xml:space="preserve"> 13.</w:t>
      </w:r>
      <w:r w:rsidRPr="00CD3086">
        <w:rPr>
          <w:rFonts w:eastAsia="Times New Roman"/>
          <w:sz w:val="20"/>
          <w:szCs w:val="20"/>
          <w:lang w:val="id-ID" w:eastAsia="id-ID"/>
        </w:rPr>
        <w:t xml:space="preserve"> </w:t>
      </w:r>
      <w:proofErr w:type="spellStart"/>
      <w:r w:rsidR="00E44396" w:rsidRPr="00CD3086">
        <w:rPr>
          <w:rFonts w:eastAsia="Times New Roman"/>
          <w:sz w:val="20"/>
          <w:szCs w:val="20"/>
          <w:lang w:val="id-ID" w:eastAsia="id-ID"/>
        </w:rPr>
        <w:t>Kruskal-Walls</w:t>
      </w:r>
      <w:proofErr w:type="spellEnd"/>
      <w:r w:rsidR="00E44396" w:rsidRPr="00CD3086">
        <w:rPr>
          <w:rFonts w:eastAsia="Times New Roman"/>
          <w:sz w:val="20"/>
          <w:szCs w:val="20"/>
          <w:lang w:val="id-ID" w:eastAsia="id-ID"/>
        </w:rPr>
        <w:t xml:space="preserve"> </w:t>
      </w:r>
      <w:proofErr w:type="spellStart"/>
      <w:r w:rsidR="00E44396" w:rsidRPr="00CD3086">
        <w:rPr>
          <w:rFonts w:eastAsia="Times New Roman"/>
          <w:sz w:val="20"/>
          <w:szCs w:val="20"/>
          <w:lang w:val="id-ID" w:eastAsia="id-ID"/>
        </w:rPr>
        <w:t>Test</w:t>
      </w:r>
      <w:proofErr w:type="spellEnd"/>
      <w:r w:rsidR="00E44396" w:rsidRPr="00CD3086">
        <w:rPr>
          <w:rFonts w:eastAsia="Times New Roman"/>
          <w:sz w:val="20"/>
          <w:szCs w:val="20"/>
          <w:lang w:val="id-ID" w:eastAsia="id-ID"/>
        </w:rPr>
        <w:t xml:space="preserve"> </w:t>
      </w:r>
      <w:proofErr w:type="spellStart"/>
      <w:r w:rsidR="00E44396" w:rsidRPr="00CD3086">
        <w:rPr>
          <w:rFonts w:eastAsia="Times New Roman"/>
          <w:sz w:val="20"/>
          <w:szCs w:val="20"/>
          <w:lang w:val="id-ID" w:eastAsia="id-ID"/>
        </w:rPr>
        <w:t>Results</w:t>
      </w:r>
      <w:proofErr w:type="spellEnd"/>
      <w:r w:rsidR="00E44396" w:rsidRPr="00CD3086">
        <w:rPr>
          <w:rFonts w:eastAsia="Times New Roman"/>
          <w:sz w:val="20"/>
          <w:szCs w:val="20"/>
          <w:lang w:val="id-ID" w:eastAsia="id-ID"/>
        </w:rPr>
        <w:t xml:space="preserve"> </w:t>
      </w:r>
      <w:proofErr w:type="spellStart"/>
      <w:r w:rsidR="00E44396" w:rsidRPr="00CD3086">
        <w:rPr>
          <w:rFonts w:eastAsia="Times New Roman"/>
          <w:sz w:val="20"/>
          <w:szCs w:val="20"/>
          <w:lang w:val="id-ID" w:eastAsia="id-ID"/>
        </w:rPr>
        <w:t>on</w:t>
      </w:r>
      <w:proofErr w:type="spellEnd"/>
      <w:r w:rsidR="00E44396" w:rsidRPr="00CD3086">
        <w:rPr>
          <w:rFonts w:eastAsia="Times New Roman"/>
          <w:sz w:val="20"/>
          <w:szCs w:val="20"/>
          <w:lang w:val="id-ID" w:eastAsia="id-ID"/>
        </w:rPr>
        <w:t xml:space="preserve"> </w:t>
      </w:r>
      <w:proofErr w:type="spellStart"/>
      <w:r w:rsidR="00E44396" w:rsidRPr="00CD3086">
        <w:rPr>
          <w:rFonts w:eastAsia="Times New Roman"/>
          <w:sz w:val="20"/>
          <w:szCs w:val="20"/>
          <w:lang w:val="id-ID" w:eastAsia="id-ID"/>
        </w:rPr>
        <w:t>Student</w:t>
      </w:r>
      <w:proofErr w:type="spellEnd"/>
      <w:r w:rsidR="00E44396" w:rsidRPr="00CD3086">
        <w:rPr>
          <w:rFonts w:eastAsia="Times New Roman"/>
          <w:sz w:val="20"/>
          <w:szCs w:val="20"/>
          <w:lang w:val="id-ID" w:eastAsia="id-ID"/>
        </w:rPr>
        <w:t xml:space="preserve"> Status</w:t>
      </w:r>
    </w:p>
    <w:tbl>
      <w:tblPr>
        <w:tblStyle w:val="TableGrid"/>
        <w:tblW w:w="9077" w:type="dxa"/>
        <w:tblInd w:w="-10" w:type="dxa"/>
        <w:tblLook w:val="04A0" w:firstRow="1" w:lastRow="0" w:firstColumn="1" w:lastColumn="0" w:noHBand="0" w:noVBand="1"/>
      </w:tblPr>
      <w:tblGrid>
        <w:gridCol w:w="2268"/>
        <w:gridCol w:w="2127"/>
        <w:gridCol w:w="2268"/>
        <w:gridCol w:w="2414"/>
      </w:tblGrid>
      <w:tr w:rsidR="0035592B" w:rsidRPr="00CD3086" w14:paraId="2BE6350D" w14:textId="77777777" w:rsidTr="0035592B">
        <w:tc>
          <w:tcPr>
            <w:tcW w:w="2268" w:type="dxa"/>
            <w:tcBorders>
              <w:left w:val="nil"/>
              <w:bottom w:val="single" w:sz="4" w:space="0" w:color="auto"/>
              <w:right w:val="nil"/>
            </w:tcBorders>
          </w:tcPr>
          <w:p w14:paraId="7F08B6EE" w14:textId="7F00A7BC" w:rsidR="0035592B" w:rsidRPr="00CD3086" w:rsidRDefault="002162FF" w:rsidP="00E90A6E">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Testing</w:t>
            </w:r>
          </w:p>
        </w:tc>
        <w:tc>
          <w:tcPr>
            <w:tcW w:w="2127" w:type="dxa"/>
            <w:tcBorders>
              <w:left w:val="nil"/>
              <w:bottom w:val="single" w:sz="4" w:space="0" w:color="auto"/>
              <w:right w:val="nil"/>
            </w:tcBorders>
          </w:tcPr>
          <w:p w14:paraId="0C5EC452"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Self-Efficacy</w:t>
            </w:r>
          </w:p>
        </w:tc>
        <w:tc>
          <w:tcPr>
            <w:tcW w:w="2268" w:type="dxa"/>
            <w:tcBorders>
              <w:left w:val="nil"/>
              <w:bottom w:val="single" w:sz="4" w:space="0" w:color="auto"/>
              <w:right w:val="nil"/>
            </w:tcBorders>
          </w:tcPr>
          <w:p w14:paraId="2A9E3B02"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 xml:space="preserve">Self-Management </w:t>
            </w:r>
          </w:p>
        </w:tc>
        <w:tc>
          <w:tcPr>
            <w:tcW w:w="2414" w:type="dxa"/>
            <w:tcBorders>
              <w:left w:val="nil"/>
              <w:bottom w:val="single" w:sz="4" w:space="0" w:color="auto"/>
              <w:right w:val="nil"/>
            </w:tcBorders>
          </w:tcPr>
          <w:p w14:paraId="134A7E91"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b/>
                <w:bCs/>
                <w:sz w:val="20"/>
                <w:szCs w:val="20"/>
              </w:rPr>
            </w:pPr>
            <w:r w:rsidRPr="00CD3086">
              <w:rPr>
                <w:rFonts w:ascii="Calibri" w:hAnsi="Calibri"/>
                <w:b/>
                <w:bCs/>
                <w:sz w:val="20"/>
                <w:szCs w:val="20"/>
              </w:rPr>
              <w:t>Achievement Index</w:t>
            </w:r>
          </w:p>
        </w:tc>
      </w:tr>
      <w:tr w:rsidR="0035592B" w:rsidRPr="00CD3086" w14:paraId="4E1403FD" w14:textId="77777777" w:rsidTr="0035592B">
        <w:tc>
          <w:tcPr>
            <w:tcW w:w="2268" w:type="dxa"/>
            <w:tcBorders>
              <w:left w:val="nil"/>
              <w:bottom w:val="nil"/>
              <w:right w:val="nil"/>
            </w:tcBorders>
          </w:tcPr>
          <w:p w14:paraId="398E0C4A"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Kruskal-Walls H</w:t>
            </w:r>
          </w:p>
        </w:tc>
        <w:tc>
          <w:tcPr>
            <w:tcW w:w="2127" w:type="dxa"/>
            <w:tcBorders>
              <w:left w:val="nil"/>
              <w:bottom w:val="nil"/>
              <w:right w:val="nil"/>
            </w:tcBorders>
          </w:tcPr>
          <w:p w14:paraId="197A4130" w14:textId="4B541559"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12,040</w:t>
            </w:r>
          </w:p>
        </w:tc>
        <w:tc>
          <w:tcPr>
            <w:tcW w:w="2268" w:type="dxa"/>
            <w:tcBorders>
              <w:left w:val="nil"/>
              <w:bottom w:val="nil"/>
              <w:right w:val="nil"/>
            </w:tcBorders>
          </w:tcPr>
          <w:p w14:paraId="02237ACD" w14:textId="724BB508"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7,828</w:t>
            </w:r>
          </w:p>
        </w:tc>
        <w:tc>
          <w:tcPr>
            <w:tcW w:w="2414" w:type="dxa"/>
            <w:tcBorders>
              <w:left w:val="nil"/>
              <w:bottom w:val="nil"/>
              <w:right w:val="nil"/>
            </w:tcBorders>
          </w:tcPr>
          <w:p w14:paraId="262AABF8" w14:textId="058F91CC"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5,604</w:t>
            </w:r>
          </w:p>
        </w:tc>
      </w:tr>
      <w:tr w:rsidR="0035592B" w:rsidRPr="00CD3086" w14:paraId="71489014" w14:textId="77777777" w:rsidTr="0035592B">
        <w:tc>
          <w:tcPr>
            <w:tcW w:w="2268" w:type="dxa"/>
            <w:tcBorders>
              <w:top w:val="nil"/>
              <w:left w:val="nil"/>
              <w:bottom w:val="nil"/>
              <w:right w:val="nil"/>
            </w:tcBorders>
          </w:tcPr>
          <w:p w14:paraId="70E9E8E8"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proofErr w:type="spellStart"/>
            <w:r w:rsidRPr="00CD3086">
              <w:rPr>
                <w:rFonts w:ascii="Calibri" w:hAnsi="Calibri"/>
                <w:sz w:val="20"/>
                <w:szCs w:val="20"/>
              </w:rPr>
              <w:t>Df</w:t>
            </w:r>
            <w:proofErr w:type="spellEnd"/>
          </w:p>
        </w:tc>
        <w:tc>
          <w:tcPr>
            <w:tcW w:w="2127" w:type="dxa"/>
            <w:tcBorders>
              <w:top w:val="nil"/>
              <w:left w:val="nil"/>
              <w:bottom w:val="nil"/>
              <w:right w:val="nil"/>
            </w:tcBorders>
          </w:tcPr>
          <w:p w14:paraId="589910FA" w14:textId="3D3BD420"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7</w:t>
            </w:r>
          </w:p>
        </w:tc>
        <w:tc>
          <w:tcPr>
            <w:tcW w:w="2268" w:type="dxa"/>
            <w:tcBorders>
              <w:top w:val="nil"/>
              <w:left w:val="nil"/>
              <w:bottom w:val="nil"/>
              <w:right w:val="nil"/>
            </w:tcBorders>
          </w:tcPr>
          <w:p w14:paraId="032D3B0A" w14:textId="352BC6F5"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7</w:t>
            </w:r>
          </w:p>
        </w:tc>
        <w:tc>
          <w:tcPr>
            <w:tcW w:w="2414" w:type="dxa"/>
            <w:tcBorders>
              <w:top w:val="nil"/>
              <w:left w:val="nil"/>
              <w:bottom w:val="nil"/>
              <w:right w:val="nil"/>
            </w:tcBorders>
          </w:tcPr>
          <w:p w14:paraId="793E978A" w14:textId="024B2D8B"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7</w:t>
            </w:r>
          </w:p>
        </w:tc>
      </w:tr>
      <w:tr w:rsidR="0035592B" w:rsidRPr="00CD3086" w14:paraId="1AF45DB0" w14:textId="77777777" w:rsidTr="0035592B">
        <w:trPr>
          <w:trHeight w:val="277"/>
        </w:trPr>
        <w:tc>
          <w:tcPr>
            <w:tcW w:w="2268" w:type="dxa"/>
            <w:tcBorders>
              <w:top w:val="nil"/>
              <w:left w:val="nil"/>
              <w:right w:val="nil"/>
            </w:tcBorders>
          </w:tcPr>
          <w:p w14:paraId="07CC4548" w14:textId="77777777"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proofErr w:type="spellStart"/>
            <w:r w:rsidRPr="00CD3086">
              <w:rPr>
                <w:rFonts w:ascii="Calibri" w:hAnsi="Calibri"/>
                <w:sz w:val="20"/>
                <w:szCs w:val="20"/>
              </w:rPr>
              <w:t>Asymp</w:t>
            </w:r>
            <w:proofErr w:type="spellEnd"/>
            <w:r w:rsidRPr="00CD3086">
              <w:rPr>
                <w:rFonts w:ascii="Calibri" w:hAnsi="Calibri"/>
                <w:sz w:val="20"/>
                <w:szCs w:val="20"/>
              </w:rPr>
              <w:t>. Sig</w:t>
            </w:r>
          </w:p>
        </w:tc>
        <w:tc>
          <w:tcPr>
            <w:tcW w:w="2127" w:type="dxa"/>
            <w:tcBorders>
              <w:top w:val="nil"/>
              <w:left w:val="nil"/>
              <w:right w:val="nil"/>
            </w:tcBorders>
          </w:tcPr>
          <w:p w14:paraId="428A91EE" w14:textId="351D030A"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,099</w:t>
            </w:r>
          </w:p>
        </w:tc>
        <w:tc>
          <w:tcPr>
            <w:tcW w:w="2268" w:type="dxa"/>
            <w:tcBorders>
              <w:top w:val="nil"/>
              <w:left w:val="nil"/>
              <w:right w:val="nil"/>
            </w:tcBorders>
          </w:tcPr>
          <w:p w14:paraId="590D28D5" w14:textId="4CE3CA84"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,348</w:t>
            </w:r>
          </w:p>
        </w:tc>
        <w:tc>
          <w:tcPr>
            <w:tcW w:w="2414" w:type="dxa"/>
            <w:tcBorders>
              <w:top w:val="nil"/>
              <w:left w:val="nil"/>
              <w:right w:val="nil"/>
            </w:tcBorders>
          </w:tcPr>
          <w:p w14:paraId="68E45742" w14:textId="52640BDB" w:rsidR="0035592B" w:rsidRPr="00CD3086" w:rsidRDefault="0035592B" w:rsidP="00E90A6E">
            <w:pPr>
              <w:pStyle w:val="ListParagraph"/>
              <w:autoSpaceDE w:val="0"/>
              <w:autoSpaceDN w:val="0"/>
              <w:adjustRightInd w:val="0"/>
              <w:spacing w:line="400" w:lineRule="atLeast"/>
              <w:ind w:left="0"/>
              <w:jc w:val="center"/>
              <w:rPr>
                <w:rFonts w:ascii="Calibri" w:hAnsi="Calibri"/>
                <w:sz w:val="20"/>
                <w:szCs w:val="20"/>
              </w:rPr>
            </w:pPr>
            <w:r w:rsidRPr="00CD3086">
              <w:rPr>
                <w:rFonts w:ascii="Calibri" w:hAnsi="Calibri"/>
                <w:sz w:val="20"/>
                <w:szCs w:val="20"/>
              </w:rPr>
              <w:t>,587</w:t>
            </w:r>
          </w:p>
        </w:tc>
      </w:tr>
    </w:tbl>
    <w:p w14:paraId="1E2335B8" w14:textId="61F75E05" w:rsidR="00840356" w:rsidRPr="00840356" w:rsidRDefault="00840356" w:rsidP="00840356">
      <w:pPr>
        <w:pStyle w:val="ListParagraph"/>
        <w:ind w:left="5670" w:firstLine="284"/>
        <w:jc w:val="both"/>
        <w:rPr>
          <w:rFonts w:ascii="Arno Pro" w:hAnsi="Arno Pro" w:cstheme="majorBidi"/>
        </w:rPr>
      </w:pPr>
      <w:r w:rsidRPr="00CD3086">
        <w:rPr>
          <w:rFonts w:eastAsia="SimSun"/>
          <w:i/>
          <w:iCs/>
          <w:sz w:val="20"/>
          <w:szCs w:val="20"/>
          <w:lang w:val="en-US" w:eastAsia="zh-CN"/>
        </w:rPr>
        <w:t>Source: SPSS Version 26 Calculations</w:t>
      </w:r>
    </w:p>
    <w:p w14:paraId="235DAE28" w14:textId="77777777" w:rsidR="0035592B" w:rsidRDefault="00FA0F77" w:rsidP="0035592B">
      <w:pPr>
        <w:spacing w:after="0" w:line="240" w:lineRule="auto"/>
        <w:ind w:firstLine="284"/>
        <w:jc w:val="both"/>
        <w:rPr>
          <w:rFonts w:asciiTheme="minorHAnsi" w:eastAsia="Times New Roman" w:hAnsiTheme="minorHAnsi" w:cstheme="minorHAnsi"/>
          <w:lang w:val="id-ID" w:eastAsia="id-ID"/>
        </w:rPr>
      </w:pPr>
      <w:r w:rsidRPr="0035592B">
        <w:rPr>
          <w:rFonts w:asciiTheme="minorHAnsi" w:eastAsia="Times New Roman" w:hAnsiTheme="minorHAnsi" w:cstheme="minorHAnsi"/>
          <w:lang w:val="id-ID" w:eastAsia="id-ID"/>
        </w:rPr>
        <w:lastRenderedPageBreak/>
        <w:t xml:space="preserve">The </w:t>
      </w:r>
      <w:proofErr w:type="spellStart"/>
      <w:r w:rsidRPr="0035592B">
        <w:rPr>
          <w:rFonts w:asciiTheme="minorHAnsi" w:eastAsia="Times New Roman" w:hAnsiTheme="minorHAnsi" w:cstheme="minorHAnsi"/>
          <w:lang w:val="id-ID" w:eastAsia="id-ID"/>
        </w:rPr>
        <w:t>value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asymp</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shown</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table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self-efficacy</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variable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is</w:t>
      </w:r>
      <w:proofErr w:type="spellEnd"/>
      <w:r w:rsidRPr="0035592B">
        <w:rPr>
          <w:rFonts w:asciiTheme="minorHAnsi" w:eastAsia="Times New Roman" w:hAnsiTheme="minorHAnsi" w:cstheme="minorHAnsi"/>
          <w:lang w:val="id-ID" w:eastAsia="id-ID"/>
        </w:rPr>
        <w:t xml:space="preserve"> 0.099 &gt; 0.05, </w:t>
      </w:r>
      <w:proofErr w:type="spellStart"/>
      <w:r w:rsidRPr="0035592B">
        <w:rPr>
          <w:rFonts w:asciiTheme="minorHAnsi" w:eastAsia="Times New Roman" w:hAnsiTheme="minorHAnsi" w:cstheme="minorHAnsi"/>
          <w:lang w:val="id-ID" w:eastAsia="id-ID"/>
        </w:rPr>
        <w:t>indicating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no</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difference</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self-efficacy</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between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with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status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all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none.</w:t>
      </w:r>
    </w:p>
    <w:p w14:paraId="26A5FA4E" w14:textId="74B78359" w:rsidR="00FA0F77" w:rsidRPr="0035592B" w:rsidRDefault="00FA0F77" w:rsidP="0035592B">
      <w:pPr>
        <w:spacing w:after="0" w:line="240" w:lineRule="auto"/>
        <w:ind w:firstLine="284"/>
        <w:jc w:val="both"/>
        <w:rPr>
          <w:rFonts w:asciiTheme="minorHAnsi" w:eastAsia="Times New Roman" w:hAnsiTheme="minorHAnsi" w:cstheme="minorHAnsi"/>
          <w:lang w:val="id-ID" w:eastAsia="id-ID"/>
        </w:rPr>
      </w:pPr>
      <w:proofErr w:type="spellStart"/>
      <w:r w:rsidRPr="0035592B">
        <w:rPr>
          <w:rFonts w:asciiTheme="minorHAnsi" w:eastAsia="Times New Roman" w:hAnsiTheme="minorHAnsi" w:cstheme="minorHAnsi"/>
          <w:lang w:val="id-ID" w:eastAsia="id-ID"/>
        </w:rPr>
        <w:t>Asymp</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value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self-management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variable</w:t>
      </w:r>
      <w:proofErr w:type="spellEnd"/>
      <w:r w:rsidRPr="0035592B">
        <w:rPr>
          <w:rFonts w:asciiTheme="minorHAnsi" w:eastAsia="Times New Roman" w:hAnsiTheme="minorHAnsi" w:cstheme="minorHAnsi"/>
          <w:lang w:val="id-ID" w:eastAsia="id-ID"/>
        </w:rPr>
        <w:t xml:space="preserve"> has a </w:t>
      </w:r>
      <w:proofErr w:type="spellStart"/>
      <w:r w:rsidRPr="0035592B">
        <w:rPr>
          <w:rFonts w:asciiTheme="minorHAnsi" w:eastAsia="Times New Roman" w:hAnsiTheme="minorHAnsi" w:cstheme="minorHAnsi"/>
          <w:lang w:val="id-ID" w:eastAsia="id-ID"/>
        </w:rPr>
        <w:t>statistical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significance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0.348 &gt; 0.05, </w:t>
      </w:r>
      <w:proofErr w:type="spellStart"/>
      <w:r w:rsidRPr="0035592B">
        <w:rPr>
          <w:rFonts w:asciiTheme="minorHAnsi" w:eastAsia="Times New Roman" w:hAnsiTheme="minorHAnsi" w:cstheme="minorHAnsi"/>
          <w:lang w:val="id-ID" w:eastAsia="id-ID"/>
        </w:rPr>
        <w:t>suggesting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no</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significant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difference</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self-management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between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with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status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all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none. </w:t>
      </w:r>
      <w:proofErr w:type="spellStart"/>
      <w:r w:rsidRPr="0035592B">
        <w:rPr>
          <w:rFonts w:asciiTheme="minorHAnsi" w:eastAsia="Times New Roman" w:hAnsiTheme="minorHAnsi" w:cstheme="minorHAnsi"/>
          <w:lang w:val="id-ID" w:eastAsia="id-ID"/>
        </w:rPr>
        <w:t>Regarding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this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research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is</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line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with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previous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research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which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revealed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that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there</w:t>
      </w:r>
      <w:proofErr w:type="spellEnd"/>
      <w:r w:rsidRPr="0035592B">
        <w:rPr>
          <w:rFonts w:asciiTheme="minorHAnsi" w:eastAsia="Times New Roman" w:hAnsiTheme="minorHAnsi" w:cstheme="minorHAnsi"/>
          <w:lang w:val="id-ID" w:eastAsia="id-ID"/>
        </w:rPr>
        <w:t xml:space="preserve"> were </w:t>
      </w:r>
      <w:proofErr w:type="spellStart"/>
      <w:r w:rsidRPr="0035592B">
        <w:rPr>
          <w:rFonts w:asciiTheme="minorHAnsi" w:eastAsia="Times New Roman" w:hAnsiTheme="minorHAnsi" w:cstheme="minorHAnsi"/>
          <w:lang w:val="id-ID" w:eastAsia="id-ID"/>
        </w:rPr>
        <w:t>no</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differences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regarding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self-regulation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learning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motivation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between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non-</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r w:rsidRPr="0035592B">
        <w:rPr>
          <w:rFonts w:asciiTheme="minorHAnsi" w:hAnsiTheme="minorHAnsi" w:cstheme="minorHAnsi"/>
          <w:color w:val="00B0F0"/>
          <w:lang w:val="id-ID"/>
        </w:rPr>
        <w:fldChar w:fldCharType="begin" w:fldLock="1"/>
      </w:r>
      <w:r w:rsidRPr="0035592B">
        <w:rPr>
          <w:rFonts w:asciiTheme="minorHAnsi" w:hAnsiTheme="minorHAnsi" w:cstheme="minorHAnsi"/>
          <w:color w:val="00B0F0"/>
          <w:lang w:val="id-ID"/>
        </w:rPr>
        <w:instrText>ADDIN CSL_CITATION {"citationItems":[{"id":"ITEM-1","itemData":{"author":[{"dropping-particle":"","family":"Istia'dah","given":"Feida Noor Laila","non-dropping-particle":"","parse-names":false,"suffix":""}],"container-title":"Journal of Innovative Counseling","id":"ITEM-1","issue":"1","issued":{"date-parts":[["2018"]]},"page":"6-13","title":"Komparasi Self Regulated Learning pada Mahasiswa yang Bekerja dan Mahasiswa yang Tidak Bekerja","type":"article-journal","volume":"2"},"locator":"6","uris":["http://www.mendeley.com/documents/?uuid=612c9e04-71fd-4b31-92f4-ee6d5f0834fd"]}],"mendeley":{"formattedCitation":"(Istia’dah, 2018, p. 6)","manualFormatting":"(Istia’dah, 2018, p. 6","plainTextFormattedCitation":"(Istia’dah, 2018, p. 6)","previouslyFormattedCitation":"(Istia’dah, 2018, p. 6)"},"properties":{"noteIndex":0},"schema":"https://github.com/citation-style-language/schema/raw/master/csl-citation.json"}</w:instrText>
      </w:r>
      <w:r w:rsidRPr="0035592B">
        <w:rPr>
          <w:rFonts w:asciiTheme="minorHAnsi" w:hAnsiTheme="minorHAnsi" w:cstheme="minorHAnsi"/>
          <w:color w:val="00B0F0"/>
          <w:lang w:val="id-ID"/>
        </w:rPr>
        <w:fldChar w:fldCharType="separate"/>
      </w:r>
      <w:r w:rsidRPr="0035592B">
        <w:rPr>
          <w:rFonts w:asciiTheme="minorHAnsi" w:hAnsiTheme="minorHAnsi" w:cstheme="minorHAnsi"/>
          <w:noProof/>
          <w:color w:val="00B0F0"/>
          <w:lang w:val="id-ID"/>
        </w:rPr>
        <w:t>(Istia’dah, 2018, p. 6</w:t>
      </w:r>
      <w:r w:rsidRPr="0035592B">
        <w:rPr>
          <w:rFonts w:asciiTheme="minorHAnsi" w:hAnsiTheme="minorHAnsi" w:cstheme="minorHAnsi"/>
          <w:color w:val="00B0F0"/>
          <w:lang w:val="id-ID"/>
        </w:rPr>
        <w:fldChar w:fldCharType="end"/>
      </w:r>
      <w:r w:rsidRPr="0035592B">
        <w:rPr>
          <w:rFonts w:asciiTheme="minorHAnsi" w:hAnsiTheme="minorHAnsi" w:cstheme="minorHAnsi"/>
          <w:color w:val="00B0F0"/>
          <w:lang w:val="id-ID"/>
        </w:rPr>
        <w:t xml:space="preserve">; </w:t>
      </w:r>
      <w:r w:rsidRPr="0035592B">
        <w:rPr>
          <w:rFonts w:asciiTheme="minorHAnsi" w:hAnsiTheme="minorHAnsi" w:cstheme="minorHAnsi"/>
          <w:color w:val="00B0F0"/>
          <w:lang w:val="id-ID"/>
        </w:rPr>
        <w:fldChar w:fldCharType="begin" w:fldLock="1"/>
      </w:r>
      <w:r w:rsidRPr="0035592B">
        <w:rPr>
          <w:rFonts w:asciiTheme="minorHAnsi" w:hAnsiTheme="minorHAnsi" w:cstheme="minorHAnsi"/>
          <w:color w:val="00B0F0"/>
          <w:lang w:val="id-ID"/>
        </w:rPr>
        <w:instrText>ADDIN CSL_CITATION {"citationItems":[{"id":"ITEM-1","itemData":{"author":[{"dropping-particle":"","family":"Timbang","given":"Kartary Ucit Surni","non-dropping-particle":"","parse-names":false,"suffix":""}],"id":"ITEM-1","issued":{"date-parts":[["2014"]]},"publisher":"Universitas Kristen Satya Wacana Salatiga","title":"Perbedaan Motivasi Belajar antara Mahasiswa yang Bekerja dan yang Tidak Bekerja di Universitas Kristen Satya Wacana","type":"thesis"},"uris":["http://www.mendeley.com/documents/?uuid=51e96563-d41d-4526-8af9-6d670610eeb5"]}],"mendeley":{"formattedCitation":"(Timbang, 2014)","manualFormatting":"Timbang, 2014","plainTextFormattedCitation":"(Timbang, 2014)","previouslyFormattedCitation":"(Timbang, 2014)"},"properties":{"noteIndex":0},"schema":"https://github.com/citation-style-language/schema/raw/master/csl-citation.json"}</w:instrText>
      </w:r>
      <w:r w:rsidRPr="0035592B">
        <w:rPr>
          <w:rFonts w:asciiTheme="minorHAnsi" w:hAnsiTheme="minorHAnsi" w:cstheme="minorHAnsi"/>
          <w:color w:val="00B0F0"/>
          <w:lang w:val="id-ID"/>
        </w:rPr>
        <w:fldChar w:fldCharType="separate"/>
      </w:r>
      <w:r w:rsidRPr="0035592B">
        <w:rPr>
          <w:rFonts w:asciiTheme="minorHAnsi" w:hAnsiTheme="minorHAnsi" w:cstheme="minorHAnsi"/>
          <w:noProof/>
          <w:color w:val="00B0F0"/>
          <w:lang w:val="id-ID"/>
        </w:rPr>
        <w:t>Timbang, 2014</w:t>
      </w:r>
      <w:r w:rsidRPr="0035592B">
        <w:rPr>
          <w:rFonts w:asciiTheme="minorHAnsi" w:hAnsiTheme="minorHAnsi" w:cstheme="minorHAnsi"/>
          <w:color w:val="00B0F0"/>
          <w:lang w:val="id-ID"/>
        </w:rPr>
        <w:fldChar w:fldCharType="end"/>
      </w:r>
      <w:r w:rsidRPr="0035592B">
        <w:rPr>
          <w:rFonts w:asciiTheme="minorHAnsi" w:hAnsiTheme="minorHAnsi" w:cstheme="minorHAnsi"/>
          <w:color w:val="00B0F0"/>
          <w:lang w:val="id-ID"/>
        </w:rPr>
        <w:fldChar w:fldCharType="begin" w:fldLock="1"/>
      </w:r>
      <w:r w:rsidRPr="0035592B">
        <w:rPr>
          <w:rFonts w:asciiTheme="minorHAnsi" w:hAnsiTheme="minorHAnsi" w:cstheme="minorHAnsi"/>
          <w:color w:val="00B0F0"/>
          <w:lang w:val="id-ID"/>
        </w:rPr>
        <w:instrText>ADDIN CSL_CITATION {"citationItems":[{"id":"ITEM-1","itemData":{"author":[{"dropping-particle":"","family":"Kusumaningtyas","given":"Febrilia","non-dropping-particle":"","parse-names":false,"suffix":""}],"id":"ITEM-1","issued":{"date-parts":[["2012"]]},"publisher":"Universitas Kristen Satya Wacana","title":"Perbedaan Self-Regulated Learning pada Mahasiswa Universitas Kristen Satya Wacana yang Bekerja Part-time dan Tidak Bekerja","type":"thesis"},"uris":["http://www.mendeley.com/documents/?uuid=06e19508-bb18-4832-a186-d40c70605d11"]}],"mendeley":{"formattedCitation":"(Kusumaningtyas, 2012)","manualFormatting":"; Kusumaningtyas, 2012)","plainTextFormattedCitation":"(Kusumaningtyas, 2012)","previouslyFormattedCitation":"(Kusumaningtyas, 2012)"},"properties":{"noteIndex":0},"schema":"https://github.com/citation-style-language/schema/raw/master/csl-citation.json"}</w:instrText>
      </w:r>
      <w:r w:rsidRPr="0035592B">
        <w:rPr>
          <w:rFonts w:asciiTheme="minorHAnsi" w:hAnsiTheme="minorHAnsi" w:cstheme="minorHAnsi"/>
          <w:color w:val="00B0F0"/>
          <w:lang w:val="id-ID"/>
        </w:rPr>
        <w:fldChar w:fldCharType="separate"/>
      </w:r>
      <w:r w:rsidRPr="0035592B">
        <w:rPr>
          <w:rFonts w:asciiTheme="minorHAnsi" w:hAnsiTheme="minorHAnsi" w:cstheme="minorHAnsi"/>
          <w:noProof/>
          <w:color w:val="00B0F0"/>
          <w:lang w:val="id-ID"/>
        </w:rPr>
        <w:t>)</w:t>
      </w:r>
      <w:r w:rsidRPr="0035592B">
        <w:rPr>
          <w:rFonts w:asciiTheme="minorHAnsi" w:hAnsiTheme="minorHAnsi" w:cstheme="minorHAnsi"/>
          <w:color w:val="00B0F0"/>
          <w:lang w:val="id-ID"/>
        </w:rPr>
        <w:fldChar w:fldCharType="end"/>
      </w:r>
      <w:r w:rsidRPr="0035592B">
        <w:rPr>
          <w:rFonts w:asciiTheme="minorHAnsi" w:hAnsiTheme="minorHAnsi" w:cstheme="minorHAnsi"/>
          <w:lang w:val="id-ID"/>
        </w:rPr>
        <w:t>.</w:t>
      </w:r>
    </w:p>
    <w:p w14:paraId="7B87D960" w14:textId="57C09FF7" w:rsidR="00FA0F77" w:rsidRPr="0035592B" w:rsidRDefault="00FA0F77" w:rsidP="0035592B">
      <w:pPr>
        <w:spacing w:after="0" w:line="240" w:lineRule="auto"/>
        <w:ind w:firstLine="284"/>
        <w:jc w:val="both"/>
        <w:rPr>
          <w:rFonts w:asciiTheme="minorHAnsi" w:eastAsia="Times New Roman" w:hAnsiTheme="minorHAnsi" w:cstheme="minorHAnsi"/>
          <w:lang w:val="id-ID" w:eastAsia="id-ID"/>
        </w:rPr>
      </w:pPr>
      <w:proofErr w:type="spellStart"/>
      <w:r w:rsidRPr="0035592B">
        <w:rPr>
          <w:rFonts w:asciiTheme="minorHAnsi" w:eastAsia="Times New Roman" w:hAnsiTheme="minorHAnsi" w:cstheme="minorHAnsi"/>
          <w:lang w:val="id-ID" w:eastAsia="id-ID"/>
        </w:rPr>
        <w:t>Asymp</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value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cumulative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achievement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index</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variable</w:t>
      </w:r>
      <w:proofErr w:type="spellEnd"/>
      <w:r w:rsidRPr="0035592B">
        <w:rPr>
          <w:rFonts w:asciiTheme="minorHAnsi" w:eastAsia="Times New Roman" w:hAnsiTheme="minorHAnsi" w:cstheme="minorHAnsi"/>
          <w:lang w:val="id-ID" w:eastAsia="id-ID"/>
        </w:rPr>
        <w:t xml:space="preserve"> has a </w:t>
      </w:r>
      <w:proofErr w:type="spellStart"/>
      <w:r w:rsidRPr="0035592B">
        <w:rPr>
          <w:rFonts w:asciiTheme="minorHAnsi" w:eastAsia="Times New Roman" w:hAnsiTheme="minorHAnsi" w:cstheme="minorHAnsi"/>
          <w:lang w:val="id-ID" w:eastAsia="id-ID"/>
        </w:rPr>
        <w:t>statistical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significance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0.587 &gt; 0.05, </w:t>
      </w:r>
      <w:proofErr w:type="spellStart"/>
      <w:r w:rsidRPr="0035592B">
        <w:rPr>
          <w:rFonts w:asciiTheme="minorHAnsi" w:eastAsia="Times New Roman" w:hAnsiTheme="minorHAnsi" w:cstheme="minorHAnsi"/>
          <w:lang w:val="id-ID" w:eastAsia="id-ID"/>
        </w:rPr>
        <w:t>suggesting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no</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significant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difference</w:t>
      </w:r>
      <w:proofErr w:type="spellEnd"/>
      <w:r w:rsidRPr="0035592B">
        <w:rPr>
          <w:rFonts w:asciiTheme="minorHAnsi" w:eastAsia="Times New Roman" w:hAnsiTheme="minorHAnsi" w:cstheme="minorHAnsi"/>
          <w:lang w:val="id-ID" w:eastAsia="id-ID"/>
        </w:rPr>
        <w:t xml:space="preserve"> in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cumulative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achievement</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index</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between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with</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the</w:t>
      </w:r>
      <w:proofErr w:type="spellEnd"/>
      <w:r w:rsidRPr="0035592B">
        <w:rPr>
          <w:rFonts w:asciiTheme="minorHAnsi" w:eastAsia="Times New Roman" w:hAnsiTheme="minorHAnsi" w:cstheme="minorHAnsi"/>
          <w:lang w:val="id-ID" w:eastAsia="id-ID"/>
        </w:rPr>
        <w:t xml:space="preserve"> status </w:t>
      </w:r>
      <w:proofErr w:type="spellStart"/>
      <w:r w:rsidRPr="0035592B">
        <w:rPr>
          <w:rFonts w:asciiTheme="minorHAnsi" w:eastAsia="Times New Roman" w:hAnsiTheme="minorHAnsi" w:cstheme="minorHAnsi"/>
          <w:lang w:val="id-ID" w:eastAsia="id-ID"/>
        </w:rPr>
        <w:t>of</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santri </w:t>
      </w:r>
      <w:proofErr w:type="spellStart"/>
      <w:r w:rsidRPr="0035592B">
        <w:rPr>
          <w:rFonts w:asciiTheme="minorHAnsi" w:eastAsia="Times New Roman" w:hAnsiTheme="minorHAnsi" w:cstheme="minorHAnsi"/>
          <w:lang w:val="id-ID" w:eastAsia="id-ID"/>
        </w:rPr>
        <w:t>students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studying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while</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working</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joining</w:t>
      </w:r>
      <w:proofErr w:type="spellEnd"/>
      <w:r w:rsidRPr="0035592B">
        <w:rPr>
          <w:rFonts w:asciiTheme="minorHAnsi" w:eastAsia="Times New Roman" w:hAnsiTheme="minorHAnsi" w:cstheme="minorHAnsi"/>
          <w:lang w:val="id-ID" w:eastAsia="id-ID"/>
        </w:rPr>
        <w:t xml:space="preserve"> a </w:t>
      </w:r>
      <w:proofErr w:type="spellStart"/>
      <w:r w:rsidRPr="0035592B">
        <w:rPr>
          <w:rFonts w:asciiTheme="minorHAnsi" w:eastAsia="Times New Roman" w:hAnsiTheme="minorHAnsi" w:cstheme="minorHAnsi"/>
          <w:lang w:val="id-ID" w:eastAsia="id-ID"/>
        </w:rPr>
        <w:t>campus</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organization</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all</w:t>
      </w:r>
      <w:proofErr w:type="spellEnd"/>
      <w:r w:rsidRPr="0035592B">
        <w:rPr>
          <w:rFonts w:asciiTheme="minorHAnsi" w:eastAsia="Times New Roman" w:hAnsiTheme="minorHAnsi" w:cstheme="minorHAnsi"/>
          <w:lang w:val="id-ID" w:eastAsia="id-ID"/>
        </w:rPr>
        <w:t xml:space="preserve">, </w:t>
      </w:r>
      <w:proofErr w:type="spellStart"/>
      <w:r w:rsidRPr="0035592B">
        <w:rPr>
          <w:rFonts w:asciiTheme="minorHAnsi" w:eastAsia="Times New Roman" w:hAnsiTheme="minorHAnsi" w:cstheme="minorHAnsi"/>
          <w:lang w:val="id-ID" w:eastAsia="id-ID"/>
        </w:rPr>
        <w:t>and</w:t>
      </w:r>
      <w:proofErr w:type="spellEnd"/>
      <w:r w:rsidRPr="0035592B">
        <w:rPr>
          <w:rFonts w:asciiTheme="minorHAnsi" w:eastAsia="Times New Roman" w:hAnsiTheme="minorHAnsi" w:cstheme="minorHAnsi"/>
          <w:lang w:val="id-ID" w:eastAsia="id-ID"/>
        </w:rPr>
        <w:t xml:space="preserve"> none.</w:t>
      </w:r>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Regarding</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students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who</w:t>
      </w:r>
      <w:proofErr w:type="spellEnd"/>
      <w:r w:rsidR="00332E07" w:rsidRPr="0035592B">
        <w:rPr>
          <w:rFonts w:asciiTheme="minorHAnsi" w:eastAsia="Times New Roman" w:hAnsiTheme="minorHAnsi" w:cstheme="minorHAnsi"/>
          <w:lang w:val="id-ID" w:eastAsia="id-ID"/>
        </w:rPr>
        <w:t xml:space="preserve"> are </w:t>
      </w:r>
      <w:proofErr w:type="spellStart"/>
      <w:r w:rsidR="00332E07" w:rsidRPr="0035592B">
        <w:rPr>
          <w:rFonts w:asciiTheme="minorHAnsi" w:eastAsia="Times New Roman" w:hAnsiTheme="minorHAnsi" w:cstheme="minorHAnsi"/>
          <w:lang w:val="id-ID" w:eastAsia="id-ID"/>
        </w:rPr>
        <w:t>active</w:t>
      </w:r>
      <w:proofErr w:type="spellEnd"/>
      <w:r w:rsidR="00332E07" w:rsidRPr="0035592B">
        <w:rPr>
          <w:rFonts w:asciiTheme="minorHAnsi" w:eastAsia="Times New Roman" w:hAnsiTheme="minorHAnsi" w:cstheme="minorHAnsi"/>
          <w:lang w:val="id-ID" w:eastAsia="id-ID"/>
        </w:rPr>
        <w:t xml:space="preserve"> in </w:t>
      </w:r>
      <w:proofErr w:type="spellStart"/>
      <w:r w:rsidR="00332E07" w:rsidRPr="0035592B">
        <w:rPr>
          <w:rFonts w:asciiTheme="minorHAnsi" w:eastAsia="Times New Roman" w:hAnsiTheme="minorHAnsi" w:cstheme="minorHAnsi"/>
          <w:lang w:val="id-ID" w:eastAsia="id-ID"/>
        </w:rPr>
        <w:t>organizations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the</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results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of</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this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research</w:t>
      </w:r>
      <w:proofErr w:type="spellEnd"/>
      <w:r w:rsidR="00332E07" w:rsidRPr="0035592B">
        <w:rPr>
          <w:rFonts w:asciiTheme="minorHAnsi" w:eastAsia="Times New Roman" w:hAnsiTheme="minorHAnsi" w:cstheme="minorHAnsi"/>
          <w:lang w:val="id-ID" w:eastAsia="id-ID"/>
        </w:rPr>
        <w:t xml:space="preserve"> are </w:t>
      </w:r>
      <w:proofErr w:type="spellStart"/>
      <w:r w:rsidR="00332E07" w:rsidRPr="0035592B">
        <w:rPr>
          <w:rFonts w:asciiTheme="minorHAnsi" w:eastAsia="Times New Roman" w:hAnsiTheme="minorHAnsi" w:cstheme="minorHAnsi"/>
          <w:lang w:val="id-ID" w:eastAsia="id-ID"/>
        </w:rPr>
        <w:t>similar</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to</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Gefari's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research</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which</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revealed</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no</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differences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regarding</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learning</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achievement</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between</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students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who</w:t>
      </w:r>
      <w:proofErr w:type="spellEnd"/>
      <w:r w:rsidR="00332E07" w:rsidRPr="0035592B">
        <w:rPr>
          <w:rFonts w:asciiTheme="minorHAnsi" w:eastAsia="Times New Roman" w:hAnsiTheme="minorHAnsi" w:cstheme="minorHAnsi"/>
          <w:lang w:val="id-ID" w:eastAsia="id-ID"/>
        </w:rPr>
        <w:t xml:space="preserve"> were </w:t>
      </w:r>
      <w:proofErr w:type="spellStart"/>
      <w:r w:rsidR="00332E07" w:rsidRPr="0035592B">
        <w:rPr>
          <w:rFonts w:asciiTheme="minorHAnsi" w:eastAsia="Times New Roman" w:hAnsiTheme="minorHAnsi" w:cstheme="minorHAnsi"/>
          <w:lang w:val="id-ID" w:eastAsia="id-ID"/>
        </w:rPr>
        <w:t>active</w:t>
      </w:r>
      <w:proofErr w:type="spellEnd"/>
      <w:r w:rsidR="00332E07" w:rsidRPr="0035592B">
        <w:rPr>
          <w:rFonts w:asciiTheme="minorHAnsi" w:eastAsia="Times New Roman" w:hAnsiTheme="minorHAnsi" w:cstheme="minorHAnsi"/>
          <w:lang w:val="id-ID" w:eastAsia="id-ID"/>
        </w:rPr>
        <w:t xml:space="preserve"> in </w:t>
      </w:r>
      <w:proofErr w:type="spellStart"/>
      <w:r w:rsidR="00332E07" w:rsidRPr="0035592B">
        <w:rPr>
          <w:rFonts w:asciiTheme="minorHAnsi" w:eastAsia="Times New Roman" w:hAnsiTheme="minorHAnsi" w:cstheme="minorHAnsi"/>
          <w:lang w:val="id-ID" w:eastAsia="id-ID"/>
        </w:rPr>
        <w:t>organizations</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and</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those</w:t>
      </w:r>
      <w:proofErr w:type="spellEnd"/>
      <w:r w:rsidR="00332E07" w:rsidRPr="0035592B">
        <w:rPr>
          <w:rFonts w:asciiTheme="minorHAnsi" w:eastAsia="Times New Roman" w:hAnsiTheme="minorHAnsi" w:cstheme="minorHAnsi"/>
          <w:lang w:val="id-ID" w:eastAsia="id-ID"/>
        </w:rPr>
        <w:t xml:space="preserve"> </w:t>
      </w:r>
      <w:proofErr w:type="spellStart"/>
      <w:r w:rsidR="00332E07" w:rsidRPr="0035592B">
        <w:rPr>
          <w:rFonts w:asciiTheme="minorHAnsi" w:eastAsia="Times New Roman" w:hAnsiTheme="minorHAnsi" w:cstheme="minorHAnsi"/>
          <w:lang w:val="id-ID" w:eastAsia="id-ID"/>
        </w:rPr>
        <w:t>who</w:t>
      </w:r>
      <w:proofErr w:type="spellEnd"/>
      <w:r w:rsidR="00332E07" w:rsidRPr="0035592B">
        <w:rPr>
          <w:rFonts w:asciiTheme="minorHAnsi" w:eastAsia="Times New Roman" w:hAnsiTheme="minorHAnsi" w:cstheme="minorHAnsi"/>
          <w:lang w:val="id-ID" w:eastAsia="id-ID"/>
        </w:rPr>
        <w:t xml:space="preserve"> were not </w:t>
      </w:r>
      <w:proofErr w:type="spellStart"/>
      <w:r w:rsidR="00332E07" w:rsidRPr="0035592B">
        <w:rPr>
          <w:rFonts w:asciiTheme="minorHAnsi" w:eastAsia="Times New Roman" w:hAnsiTheme="minorHAnsi" w:cstheme="minorHAnsi"/>
          <w:lang w:val="id-ID" w:eastAsia="id-ID"/>
        </w:rPr>
        <w:t>active</w:t>
      </w:r>
      <w:proofErr w:type="spellEnd"/>
      <w:r w:rsidR="00332E07" w:rsidRPr="0035592B">
        <w:rPr>
          <w:rFonts w:asciiTheme="minorHAnsi" w:eastAsia="Times New Roman" w:hAnsiTheme="minorHAnsi" w:cstheme="minorHAnsi"/>
          <w:lang w:val="id-ID" w:eastAsia="id-ID"/>
        </w:rPr>
        <w:t xml:space="preserve"> in </w:t>
      </w:r>
      <w:proofErr w:type="spellStart"/>
      <w:r w:rsidR="00332E07" w:rsidRPr="0035592B">
        <w:rPr>
          <w:rFonts w:asciiTheme="minorHAnsi" w:eastAsia="Times New Roman" w:hAnsiTheme="minorHAnsi" w:cstheme="minorHAnsi"/>
          <w:lang w:val="id-ID" w:eastAsia="id-ID"/>
        </w:rPr>
        <w:t>organizations</w:t>
      </w:r>
      <w:proofErr w:type="spellEnd"/>
      <w:r w:rsidR="00332E07" w:rsidRPr="0035592B">
        <w:rPr>
          <w:rFonts w:asciiTheme="minorHAnsi" w:eastAsia="Times New Roman" w:hAnsiTheme="minorHAnsi" w:cstheme="minorHAnsi"/>
          <w:lang w:val="id-ID" w:eastAsia="id-ID"/>
        </w:rPr>
        <w:t xml:space="preserve"> </w:t>
      </w:r>
      <w:r w:rsidR="00332E07" w:rsidRPr="0035592B">
        <w:rPr>
          <w:rFonts w:asciiTheme="minorHAnsi" w:hAnsiTheme="minorHAnsi" w:cstheme="minorHAnsi"/>
          <w:color w:val="00B0F0"/>
          <w:lang w:val="id-ID"/>
        </w:rPr>
        <w:fldChar w:fldCharType="begin" w:fldLock="1"/>
      </w:r>
      <w:r w:rsidR="00332E07" w:rsidRPr="0035592B">
        <w:rPr>
          <w:rFonts w:asciiTheme="minorHAnsi" w:hAnsiTheme="minorHAnsi" w:cstheme="minorHAnsi"/>
          <w:color w:val="00B0F0"/>
          <w:lang w:val="id-ID"/>
        </w:rPr>
        <w:instrText>ADDIN CSL_CITATION {"citationItems":[{"id":"ITEM-1","itemData":{"author":[{"dropping-particle":"","family":"Gefari","given":"Kautsar Caesandriano","non-dropping-particle":"","parse-names":false,"suffix":""}],"id":"ITEM-1","issued":{"date-parts":[["2020"]]},"publisher":"Skripsi, Universitas Muhammadiyah Yogyakarta","title":"Perbedaan Prokrastinasi Akademik dan Prestasi Belajar antara Mahasiswa Aktif dan Tidak Aktif Organisasi Kemahasiswaan","type":"thesis"},"uris":["http://www.mendeley.com/documents/?uuid=cd6bd6eb-0ea3-4a5b-a4ba-c3d8f239d64a"]}],"mendeley":{"formattedCitation":"(Gefari, 2020)","plainTextFormattedCitation":"(Gefari, 2020)","previouslyFormattedCitation":"(Gefari, 2020)"},"properties":{"noteIndex":0},"schema":"https://github.com/citation-style-language/schema/raw/master/csl-citation.json"}</w:instrText>
      </w:r>
      <w:r w:rsidR="00332E07" w:rsidRPr="0035592B">
        <w:rPr>
          <w:rFonts w:asciiTheme="minorHAnsi" w:hAnsiTheme="minorHAnsi" w:cstheme="minorHAnsi"/>
          <w:color w:val="00B0F0"/>
          <w:lang w:val="id-ID"/>
        </w:rPr>
        <w:fldChar w:fldCharType="separate"/>
      </w:r>
      <w:r w:rsidR="00332E07" w:rsidRPr="0035592B">
        <w:rPr>
          <w:rFonts w:asciiTheme="minorHAnsi" w:hAnsiTheme="minorHAnsi" w:cstheme="minorHAnsi"/>
          <w:noProof/>
          <w:color w:val="00B0F0"/>
          <w:lang w:val="id-ID"/>
        </w:rPr>
        <w:t>(Gefari, 2020)</w:t>
      </w:r>
      <w:r w:rsidR="00332E07" w:rsidRPr="0035592B">
        <w:rPr>
          <w:rFonts w:asciiTheme="minorHAnsi" w:hAnsiTheme="minorHAnsi" w:cstheme="minorHAnsi"/>
          <w:color w:val="00B0F0"/>
          <w:lang w:val="id-ID"/>
        </w:rPr>
        <w:fldChar w:fldCharType="end"/>
      </w:r>
      <w:r w:rsidR="00332E07" w:rsidRPr="0035592B">
        <w:rPr>
          <w:rFonts w:asciiTheme="minorHAnsi" w:hAnsiTheme="minorHAnsi" w:cstheme="minorHAnsi"/>
          <w:lang w:val="id-ID"/>
        </w:rPr>
        <w:t>.</w:t>
      </w:r>
      <w:r w:rsidR="00332E07" w:rsidRPr="0035592B">
        <w:rPr>
          <w:rFonts w:asciiTheme="minorHAnsi" w:eastAsia="Times New Roman" w:hAnsiTheme="minorHAnsi" w:cstheme="minorHAnsi"/>
          <w:lang w:val="id-ID" w:eastAsia="id-ID"/>
        </w:rPr>
        <w:t xml:space="preserve"> </w:t>
      </w:r>
    </w:p>
    <w:p w14:paraId="3A61EB60" w14:textId="5D6BD271" w:rsidR="00180DA7" w:rsidRPr="00AC3CB2" w:rsidRDefault="00180DA7" w:rsidP="0035592B">
      <w:pPr>
        <w:spacing w:after="0" w:line="240" w:lineRule="auto"/>
        <w:contextualSpacing/>
        <w:rPr>
          <w:rFonts w:ascii="Candara" w:hAnsi="Candara" w:cs="Times New Roman"/>
          <w:lang w:val="en-US" w:eastAsia="en-US"/>
        </w:rPr>
      </w:pPr>
    </w:p>
    <w:p w14:paraId="1249D715" w14:textId="038965E8" w:rsidR="007C19C5" w:rsidRDefault="00180DA7" w:rsidP="00415755">
      <w:pPr>
        <w:spacing w:line="240" w:lineRule="auto"/>
        <w:jc w:val="both"/>
        <w:rPr>
          <w:b/>
          <w:lang w:val="en-US"/>
        </w:rPr>
      </w:pPr>
      <w:r>
        <w:rPr>
          <w:b/>
          <w:lang w:val="en-US"/>
        </w:rPr>
        <w:t>5</w:t>
      </w:r>
      <w:r w:rsidR="00E211AA" w:rsidRPr="008D069B">
        <w:rPr>
          <w:b/>
          <w:lang w:val="en-US"/>
        </w:rPr>
        <w:t>. CONCLUSION</w:t>
      </w:r>
    </w:p>
    <w:p w14:paraId="68DC8D09" w14:textId="04A0E6F4" w:rsidR="007A5681" w:rsidRPr="00CD3086" w:rsidRDefault="007A5681" w:rsidP="00CD3086">
      <w:pPr>
        <w:spacing w:line="240" w:lineRule="auto"/>
        <w:ind w:firstLine="284"/>
        <w:jc w:val="both"/>
        <w:rPr>
          <w:rFonts w:asciiTheme="minorHAnsi" w:hAnsiTheme="minorHAnsi" w:cstheme="minorHAnsi"/>
          <w:bCs/>
          <w:lang w:val="en-US"/>
        </w:rPr>
      </w:pPr>
      <w:bookmarkStart w:id="17" w:name="_Hlk162866124"/>
      <w:r w:rsidRPr="009B60C3">
        <w:rPr>
          <w:rFonts w:asciiTheme="minorHAnsi" w:hAnsiTheme="minorHAnsi" w:cstheme="minorHAnsi"/>
          <w:bCs/>
          <w:lang w:val="en-US"/>
        </w:rPr>
        <w:t>There are differences in student self-efficacy, self-management, and achievement index when viewed from the perspective of gender differences. Women tend to have higher self-efficacy, self-management, and achievement index than men. The batch of students tested simultaneously revealed differences in their self-efficacy and achievement index. However, there was no difference in self-management in terms of the batch of students tested simultaneously, which showed no difference in self-management. There is no difference in student self-efficacy, self-management, and achievement index when viewed from the student status and tested together.</w:t>
      </w:r>
      <w:bookmarkEnd w:id="17"/>
    </w:p>
    <w:p w14:paraId="085DBFE6" w14:textId="19D97CC3" w:rsidR="0036055C" w:rsidRPr="008D069B" w:rsidRDefault="00180DA7" w:rsidP="00415755">
      <w:pPr>
        <w:pBdr>
          <w:top w:val="nil"/>
          <w:left w:val="nil"/>
          <w:bottom w:val="nil"/>
          <w:right w:val="nil"/>
          <w:between w:val="nil"/>
        </w:pBdr>
        <w:spacing w:line="240" w:lineRule="auto"/>
        <w:jc w:val="both"/>
        <w:rPr>
          <w:b/>
          <w:color w:val="000000"/>
          <w:lang w:val="en-US"/>
        </w:rPr>
      </w:pPr>
      <w:r>
        <w:rPr>
          <w:b/>
          <w:color w:val="000000"/>
          <w:lang w:val="en-US"/>
        </w:rPr>
        <w:t>6</w:t>
      </w:r>
      <w:r w:rsidR="00E211AA" w:rsidRPr="008D069B">
        <w:rPr>
          <w:b/>
          <w:color w:val="000000"/>
          <w:lang w:val="en-US"/>
        </w:rPr>
        <w:t>. REFERENCES</w:t>
      </w:r>
    </w:p>
    <w:p w14:paraId="05C14C69" w14:textId="11754636" w:rsidR="00772326" w:rsidRPr="00753612" w:rsidRDefault="002307F9" w:rsidP="00753612">
      <w:pPr>
        <w:widowControl w:val="0"/>
        <w:autoSpaceDE w:val="0"/>
        <w:autoSpaceDN w:val="0"/>
        <w:adjustRightInd w:val="0"/>
        <w:spacing w:after="0" w:line="240" w:lineRule="auto"/>
        <w:ind w:left="480" w:hanging="480"/>
        <w:jc w:val="both"/>
        <w:rPr>
          <w:noProof/>
          <w:sz w:val="22"/>
          <w:szCs w:val="22"/>
        </w:rPr>
      </w:pPr>
      <w:r>
        <w:rPr>
          <w:i/>
          <w:iCs/>
          <w:lang w:val="en-US"/>
        </w:rPr>
        <w:fldChar w:fldCharType="begin" w:fldLock="1"/>
      </w:r>
      <w:r>
        <w:rPr>
          <w:i/>
          <w:iCs/>
          <w:lang w:val="en-US"/>
        </w:rPr>
        <w:instrText xml:space="preserve">ADDIN Mendeley Bibliography CSL_BIBLIOGRAPHY </w:instrText>
      </w:r>
      <w:r>
        <w:rPr>
          <w:i/>
          <w:iCs/>
          <w:lang w:val="en-US"/>
        </w:rPr>
        <w:fldChar w:fldCharType="separate"/>
      </w:r>
      <w:r w:rsidR="00772326" w:rsidRPr="00753612">
        <w:rPr>
          <w:noProof/>
          <w:sz w:val="22"/>
          <w:szCs w:val="22"/>
        </w:rPr>
        <w:t xml:space="preserve">Etika, N., &amp; Hasibuan, W. F. (2016). Deskripsi Masalah Mahasiswa yang Sedang Menyelesaikan Skripsi. </w:t>
      </w:r>
      <w:r w:rsidR="00772326" w:rsidRPr="00753612">
        <w:rPr>
          <w:i/>
          <w:iCs/>
          <w:noProof/>
          <w:sz w:val="22"/>
          <w:szCs w:val="22"/>
        </w:rPr>
        <w:t>Jurnal Kopasta</w:t>
      </w:r>
      <w:r w:rsidR="00772326" w:rsidRPr="00753612">
        <w:rPr>
          <w:noProof/>
          <w:sz w:val="22"/>
          <w:szCs w:val="22"/>
        </w:rPr>
        <w:t xml:space="preserve">, </w:t>
      </w:r>
      <w:r w:rsidR="00772326" w:rsidRPr="00753612">
        <w:rPr>
          <w:i/>
          <w:iCs/>
          <w:noProof/>
          <w:sz w:val="22"/>
          <w:szCs w:val="22"/>
        </w:rPr>
        <w:t>3</w:t>
      </w:r>
      <w:r w:rsidR="00772326" w:rsidRPr="00753612">
        <w:rPr>
          <w:noProof/>
          <w:sz w:val="22"/>
          <w:szCs w:val="22"/>
        </w:rPr>
        <w:t>(1), 40–52. https://doi.org/https://doi.org/10.33373/kop.v3i1.265</w:t>
      </w:r>
    </w:p>
    <w:p w14:paraId="639D06AD"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Febriana, I., &amp; Simanjuntak, E. (2021). Self Regulated Learning dan Stres Akademik pada Mahasiswa. </w:t>
      </w:r>
      <w:r w:rsidRPr="00753612">
        <w:rPr>
          <w:i/>
          <w:iCs/>
          <w:noProof/>
          <w:sz w:val="22"/>
          <w:szCs w:val="22"/>
        </w:rPr>
        <w:t>Jurnal Experientia</w:t>
      </w:r>
      <w:r w:rsidRPr="00753612">
        <w:rPr>
          <w:noProof/>
          <w:sz w:val="22"/>
          <w:szCs w:val="22"/>
        </w:rPr>
        <w:t xml:space="preserve">, </w:t>
      </w:r>
      <w:r w:rsidRPr="00753612">
        <w:rPr>
          <w:i/>
          <w:iCs/>
          <w:noProof/>
          <w:sz w:val="22"/>
          <w:szCs w:val="22"/>
        </w:rPr>
        <w:t>9</w:t>
      </w:r>
      <w:r w:rsidRPr="00753612">
        <w:rPr>
          <w:noProof/>
          <w:sz w:val="22"/>
          <w:szCs w:val="22"/>
        </w:rPr>
        <w:t>(2), 144–153. https://doi.org/https://doi.org/10.33508/exp.v9i2.3350</w:t>
      </w:r>
    </w:p>
    <w:p w14:paraId="1A1603F7"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Gefari, K. C. (2020). </w:t>
      </w:r>
      <w:r w:rsidRPr="00753612">
        <w:rPr>
          <w:i/>
          <w:iCs/>
          <w:noProof/>
          <w:sz w:val="22"/>
          <w:szCs w:val="22"/>
        </w:rPr>
        <w:t>Perbedaan Prokrastinasi Akademik dan Prestasi Belajar antara Mahasiswa Aktif dan Tidak Aktif Organisasi Kemahasiswaan</w:t>
      </w:r>
      <w:r w:rsidRPr="00753612">
        <w:rPr>
          <w:noProof/>
          <w:sz w:val="22"/>
          <w:szCs w:val="22"/>
        </w:rPr>
        <w:t xml:space="preserve"> [Skripsi, Universitas Muhammadiyah Yogyakarta]. https://etd.umy.ac.id/id/eprint/2145/</w:t>
      </w:r>
    </w:p>
    <w:p w14:paraId="585A1B91"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Handayani, T. S., &amp; Sugiarti. (2017). </w:t>
      </w:r>
      <w:r w:rsidRPr="00753612">
        <w:rPr>
          <w:i/>
          <w:iCs/>
          <w:noProof/>
          <w:sz w:val="22"/>
          <w:szCs w:val="22"/>
        </w:rPr>
        <w:t>Konsep dan Teknik Penelitian Gender</w:t>
      </w:r>
      <w:r w:rsidRPr="00753612">
        <w:rPr>
          <w:noProof/>
          <w:sz w:val="22"/>
          <w:szCs w:val="22"/>
        </w:rPr>
        <w:t>. Universitas Muhammadiyah Malang. https://books.google.co.id/books?hl=id&amp;lr=&amp;id=_zVxEAAAQBAJ&amp;oi=fnd&amp;pg=PP2&amp;dq=buku+studi+gender&amp;ots=lKy4RoFNtE&amp;sig=VmSWVoOEJm8MsscUB8CpqP5_Qi4&amp;redir_esc=y#v=onepage&amp;q&amp;f=false</w:t>
      </w:r>
    </w:p>
    <w:p w14:paraId="13E07AAC"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Iflah, &amp; Listyasari, W. D. (2013). Gambaran Penyesuaian Diri Mahasiswa Baru. </w:t>
      </w:r>
      <w:r w:rsidRPr="00753612">
        <w:rPr>
          <w:i/>
          <w:iCs/>
          <w:noProof/>
          <w:sz w:val="22"/>
          <w:szCs w:val="22"/>
        </w:rPr>
        <w:t>Jurnal Penelitian Dan Pengukuran Psikologi</w:t>
      </w:r>
      <w:r w:rsidRPr="00753612">
        <w:rPr>
          <w:noProof/>
          <w:sz w:val="22"/>
          <w:szCs w:val="22"/>
        </w:rPr>
        <w:t xml:space="preserve">, </w:t>
      </w:r>
      <w:r w:rsidRPr="00753612">
        <w:rPr>
          <w:i/>
          <w:iCs/>
          <w:noProof/>
          <w:sz w:val="22"/>
          <w:szCs w:val="22"/>
        </w:rPr>
        <w:t>2</w:t>
      </w:r>
      <w:r w:rsidRPr="00753612">
        <w:rPr>
          <w:noProof/>
          <w:sz w:val="22"/>
          <w:szCs w:val="22"/>
        </w:rPr>
        <w:t>(1), 33–36. https://doi.org/https://doi.org/10.21009/JPPP.021.05</w:t>
      </w:r>
    </w:p>
    <w:p w14:paraId="08F4F3BC"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Irfan, M., &amp; Suprapti, V. (2014). Hubungan Self-Efficacy dengan Penyesuaian Diri terhadap Perguruan </w:t>
      </w:r>
      <w:r w:rsidRPr="00753612">
        <w:rPr>
          <w:noProof/>
          <w:sz w:val="22"/>
          <w:szCs w:val="22"/>
        </w:rPr>
        <w:lastRenderedPageBreak/>
        <w:t xml:space="preserve">Tinggi pada Mahasiswa Baru Fakultas Psikologi Universitas Airlangga. </w:t>
      </w:r>
      <w:r w:rsidRPr="00753612">
        <w:rPr>
          <w:i/>
          <w:iCs/>
          <w:noProof/>
          <w:sz w:val="22"/>
          <w:szCs w:val="22"/>
        </w:rPr>
        <w:t>Jurnal Psikologi Pendidikan Dan Perkembangan</w:t>
      </w:r>
      <w:r w:rsidRPr="00753612">
        <w:rPr>
          <w:noProof/>
          <w:sz w:val="22"/>
          <w:szCs w:val="22"/>
        </w:rPr>
        <w:t xml:space="preserve">, </w:t>
      </w:r>
      <w:r w:rsidRPr="00753612">
        <w:rPr>
          <w:i/>
          <w:iCs/>
          <w:noProof/>
          <w:sz w:val="22"/>
          <w:szCs w:val="22"/>
        </w:rPr>
        <w:t>3</w:t>
      </w:r>
      <w:r w:rsidRPr="00753612">
        <w:rPr>
          <w:noProof/>
          <w:sz w:val="22"/>
          <w:szCs w:val="22"/>
        </w:rPr>
        <w:t>(3), 172–178. https://journal.unair.ac.id/JPPP@hubungan-self-efficacy-dengan-penyesuaian-diri-terhadap-perguruan-tinggi-pada-mahasiswa-baru-fakultas-psikologi-universitas-airlangga-article-8136-media-53-category-10.html</w:t>
      </w:r>
    </w:p>
    <w:p w14:paraId="38371BD5"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Istia’dah, F. N. L. (2018). Komparasi Self Regulated Learning pada Mahasiswa yang Bekerja dan Mahasiswa yang Tidak Bekerja. </w:t>
      </w:r>
      <w:r w:rsidRPr="00753612">
        <w:rPr>
          <w:i/>
          <w:iCs/>
          <w:noProof/>
          <w:sz w:val="22"/>
          <w:szCs w:val="22"/>
        </w:rPr>
        <w:t>Journal of Innovative Counseling</w:t>
      </w:r>
      <w:r w:rsidRPr="00753612">
        <w:rPr>
          <w:noProof/>
          <w:sz w:val="22"/>
          <w:szCs w:val="22"/>
        </w:rPr>
        <w:t xml:space="preserve">, </w:t>
      </w:r>
      <w:r w:rsidRPr="00753612">
        <w:rPr>
          <w:i/>
          <w:iCs/>
          <w:noProof/>
          <w:sz w:val="22"/>
          <w:szCs w:val="22"/>
        </w:rPr>
        <w:t>2</w:t>
      </w:r>
      <w:r w:rsidRPr="00753612">
        <w:rPr>
          <w:noProof/>
          <w:sz w:val="22"/>
          <w:szCs w:val="22"/>
        </w:rPr>
        <w:t>(1), 6–13. http://www.journal.umtas.ac.id/index.php/innovative_counseling/article/view/183</w:t>
      </w:r>
    </w:p>
    <w:p w14:paraId="35339E7C"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Jain, P. (2017). Adjustment among College Students. </w:t>
      </w:r>
      <w:r w:rsidRPr="00753612">
        <w:rPr>
          <w:i/>
          <w:iCs/>
          <w:noProof/>
          <w:sz w:val="22"/>
          <w:szCs w:val="22"/>
        </w:rPr>
        <w:t>International Journal of Advances in Scientific Research and Engineering</w:t>
      </w:r>
      <w:r w:rsidRPr="00753612">
        <w:rPr>
          <w:noProof/>
          <w:sz w:val="22"/>
          <w:szCs w:val="22"/>
        </w:rPr>
        <w:t xml:space="preserve">, </w:t>
      </w:r>
      <w:r w:rsidRPr="00753612">
        <w:rPr>
          <w:i/>
          <w:iCs/>
          <w:noProof/>
          <w:sz w:val="22"/>
          <w:szCs w:val="22"/>
        </w:rPr>
        <w:t>3</w:t>
      </w:r>
      <w:r w:rsidRPr="00753612">
        <w:rPr>
          <w:noProof/>
          <w:sz w:val="22"/>
          <w:szCs w:val="22"/>
        </w:rPr>
        <w:t>(5), 10–12. https://ijasre.net/index.php/ijasre/article/view/263</w:t>
      </w:r>
    </w:p>
    <w:p w14:paraId="6137EFDD"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Mentari, D. O. (2018). </w:t>
      </w:r>
      <w:r w:rsidRPr="00753612">
        <w:rPr>
          <w:i/>
          <w:iCs/>
          <w:noProof/>
          <w:sz w:val="22"/>
          <w:szCs w:val="22"/>
        </w:rPr>
        <w:t>Hubungan Stres Akademik dengan Indeks Prestasi Mahasiswa Tahun Pertama di Fakultas Keperawatan Universitas Jember</w:t>
      </w:r>
      <w:r w:rsidRPr="00753612">
        <w:rPr>
          <w:noProof/>
          <w:sz w:val="22"/>
          <w:szCs w:val="22"/>
        </w:rPr>
        <w:t xml:space="preserve"> [Skripsi, Universitas Jember]. https://repository.unej.ac.id/handle/123456789/85257</w:t>
      </w:r>
    </w:p>
    <w:p w14:paraId="3F2619F8"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Mundakir, Supa’at, Ihsan, Aris, N., Hadi, N., Kasdi, A., Sukarsa, K., Karim, A., Ismayawati, A., Supriyadi, Masrukhin, Masturin, Nuha, U., Na’im, A. H., Rahmawaty, A., Shofaussamawati, Saliyo, Hakim, M. A., &amp; Wahyudi, A. (2019). </w:t>
      </w:r>
      <w:r w:rsidRPr="00753612">
        <w:rPr>
          <w:i/>
          <w:iCs/>
          <w:noProof/>
          <w:sz w:val="22"/>
          <w:szCs w:val="22"/>
        </w:rPr>
        <w:t>Pedoman Akademik Program Sarjana IAIN Kudus</w:t>
      </w:r>
      <w:r w:rsidRPr="00753612">
        <w:rPr>
          <w:noProof/>
          <w:sz w:val="22"/>
          <w:szCs w:val="22"/>
        </w:rPr>
        <w:t>. Institut Agama Islam Negeri Kudus.</w:t>
      </w:r>
    </w:p>
    <w:p w14:paraId="614C2877"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Putri, D. D., &amp; Sudaryat, Y. (2020). Perancangan Storyboard untuk Film Animasi Pendek 2D Tentang Prokrastinasi di Kalangan Mahasiswa Berjudul ‘Escape’. </w:t>
      </w:r>
      <w:r w:rsidRPr="00753612">
        <w:rPr>
          <w:i/>
          <w:iCs/>
          <w:noProof/>
          <w:sz w:val="22"/>
          <w:szCs w:val="22"/>
        </w:rPr>
        <w:t>EProceedings of Art &amp; Design</w:t>
      </w:r>
      <w:r w:rsidRPr="00753612">
        <w:rPr>
          <w:noProof/>
          <w:sz w:val="22"/>
          <w:szCs w:val="22"/>
        </w:rPr>
        <w:t xml:space="preserve">, </w:t>
      </w:r>
      <w:r w:rsidRPr="00753612">
        <w:rPr>
          <w:i/>
          <w:iCs/>
          <w:noProof/>
          <w:sz w:val="22"/>
          <w:szCs w:val="22"/>
        </w:rPr>
        <w:t>7</w:t>
      </w:r>
      <w:r w:rsidRPr="00753612">
        <w:rPr>
          <w:noProof/>
          <w:sz w:val="22"/>
          <w:szCs w:val="22"/>
        </w:rPr>
        <w:t>(2), 2428–2437. https://openlibrarypublications.telkomuniversity.ac.id/index.php/artdesign/article/view/12980/12655</w:t>
      </w:r>
    </w:p>
    <w:p w14:paraId="41B935F2"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Safitri, R. I., &amp; Dewi, D. K. (2020). Perbedaan Perceived Academic Stress ditinjau dari Tahun Angkatan pada Mahasiswa Fakultas X. </w:t>
      </w:r>
      <w:r w:rsidRPr="00753612">
        <w:rPr>
          <w:i/>
          <w:iCs/>
          <w:noProof/>
          <w:sz w:val="22"/>
          <w:szCs w:val="22"/>
        </w:rPr>
        <w:t>Character: Jurnal Penelitian Psikologi</w:t>
      </w:r>
      <w:r w:rsidRPr="00753612">
        <w:rPr>
          <w:noProof/>
          <w:sz w:val="22"/>
          <w:szCs w:val="22"/>
        </w:rPr>
        <w:t xml:space="preserve">, </w:t>
      </w:r>
      <w:r w:rsidRPr="00753612">
        <w:rPr>
          <w:i/>
          <w:iCs/>
          <w:noProof/>
          <w:sz w:val="22"/>
          <w:szCs w:val="22"/>
        </w:rPr>
        <w:t>7</w:t>
      </w:r>
      <w:r w:rsidRPr="00753612">
        <w:rPr>
          <w:noProof/>
          <w:sz w:val="22"/>
          <w:szCs w:val="22"/>
        </w:rPr>
        <w:t>(2), 32–42. https://ejournal.unesa.ac.id/index.php/character/article/view/33859</w:t>
      </w:r>
    </w:p>
    <w:p w14:paraId="79576126"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Sagita, D. D., Daharnis, &amp; Syahniar. (2017). Hubungan Self Efficacy, Motivasi Berprestasi, Prokrastinasi Akademik dan Stres Akademik Mahasiswa. </w:t>
      </w:r>
      <w:r w:rsidRPr="00753612">
        <w:rPr>
          <w:i/>
          <w:iCs/>
          <w:noProof/>
          <w:sz w:val="22"/>
          <w:szCs w:val="22"/>
        </w:rPr>
        <w:t>Bikotetik</w:t>
      </w:r>
      <w:r w:rsidRPr="00753612">
        <w:rPr>
          <w:noProof/>
          <w:sz w:val="22"/>
          <w:szCs w:val="22"/>
        </w:rPr>
        <w:t xml:space="preserve">, </w:t>
      </w:r>
      <w:r w:rsidRPr="00753612">
        <w:rPr>
          <w:i/>
          <w:iCs/>
          <w:noProof/>
          <w:sz w:val="22"/>
          <w:szCs w:val="22"/>
        </w:rPr>
        <w:t>1</w:t>
      </w:r>
      <w:r w:rsidRPr="00753612">
        <w:rPr>
          <w:noProof/>
          <w:sz w:val="22"/>
          <w:szCs w:val="22"/>
        </w:rPr>
        <w:t>(2), 43–52. https://doi.org/https://doi.org/10.26740/bikotetik.v1n2.p43-52</w:t>
      </w:r>
    </w:p>
    <w:p w14:paraId="2836DFA6"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Salim, F., &amp; Fakhturrozi, M. (2020). Efikasi Diri Akademik dan Resiliensi pada Mahasiswa. </w:t>
      </w:r>
      <w:r w:rsidRPr="00753612">
        <w:rPr>
          <w:i/>
          <w:iCs/>
          <w:noProof/>
          <w:sz w:val="22"/>
          <w:szCs w:val="22"/>
        </w:rPr>
        <w:t>Jurnal Psikologi</w:t>
      </w:r>
      <w:r w:rsidRPr="00753612">
        <w:rPr>
          <w:noProof/>
          <w:sz w:val="22"/>
          <w:szCs w:val="22"/>
        </w:rPr>
        <w:t xml:space="preserve">, </w:t>
      </w:r>
      <w:r w:rsidRPr="00753612">
        <w:rPr>
          <w:i/>
          <w:iCs/>
          <w:noProof/>
          <w:sz w:val="22"/>
          <w:szCs w:val="22"/>
        </w:rPr>
        <w:t>16</w:t>
      </w:r>
      <w:r w:rsidRPr="00753612">
        <w:rPr>
          <w:noProof/>
          <w:sz w:val="22"/>
          <w:szCs w:val="22"/>
        </w:rPr>
        <w:t>(2), 175–187. https://ejournal.uin-suska.ac.id/index.php/psikologi/article/view/9718/pdf</w:t>
      </w:r>
    </w:p>
    <w:p w14:paraId="5C2EAC0F"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Sarafino, E. P., &amp; Smith, T. W. (2017). </w:t>
      </w:r>
      <w:r w:rsidRPr="00753612">
        <w:rPr>
          <w:i/>
          <w:iCs/>
          <w:noProof/>
          <w:sz w:val="22"/>
          <w:szCs w:val="22"/>
        </w:rPr>
        <w:t>Health Psychology: Biopsychosocial Interactions Ninth Edition</w:t>
      </w:r>
      <w:r w:rsidRPr="00753612">
        <w:rPr>
          <w:noProof/>
          <w:sz w:val="22"/>
          <w:szCs w:val="22"/>
        </w:rPr>
        <w:t>. John Wiley &amp; Sons. https://zlib.pub/book/health-psychology-biopsychosocial-interactions-6s0tbp6l0te0</w:t>
      </w:r>
    </w:p>
    <w:p w14:paraId="058BA39A"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Seli, H., &amp; Dembo, M. H. (2020). </w:t>
      </w:r>
      <w:r w:rsidRPr="00753612">
        <w:rPr>
          <w:i/>
          <w:iCs/>
          <w:noProof/>
          <w:sz w:val="22"/>
          <w:szCs w:val="22"/>
        </w:rPr>
        <w:t>Motivation and Learning Strategies for College Success: A Focus on Self-Regulated Learning Sixth Edition</w:t>
      </w:r>
      <w:r w:rsidRPr="00753612">
        <w:rPr>
          <w:noProof/>
          <w:sz w:val="22"/>
          <w:szCs w:val="22"/>
        </w:rPr>
        <w:t>. Routledge. https://doi.org/https://doi.org/10.4324/9780429400711</w:t>
      </w:r>
    </w:p>
    <w:p w14:paraId="7876CCC5"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Sumanggala, K. J., Dhamayanti, W., &amp; Sastrosupadi, A. (2021). Pengaruh Self-Management terhadap Prestasi Belajar Mahasiswa STAB Kertarajasa, Batu. </w:t>
      </w:r>
      <w:r w:rsidRPr="00753612">
        <w:rPr>
          <w:i/>
          <w:iCs/>
          <w:noProof/>
          <w:sz w:val="22"/>
          <w:szCs w:val="22"/>
        </w:rPr>
        <w:t>Perspektif Ilmu Pendidikan</w:t>
      </w:r>
      <w:r w:rsidRPr="00753612">
        <w:rPr>
          <w:noProof/>
          <w:sz w:val="22"/>
          <w:szCs w:val="22"/>
        </w:rPr>
        <w:t xml:space="preserve">, </w:t>
      </w:r>
      <w:r w:rsidRPr="00753612">
        <w:rPr>
          <w:i/>
          <w:iCs/>
          <w:noProof/>
          <w:sz w:val="22"/>
          <w:szCs w:val="22"/>
        </w:rPr>
        <w:t>35</w:t>
      </w:r>
      <w:r w:rsidRPr="00753612">
        <w:rPr>
          <w:noProof/>
          <w:sz w:val="22"/>
          <w:szCs w:val="22"/>
        </w:rPr>
        <w:t>(2), 149–159. https://doi.org/https://doi.org/10.21009/PIP.352.7</w:t>
      </w:r>
    </w:p>
    <w:p w14:paraId="009AA598"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Timbang, K. U. S. (2014). </w:t>
      </w:r>
      <w:r w:rsidRPr="00753612">
        <w:rPr>
          <w:i/>
          <w:iCs/>
          <w:noProof/>
          <w:sz w:val="22"/>
          <w:szCs w:val="22"/>
        </w:rPr>
        <w:t>Perbedaan Motivasi Belajar antara Mahasiswa yang Bekerja dan yang Tidak Bekerja di Universitas Kristen Satya Wacana</w:t>
      </w:r>
      <w:r w:rsidRPr="00753612">
        <w:rPr>
          <w:noProof/>
          <w:sz w:val="22"/>
          <w:szCs w:val="22"/>
        </w:rPr>
        <w:t xml:space="preserve"> [Universitas Kristen Satya Wacana Salatiga]. https://repository.uksw.edu/handle/123456789/9338</w:t>
      </w:r>
    </w:p>
    <w:p w14:paraId="47CF6DCB" w14:textId="77777777" w:rsidR="00772326" w:rsidRPr="00753612" w:rsidRDefault="00772326" w:rsidP="00753612">
      <w:pPr>
        <w:widowControl w:val="0"/>
        <w:autoSpaceDE w:val="0"/>
        <w:autoSpaceDN w:val="0"/>
        <w:adjustRightInd w:val="0"/>
        <w:spacing w:after="0" w:line="240" w:lineRule="auto"/>
        <w:ind w:left="480" w:hanging="480"/>
        <w:jc w:val="both"/>
        <w:rPr>
          <w:noProof/>
          <w:sz w:val="22"/>
          <w:szCs w:val="22"/>
        </w:rPr>
      </w:pPr>
      <w:r w:rsidRPr="00753612">
        <w:rPr>
          <w:noProof/>
          <w:sz w:val="22"/>
          <w:szCs w:val="22"/>
        </w:rPr>
        <w:t xml:space="preserve">Welha, T. P. (2021). </w:t>
      </w:r>
      <w:r w:rsidRPr="00753612">
        <w:rPr>
          <w:i/>
          <w:iCs/>
          <w:noProof/>
          <w:sz w:val="22"/>
          <w:szCs w:val="22"/>
        </w:rPr>
        <w:t>Pengaruh Motivasi Berprestasi dan Manajemen Diri terhadap Prokrastinasi Akademik pada Mahasiswa yang Berkuliah Sambil Bekerja</w:t>
      </w:r>
      <w:r w:rsidRPr="00753612">
        <w:rPr>
          <w:noProof/>
          <w:sz w:val="22"/>
          <w:szCs w:val="22"/>
        </w:rPr>
        <w:t>. Skripsi, Universitas Mulawarman.</w:t>
      </w:r>
    </w:p>
    <w:p w14:paraId="70A94670" w14:textId="37036F40" w:rsidR="007720FD" w:rsidRPr="00613D2C" w:rsidRDefault="002307F9" w:rsidP="00667035">
      <w:pPr>
        <w:spacing w:line="240" w:lineRule="auto"/>
        <w:jc w:val="both"/>
        <w:rPr>
          <w:i/>
          <w:iCs/>
          <w:lang w:val="en-US"/>
        </w:rPr>
      </w:pPr>
      <w:r>
        <w:rPr>
          <w:i/>
          <w:iCs/>
          <w:lang w:val="en-US"/>
        </w:rPr>
        <w:fldChar w:fldCharType="end"/>
      </w:r>
    </w:p>
    <w:sectPr w:rsidR="007720FD" w:rsidRPr="00613D2C">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2B67" w14:textId="77777777" w:rsidR="00BA0D67" w:rsidRDefault="00BA0D67">
      <w:pPr>
        <w:spacing w:after="0" w:line="240" w:lineRule="auto"/>
      </w:pPr>
      <w:r>
        <w:separator/>
      </w:r>
    </w:p>
  </w:endnote>
  <w:endnote w:type="continuationSeparator" w:id="0">
    <w:p w14:paraId="5BE22B3A" w14:textId="77777777" w:rsidR="00BA0D67" w:rsidRDefault="00BA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no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B723" w14:textId="77777777" w:rsidR="00BA0D67" w:rsidRDefault="00BA0D67">
      <w:pPr>
        <w:spacing w:after="0" w:line="240" w:lineRule="auto"/>
      </w:pPr>
      <w:r>
        <w:separator/>
      </w:r>
    </w:p>
  </w:footnote>
  <w:footnote w:type="continuationSeparator" w:id="0">
    <w:p w14:paraId="5F2602E6" w14:textId="77777777" w:rsidR="00BA0D67" w:rsidRDefault="00BA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00725661" w:rsidR="009C1BAB" w:rsidRPr="006D1341" w:rsidRDefault="00E211AA" w:rsidP="00431958">
    <w:pPr>
      <w:pBdr>
        <w:top w:val="nil"/>
        <w:left w:val="nil"/>
        <w:bottom w:val="nil"/>
        <w:right w:val="nil"/>
        <w:between w:val="nil"/>
      </w:pBdr>
      <w:tabs>
        <w:tab w:val="center" w:pos="4680"/>
        <w:tab w:val="right" w:pos="9360"/>
      </w:tabs>
      <w:spacing w:line="240" w:lineRule="auto"/>
      <w:jc w:val="right"/>
      <w:rPr>
        <w:i/>
        <w:color w:val="000000"/>
        <w:sz w:val="20"/>
        <w:szCs w:val="20"/>
      </w:rPr>
    </w:pPr>
    <w:r w:rsidRPr="006D1341">
      <w:rPr>
        <w:rFonts w:ascii="Constantia" w:eastAsia="Constantia" w:hAnsi="Constantia" w:cs="Constantia"/>
        <w:b/>
        <w:bCs/>
        <w:i/>
        <w:color w:val="000000"/>
        <w:sz w:val="20"/>
        <w:szCs w:val="20"/>
      </w:rPr>
      <w:t xml:space="preserve"> </w:t>
    </w:r>
    <w:r>
      <w:rPr>
        <w:color w:val="000000"/>
        <w:sz w:val="20"/>
        <w:szCs w:val="20"/>
      </w:rPr>
      <w:t xml:space="preserve">| </w:t>
    </w:r>
    <w:r>
      <w:rPr>
        <w:rFonts w:ascii="Arial Rounded" w:eastAsia="Arial Rounded" w:hAnsi="Arial Rounded" w:cs="Arial Rounded"/>
        <w:b/>
        <w:color w:val="000000"/>
        <w:sz w:val="20"/>
        <w:szCs w:val="20"/>
      </w:rPr>
      <w:fldChar w:fldCharType="begin"/>
    </w:r>
    <w:r>
      <w:rPr>
        <w:rFonts w:ascii="Arial Rounded" w:eastAsia="Arial Rounded" w:hAnsi="Arial Rounded" w:cs="Arial Rounded"/>
        <w:b/>
        <w:color w:val="000000"/>
        <w:sz w:val="20"/>
        <w:szCs w:val="20"/>
      </w:rPr>
      <w:instrText>PAGE</w:instrText>
    </w:r>
    <w:r>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5E515E47"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32 </w:t>
    </w:r>
    <w:r w:rsidR="00954573">
      <w:rPr>
        <w:rFonts w:ascii="Constantia" w:hAnsi="Constantia"/>
        <w:color w:val="000000"/>
        <w:sz w:val="16"/>
        <w:szCs w:val="16"/>
      </w:rPr>
      <w:t>Issue</w:t>
    </w:r>
    <w:r w:rsidR="00954573">
      <w:rPr>
        <w:rFonts w:ascii="Constantia" w:hAnsi="Constantia"/>
        <w:color w:val="000000"/>
        <w:sz w:val="20"/>
        <w:szCs w:val="20"/>
      </w:rPr>
      <w:t xml:space="preserve"> 1, June 2023 </w:t>
    </w:r>
    <w:r w:rsidR="00954573">
      <w:rPr>
        <w:rFonts w:ascii="Constantia" w:hAnsi="Constantia"/>
        <w:color w:val="000000"/>
        <w:sz w:val="16"/>
        <w:szCs w:val="16"/>
      </w:rPr>
      <w:t>Hal</w:t>
    </w:r>
    <w:r w:rsidR="00954573">
      <w:rPr>
        <w:rFonts w:ascii="Constantia" w:hAnsi="Constantia"/>
        <w:color w:val="000000"/>
        <w:sz w:val="20"/>
        <w:szCs w:val="20"/>
      </w:rPr>
      <w:t xml:space="preserv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2"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9242928"/>
    <w:multiLevelType w:val="hybridMultilevel"/>
    <w:tmpl w:val="C2E20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5"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6"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69650526">
    <w:abstractNumId w:val="0"/>
  </w:num>
  <w:num w:numId="2" w16cid:durableId="1379162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262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4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95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556592">
    <w:abstractNumId w:val="4"/>
  </w:num>
  <w:num w:numId="7" w16cid:durableId="1527596572">
    <w:abstractNumId w:val="5"/>
  </w:num>
  <w:num w:numId="8" w16cid:durableId="1405713107">
    <w:abstractNumId w:val="1"/>
  </w:num>
  <w:num w:numId="9" w16cid:durableId="844050280">
    <w:abstractNumId w:val="6"/>
  </w:num>
  <w:num w:numId="10" w16cid:durableId="214970605">
    <w:abstractNumId w:val="2"/>
  </w:num>
  <w:num w:numId="11" w16cid:durableId="8843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030FC"/>
    <w:rsid w:val="000055F4"/>
    <w:rsid w:val="00010930"/>
    <w:rsid w:val="000168C0"/>
    <w:rsid w:val="0002132B"/>
    <w:rsid w:val="00037EB1"/>
    <w:rsid w:val="00042C91"/>
    <w:rsid w:val="00047AEA"/>
    <w:rsid w:val="00052742"/>
    <w:rsid w:val="0005360A"/>
    <w:rsid w:val="0006144E"/>
    <w:rsid w:val="0007301F"/>
    <w:rsid w:val="000777CD"/>
    <w:rsid w:val="00080199"/>
    <w:rsid w:val="00085C7E"/>
    <w:rsid w:val="00095139"/>
    <w:rsid w:val="000A2DC5"/>
    <w:rsid w:val="000B3F70"/>
    <w:rsid w:val="000C7BAE"/>
    <w:rsid w:val="000F5DBC"/>
    <w:rsid w:val="000F6E93"/>
    <w:rsid w:val="00101CF9"/>
    <w:rsid w:val="00107843"/>
    <w:rsid w:val="00114032"/>
    <w:rsid w:val="001354B8"/>
    <w:rsid w:val="00141010"/>
    <w:rsid w:val="001659DC"/>
    <w:rsid w:val="001677D4"/>
    <w:rsid w:val="00171ECF"/>
    <w:rsid w:val="00177E94"/>
    <w:rsid w:val="00180DA7"/>
    <w:rsid w:val="00182623"/>
    <w:rsid w:val="00193B53"/>
    <w:rsid w:val="00194DE0"/>
    <w:rsid w:val="001B6981"/>
    <w:rsid w:val="001B69EF"/>
    <w:rsid w:val="001C1382"/>
    <w:rsid w:val="001D05B3"/>
    <w:rsid w:val="001D1ECB"/>
    <w:rsid w:val="001E4AE4"/>
    <w:rsid w:val="001F19FC"/>
    <w:rsid w:val="001F32C9"/>
    <w:rsid w:val="00201310"/>
    <w:rsid w:val="00203EAC"/>
    <w:rsid w:val="002041E2"/>
    <w:rsid w:val="00204590"/>
    <w:rsid w:val="002046A4"/>
    <w:rsid w:val="002135C6"/>
    <w:rsid w:val="002162FF"/>
    <w:rsid w:val="0021706B"/>
    <w:rsid w:val="00224122"/>
    <w:rsid w:val="00225131"/>
    <w:rsid w:val="002307F9"/>
    <w:rsid w:val="00235F4D"/>
    <w:rsid w:val="00237666"/>
    <w:rsid w:val="00240AFD"/>
    <w:rsid w:val="00244176"/>
    <w:rsid w:val="00246A9A"/>
    <w:rsid w:val="00251356"/>
    <w:rsid w:val="002543BA"/>
    <w:rsid w:val="0025755D"/>
    <w:rsid w:val="00267C4A"/>
    <w:rsid w:val="0028703F"/>
    <w:rsid w:val="002912E3"/>
    <w:rsid w:val="00291621"/>
    <w:rsid w:val="00291A0D"/>
    <w:rsid w:val="00292948"/>
    <w:rsid w:val="002929A0"/>
    <w:rsid w:val="002C02ED"/>
    <w:rsid w:val="002C2746"/>
    <w:rsid w:val="002C5DF1"/>
    <w:rsid w:val="002D067D"/>
    <w:rsid w:val="002D2C3F"/>
    <w:rsid w:val="00305A5E"/>
    <w:rsid w:val="0031264A"/>
    <w:rsid w:val="00312FF0"/>
    <w:rsid w:val="00323006"/>
    <w:rsid w:val="003238EE"/>
    <w:rsid w:val="00324A4C"/>
    <w:rsid w:val="0032632E"/>
    <w:rsid w:val="00332E07"/>
    <w:rsid w:val="00336CB9"/>
    <w:rsid w:val="00346FFA"/>
    <w:rsid w:val="0035592B"/>
    <w:rsid w:val="0036055C"/>
    <w:rsid w:val="00360A1B"/>
    <w:rsid w:val="00364B81"/>
    <w:rsid w:val="003714C3"/>
    <w:rsid w:val="00380651"/>
    <w:rsid w:val="00384DB8"/>
    <w:rsid w:val="003A257A"/>
    <w:rsid w:val="003A6AC4"/>
    <w:rsid w:val="003A6C1B"/>
    <w:rsid w:val="003B30C4"/>
    <w:rsid w:val="003C4D3B"/>
    <w:rsid w:val="003C5CB6"/>
    <w:rsid w:val="003C612B"/>
    <w:rsid w:val="003D3C18"/>
    <w:rsid w:val="003D6465"/>
    <w:rsid w:val="003E120E"/>
    <w:rsid w:val="003E38BC"/>
    <w:rsid w:val="003E6296"/>
    <w:rsid w:val="003E71DC"/>
    <w:rsid w:val="003F0ED8"/>
    <w:rsid w:val="003F1EDD"/>
    <w:rsid w:val="003F31FD"/>
    <w:rsid w:val="003F42FD"/>
    <w:rsid w:val="004044BC"/>
    <w:rsid w:val="00410D58"/>
    <w:rsid w:val="00412544"/>
    <w:rsid w:val="00415755"/>
    <w:rsid w:val="0041599F"/>
    <w:rsid w:val="00431958"/>
    <w:rsid w:val="00431D97"/>
    <w:rsid w:val="00432231"/>
    <w:rsid w:val="00432890"/>
    <w:rsid w:val="004331F9"/>
    <w:rsid w:val="004420F0"/>
    <w:rsid w:val="00450504"/>
    <w:rsid w:val="00451627"/>
    <w:rsid w:val="004522F8"/>
    <w:rsid w:val="0046362D"/>
    <w:rsid w:val="004840D8"/>
    <w:rsid w:val="00484FBF"/>
    <w:rsid w:val="00485E29"/>
    <w:rsid w:val="00487716"/>
    <w:rsid w:val="004950B9"/>
    <w:rsid w:val="004A4D3F"/>
    <w:rsid w:val="004B1D2C"/>
    <w:rsid w:val="004C4B24"/>
    <w:rsid w:val="004D4DA6"/>
    <w:rsid w:val="004D73B9"/>
    <w:rsid w:val="004E3D90"/>
    <w:rsid w:val="004E5986"/>
    <w:rsid w:val="004F56A1"/>
    <w:rsid w:val="00502792"/>
    <w:rsid w:val="005057E6"/>
    <w:rsid w:val="005070D0"/>
    <w:rsid w:val="00521CD3"/>
    <w:rsid w:val="005313F7"/>
    <w:rsid w:val="00543233"/>
    <w:rsid w:val="0054425C"/>
    <w:rsid w:val="00545C61"/>
    <w:rsid w:val="00553E71"/>
    <w:rsid w:val="00561062"/>
    <w:rsid w:val="005656EF"/>
    <w:rsid w:val="0056688E"/>
    <w:rsid w:val="00570062"/>
    <w:rsid w:val="00595BCA"/>
    <w:rsid w:val="00596B42"/>
    <w:rsid w:val="00596BB2"/>
    <w:rsid w:val="00596D84"/>
    <w:rsid w:val="00597C54"/>
    <w:rsid w:val="005B034D"/>
    <w:rsid w:val="005D471B"/>
    <w:rsid w:val="005D4F8D"/>
    <w:rsid w:val="005E4510"/>
    <w:rsid w:val="005F0468"/>
    <w:rsid w:val="005F5105"/>
    <w:rsid w:val="005F5663"/>
    <w:rsid w:val="00601494"/>
    <w:rsid w:val="00613D2C"/>
    <w:rsid w:val="0062581F"/>
    <w:rsid w:val="006330F5"/>
    <w:rsid w:val="006440F5"/>
    <w:rsid w:val="00650807"/>
    <w:rsid w:val="0066015B"/>
    <w:rsid w:val="006646C1"/>
    <w:rsid w:val="0066510E"/>
    <w:rsid w:val="00667035"/>
    <w:rsid w:val="00670E9E"/>
    <w:rsid w:val="00682D59"/>
    <w:rsid w:val="006832B0"/>
    <w:rsid w:val="00683DC6"/>
    <w:rsid w:val="00685C89"/>
    <w:rsid w:val="0068686B"/>
    <w:rsid w:val="006915A4"/>
    <w:rsid w:val="00691A13"/>
    <w:rsid w:val="006927C8"/>
    <w:rsid w:val="006A3554"/>
    <w:rsid w:val="006B002B"/>
    <w:rsid w:val="006B038E"/>
    <w:rsid w:val="006B03DB"/>
    <w:rsid w:val="006B0EED"/>
    <w:rsid w:val="006B4E3B"/>
    <w:rsid w:val="006B5CB0"/>
    <w:rsid w:val="006B6ACD"/>
    <w:rsid w:val="006C351A"/>
    <w:rsid w:val="006D1341"/>
    <w:rsid w:val="006E28C9"/>
    <w:rsid w:val="006E3AA5"/>
    <w:rsid w:val="006F0AE5"/>
    <w:rsid w:val="006F5A82"/>
    <w:rsid w:val="00705A9D"/>
    <w:rsid w:val="007078B3"/>
    <w:rsid w:val="00720564"/>
    <w:rsid w:val="007216B3"/>
    <w:rsid w:val="007227B6"/>
    <w:rsid w:val="00724AC8"/>
    <w:rsid w:val="00730E86"/>
    <w:rsid w:val="00732165"/>
    <w:rsid w:val="007413B0"/>
    <w:rsid w:val="0074381E"/>
    <w:rsid w:val="007466AE"/>
    <w:rsid w:val="007468C1"/>
    <w:rsid w:val="00753612"/>
    <w:rsid w:val="00757E97"/>
    <w:rsid w:val="00766C98"/>
    <w:rsid w:val="007720FD"/>
    <w:rsid w:val="00772326"/>
    <w:rsid w:val="007816BE"/>
    <w:rsid w:val="0078260A"/>
    <w:rsid w:val="007931DC"/>
    <w:rsid w:val="007A032A"/>
    <w:rsid w:val="007A0819"/>
    <w:rsid w:val="007A4F95"/>
    <w:rsid w:val="007A5681"/>
    <w:rsid w:val="007A5718"/>
    <w:rsid w:val="007B75F9"/>
    <w:rsid w:val="007C0BBA"/>
    <w:rsid w:val="007C19C5"/>
    <w:rsid w:val="007C558A"/>
    <w:rsid w:val="007C565B"/>
    <w:rsid w:val="007D2D6B"/>
    <w:rsid w:val="007D5BFA"/>
    <w:rsid w:val="007E2FEF"/>
    <w:rsid w:val="007F589F"/>
    <w:rsid w:val="00801C44"/>
    <w:rsid w:val="00803D4C"/>
    <w:rsid w:val="008132CF"/>
    <w:rsid w:val="00814C9F"/>
    <w:rsid w:val="008150B3"/>
    <w:rsid w:val="00815ACF"/>
    <w:rsid w:val="00816062"/>
    <w:rsid w:val="008160D5"/>
    <w:rsid w:val="00836CC8"/>
    <w:rsid w:val="00840356"/>
    <w:rsid w:val="00842AA9"/>
    <w:rsid w:val="00846B9F"/>
    <w:rsid w:val="0085590D"/>
    <w:rsid w:val="00863103"/>
    <w:rsid w:val="008638A7"/>
    <w:rsid w:val="00871975"/>
    <w:rsid w:val="0088540B"/>
    <w:rsid w:val="008967AD"/>
    <w:rsid w:val="008A1891"/>
    <w:rsid w:val="008A4210"/>
    <w:rsid w:val="008A46D2"/>
    <w:rsid w:val="008B223E"/>
    <w:rsid w:val="008D01E7"/>
    <w:rsid w:val="008D048B"/>
    <w:rsid w:val="008D069B"/>
    <w:rsid w:val="008D460F"/>
    <w:rsid w:val="008E24FA"/>
    <w:rsid w:val="008E6627"/>
    <w:rsid w:val="008F0B67"/>
    <w:rsid w:val="009031D2"/>
    <w:rsid w:val="009053F8"/>
    <w:rsid w:val="0091209B"/>
    <w:rsid w:val="00916661"/>
    <w:rsid w:val="0092726E"/>
    <w:rsid w:val="00935AEB"/>
    <w:rsid w:val="00935FB9"/>
    <w:rsid w:val="00941E8E"/>
    <w:rsid w:val="009433C5"/>
    <w:rsid w:val="009449F8"/>
    <w:rsid w:val="00945C64"/>
    <w:rsid w:val="00954573"/>
    <w:rsid w:val="009646A6"/>
    <w:rsid w:val="00967D0F"/>
    <w:rsid w:val="00970DDC"/>
    <w:rsid w:val="0097586C"/>
    <w:rsid w:val="0098149D"/>
    <w:rsid w:val="00983D97"/>
    <w:rsid w:val="00983EAF"/>
    <w:rsid w:val="00993139"/>
    <w:rsid w:val="009A4312"/>
    <w:rsid w:val="009A52E0"/>
    <w:rsid w:val="009A6B22"/>
    <w:rsid w:val="009B5D9C"/>
    <w:rsid w:val="009B60C3"/>
    <w:rsid w:val="009C0843"/>
    <w:rsid w:val="009C0E53"/>
    <w:rsid w:val="009C19D1"/>
    <w:rsid w:val="009C1BAB"/>
    <w:rsid w:val="009D39C9"/>
    <w:rsid w:val="009D5A4F"/>
    <w:rsid w:val="009E2018"/>
    <w:rsid w:val="009E2861"/>
    <w:rsid w:val="009F2E80"/>
    <w:rsid w:val="00A019D1"/>
    <w:rsid w:val="00A038BF"/>
    <w:rsid w:val="00A0458D"/>
    <w:rsid w:val="00A1432A"/>
    <w:rsid w:val="00A1551B"/>
    <w:rsid w:val="00A22F9D"/>
    <w:rsid w:val="00A240B7"/>
    <w:rsid w:val="00A3151D"/>
    <w:rsid w:val="00A4091D"/>
    <w:rsid w:val="00A4155A"/>
    <w:rsid w:val="00A44B44"/>
    <w:rsid w:val="00A62CE1"/>
    <w:rsid w:val="00A8430B"/>
    <w:rsid w:val="00AA02AD"/>
    <w:rsid w:val="00AA3A61"/>
    <w:rsid w:val="00AA6EC0"/>
    <w:rsid w:val="00AA711E"/>
    <w:rsid w:val="00AB0F44"/>
    <w:rsid w:val="00AC03A1"/>
    <w:rsid w:val="00AC10D1"/>
    <w:rsid w:val="00AC6675"/>
    <w:rsid w:val="00AD0DC0"/>
    <w:rsid w:val="00AD12B3"/>
    <w:rsid w:val="00AD20DD"/>
    <w:rsid w:val="00AD3154"/>
    <w:rsid w:val="00AE1B3A"/>
    <w:rsid w:val="00AF0634"/>
    <w:rsid w:val="00AF1802"/>
    <w:rsid w:val="00AF2EEA"/>
    <w:rsid w:val="00AF42BD"/>
    <w:rsid w:val="00AF45C9"/>
    <w:rsid w:val="00AF6DCA"/>
    <w:rsid w:val="00AF706B"/>
    <w:rsid w:val="00B00A11"/>
    <w:rsid w:val="00B01D6B"/>
    <w:rsid w:val="00B0275A"/>
    <w:rsid w:val="00B02AB5"/>
    <w:rsid w:val="00B03135"/>
    <w:rsid w:val="00B06EB9"/>
    <w:rsid w:val="00B13DA9"/>
    <w:rsid w:val="00B16383"/>
    <w:rsid w:val="00B2046C"/>
    <w:rsid w:val="00B2585F"/>
    <w:rsid w:val="00B36C82"/>
    <w:rsid w:val="00B41BDB"/>
    <w:rsid w:val="00B441D7"/>
    <w:rsid w:val="00B51B95"/>
    <w:rsid w:val="00B615E6"/>
    <w:rsid w:val="00B83EB5"/>
    <w:rsid w:val="00BA0D67"/>
    <w:rsid w:val="00BB1F7B"/>
    <w:rsid w:val="00BB2F4D"/>
    <w:rsid w:val="00BB43F3"/>
    <w:rsid w:val="00BC1C11"/>
    <w:rsid w:val="00BC1C93"/>
    <w:rsid w:val="00BC2224"/>
    <w:rsid w:val="00BC3867"/>
    <w:rsid w:val="00BD135E"/>
    <w:rsid w:val="00BD2A66"/>
    <w:rsid w:val="00BD5D51"/>
    <w:rsid w:val="00BD6F43"/>
    <w:rsid w:val="00BD7B99"/>
    <w:rsid w:val="00BE2477"/>
    <w:rsid w:val="00BE48AD"/>
    <w:rsid w:val="00BF0738"/>
    <w:rsid w:val="00BF29E8"/>
    <w:rsid w:val="00BF3948"/>
    <w:rsid w:val="00BF6EF3"/>
    <w:rsid w:val="00C0308D"/>
    <w:rsid w:val="00C069AF"/>
    <w:rsid w:val="00C20C62"/>
    <w:rsid w:val="00C25D4F"/>
    <w:rsid w:val="00C535BA"/>
    <w:rsid w:val="00C54C82"/>
    <w:rsid w:val="00C61830"/>
    <w:rsid w:val="00C61953"/>
    <w:rsid w:val="00C63977"/>
    <w:rsid w:val="00C71555"/>
    <w:rsid w:val="00C82192"/>
    <w:rsid w:val="00C90D5D"/>
    <w:rsid w:val="00C92F87"/>
    <w:rsid w:val="00C9457A"/>
    <w:rsid w:val="00C979C2"/>
    <w:rsid w:val="00CA76F5"/>
    <w:rsid w:val="00CC4B62"/>
    <w:rsid w:val="00CC4B73"/>
    <w:rsid w:val="00CD065D"/>
    <w:rsid w:val="00CD3086"/>
    <w:rsid w:val="00CD5485"/>
    <w:rsid w:val="00CE3CF6"/>
    <w:rsid w:val="00CE6D7B"/>
    <w:rsid w:val="00CF1BF8"/>
    <w:rsid w:val="00CF2430"/>
    <w:rsid w:val="00CF4473"/>
    <w:rsid w:val="00CF7D37"/>
    <w:rsid w:val="00D052E0"/>
    <w:rsid w:val="00D11083"/>
    <w:rsid w:val="00D17FE2"/>
    <w:rsid w:val="00D220DC"/>
    <w:rsid w:val="00D44861"/>
    <w:rsid w:val="00D45112"/>
    <w:rsid w:val="00D46A64"/>
    <w:rsid w:val="00D46AE8"/>
    <w:rsid w:val="00D47BB8"/>
    <w:rsid w:val="00D47EEF"/>
    <w:rsid w:val="00D572A6"/>
    <w:rsid w:val="00D638D5"/>
    <w:rsid w:val="00D74559"/>
    <w:rsid w:val="00D7508B"/>
    <w:rsid w:val="00D82A3F"/>
    <w:rsid w:val="00D90C5D"/>
    <w:rsid w:val="00D9386A"/>
    <w:rsid w:val="00D94DD8"/>
    <w:rsid w:val="00D94E28"/>
    <w:rsid w:val="00D95966"/>
    <w:rsid w:val="00DA1098"/>
    <w:rsid w:val="00DA79E0"/>
    <w:rsid w:val="00DB2F83"/>
    <w:rsid w:val="00DB73AD"/>
    <w:rsid w:val="00DC0541"/>
    <w:rsid w:val="00DD360D"/>
    <w:rsid w:val="00DD3E5B"/>
    <w:rsid w:val="00DE02E8"/>
    <w:rsid w:val="00DF1D85"/>
    <w:rsid w:val="00DF2F1C"/>
    <w:rsid w:val="00DF6183"/>
    <w:rsid w:val="00DF7A08"/>
    <w:rsid w:val="00E034A8"/>
    <w:rsid w:val="00E10883"/>
    <w:rsid w:val="00E211AA"/>
    <w:rsid w:val="00E2625C"/>
    <w:rsid w:val="00E2752D"/>
    <w:rsid w:val="00E316A5"/>
    <w:rsid w:val="00E44396"/>
    <w:rsid w:val="00E50380"/>
    <w:rsid w:val="00E55C9E"/>
    <w:rsid w:val="00E606A9"/>
    <w:rsid w:val="00E71E20"/>
    <w:rsid w:val="00E7242F"/>
    <w:rsid w:val="00E76D3B"/>
    <w:rsid w:val="00E91C6F"/>
    <w:rsid w:val="00E91D59"/>
    <w:rsid w:val="00E93D30"/>
    <w:rsid w:val="00E9521F"/>
    <w:rsid w:val="00E962F8"/>
    <w:rsid w:val="00EA4AB2"/>
    <w:rsid w:val="00EA4AD3"/>
    <w:rsid w:val="00EA661B"/>
    <w:rsid w:val="00EB32DD"/>
    <w:rsid w:val="00EB3439"/>
    <w:rsid w:val="00EB5BCB"/>
    <w:rsid w:val="00EC0095"/>
    <w:rsid w:val="00EC1CBA"/>
    <w:rsid w:val="00EC730F"/>
    <w:rsid w:val="00EE2765"/>
    <w:rsid w:val="00EF476F"/>
    <w:rsid w:val="00EF4EFF"/>
    <w:rsid w:val="00EF7F29"/>
    <w:rsid w:val="00F0252C"/>
    <w:rsid w:val="00F04EEA"/>
    <w:rsid w:val="00F17348"/>
    <w:rsid w:val="00F215D6"/>
    <w:rsid w:val="00F26BD1"/>
    <w:rsid w:val="00F30872"/>
    <w:rsid w:val="00F31294"/>
    <w:rsid w:val="00F52B3D"/>
    <w:rsid w:val="00F52F6A"/>
    <w:rsid w:val="00F5692A"/>
    <w:rsid w:val="00F63883"/>
    <w:rsid w:val="00F63F1F"/>
    <w:rsid w:val="00F6477F"/>
    <w:rsid w:val="00F6501E"/>
    <w:rsid w:val="00F65F31"/>
    <w:rsid w:val="00F67B61"/>
    <w:rsid w:val="00F718BB"/>
    <w:rsid w:val="00F71ABC"/>
    <w:rsid w:val="00F74C10"/>
    <w:rsid w:val="00F76B3F"/>
    <w:rsid w:val="00F83985"/>
    <w:rsid w:val="00F848D8"/>
    <w:rsid w:val="00F912A3"/>
    <w:rsid w:val="00F95B01"/>
    <w:rsid w:val="00FA0F77"/>
    <w:rsid w:val="00FA6504"/>
    <w:rsid w:val="00FB1905"/>
    <w:rsid w:val="00FB25C9"/>
    <w:rsid w:val="00FC3E20"/>
    <w:rsid w:val="00FD24A6"/>
    <w:rsid w:val="00FD2EA7"/>
    <w:rsid w:val="00FD2F56"/>
    <w:rsid w:val="00FE21C5"/>
    <w:rsid w:val="00FE3C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FF"/>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paragraph" w:styleId="FootnoteText">
    <w:name w:val="footnote text"/>
    <w:basedOn w:val="Normal"/>
    <w:link w:val="FootnoteTextChar"/>
    <w:uiPriority w:val="99"/>
    <w:semiHidden/>
    <w:unhideWhenUsed/>
    <w:rsid w:val="00BF3948"/>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semiHidden/>
    <w:rsid w:val="00BF394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semiHidden/>
    <w:unhideWhenUsed/>
    <w:rsid w:val="00BF3948"/>
    <w:rPr>
      <w:vertAlign w:val="superscript"/>
    </w:rPr>
  </w:style>
  <w:style w:type="character" w:customStyle="1" w:styleId="ListParagraphChar">
    <w:name w:val="List Paragraph Char"/>
    <w:link w:val="ListParagraph"/>
    <w:uiPriority w:val="34"/>
    <w:rsid w:val="00F8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78">
      <w:bodyDiv w:val="1"/>
      <w:marLeft w:val="0"/>
      <w:marRight w:val="0"/>
      <w:marTop w:val="0"/>
      <w:marBottom w:val="0"/>
      <w:divBdr>
        <w:top w:val="none" w:sz="0" w:space="0" w:color="auto"/>
        <w:left w:val="none" w:sz="0" w:space="0" w:color="auto"/>
        <w:bottom w:val="none" w:sz="0" w:space="0" w:color="auto"/>
        <w:right w:val="none" w:sz="0" w:space="0" w:color="auto"/>
      </w:divBdr>
    </w:div>
    <w:div w:id="116458287">
      <w:bodyDiv w:val="1"/>
      <w:marLeft w:val="0"/>
      <w:marRight w:val="0"/>
      <w:marTop w:val="0"/>
      <w:marBottom w:val="0"/>
      <w:divBdr>
        <w:top w:val="none" w:sz="0" w:space="0" w:color="auto"/>
        <w:left w:val="none" w:sz="0" w:space="0" w:color="auto"/>
        <w:bottom w:val="none" w:sz="0" w:space="0" w:color="auto"/>
        <w:right w:val="none" w:sz="0" w:space="0" w:color="auto"/>
      </w:divBdr>
    </w:div>
    <w:div w:id="122886339">
      <w:bodyDiv w:val="1"/>
      <w:marLeft w:val="0"/>
      <w:marRight w:val="0"/>
      <w:marTop w:val="0"/>
      <w:marBottom w:val="0"/>
      <w:divBdr>
        <w:top w:val="none" w:sz="0" w:space="0" w:color="auto"/>
        <w:left w:val="none" w:sz="0" w:space="0" w:color="auto"/>
        <w:bottom w:val="none" w:sz="0" w:space="0" w:color="auto"/>
        <w:right w:val="none" w:sz="0" w:space="0" w:color="auto"/>
      </w:divBdr>
    </w:div>
    <w:div w:id="225335694">
      <w:bodyDiv w:val="1"/>
      <w:marLeft w:val="0"/>
      <w:marRight w:val="0"/>
      <w:marTop w:val="0"/>
      <w:marBottom w:val="0"/>
      <w:divBdr>
        <w:top w:val="none" w:sz="0" w:space="0" w:color="auto"/>
        <w:left w:val="none" w:sz="0" w:space="0" w:color="auto"/>
        <w:bottom w:val="none" w:sz="0" w:space="0" w:color="auto"/>
        <w:right w:val="none" w:sz="0" w:space="0" w:color="auto"/>
      </w:divBdr>
    </w:div>
    <w:div w:id="384762484">
      <w:bodyDiv w:val="1"/>
      <w:marLeft w:val="0"/>
      <w:marRight w:val="0"/>
      <w:marTop w:val="0"/>
      <w:marBottom w:val="0"/>
      <w:divBdr>
        <w:top w:val="none" w:sz="0" w:space="0" w:color="auto"/>
        <w:left w:val="none" w:sz="0" w:space="0" w:color="auto"/>
        <w:bottom w:val="none" w:sz="0" w:space="0" w:color="auto"/>
        <w:right w:val="none" w:sz="0" w:space="0" w:color="auto"/>
      </w:divBdr>
    </w:div>
    <w:div w:id="448622366">
      <w:bodyDiv w:val="1"/>
      <w:marLeft w:val="0"/>
      <w:marRight w:val="0"/>
      <w:marTop w:val="0"/>
      <w:marBottom w:val="0"/>
      <w:divBdr>
        <w:top w:val="none" w:sz="0" w:space="0" w:color="auto"/>
        <w:left w:val="none" w:sz="0" w:space="0" w:color="auto"/>
        <w:bottom w:val="none" w:sz="0" w:space="0" w:color="auto"/>
        <w:right w:val="none" w:sz="0" w:space="0" w:color="auto"/>
      </w:divBdr>
    </w:div>
    <w:div w:id="582571454">
      <w:bodyDiv w:val="1"/>
      <w:marLeft w:val="0"/>
      <w:marRight w:val="0"/>
      <w:marTop w:val="0"/>
      <w:marBottom w:val="0"/>
      <w:divBdr>
        <w:top w:val="none" w:sz="0" w:space="0" w:color="auto"/>
        <w:left w:val="none" w:sz="0" w:space="0" w:color="auto"/>
        <w:bottom w:val="none" w:sz="0" w:space="0" w:color="auto"/>
        <w:right w:val="none" w:sz="0" w:space="0" w:color="auto"/>
      </w:divBdr>
    </w:div>
    <w:div w:id="637958057">
      <w:bodyDiv w:val="1"/>
      <w:marLeft w:val="0"/>
      <w:marRight w:val="0"/>
      <w:marTop w:val="0"/>
      <w:marBottom w:val="0"/>
      <w:divBdr>
        <w:top w:val="none" w:sz="0" w:space="0" w:color="auto"/>
        <w:left w:val="none" w:sz="0" w:space="0" w:color="auto"/>
        <w:bottom w:val="none" w:sz="0" w:space="0" w:color="auto"/>
        <w:right w:val="none" w:sz="0" w:space="0" w:color="auto"/>
      </w:divBdr>
    </w:div>
    <w:div w:id="735594718">
      <w:bodyDiv w:val="1"/>
      <w:marLeft w:val="0"/>
      <w:marRight w:val="0"/>
      <w:marTop w:val="0"/>
      <w:marBottom w:val="0"/>
      <w:divBdr>
        <w:top w:val="none" w:sz="0" w:space="0" w:color="auto"/>
        <w:left w:val="none" w:sz="0" w:space="0" w:color="auto"/>
        <w:bottom w:val="none" w:sz="0" w:space="0" w:color="auto"/>
        <w:right w:val="none" w:sz="0" w:space="0" w:color="auto"/>
      </w:divBdr>
    </w:div>
    <w:div w:id="748504384">
      <w:bodyDiv w:val="1"/>
      <w:marLeft w:val="0"/>
      <w:marRight w:val="0"/>
      <w:marTop w:val="0"/>
      <w:marBottom w:val="0"/>
      <w:divBdr>
        <w:top w:val="none" w:sz="0" w:space="0" w:color="auto"/>
        <w:left w:val="none" w:sz="0" w:space="0" w:color="auto"/>
        <w:bottom w:val="none" w:sz="0" w:space="0" w:color="auto"/>
        <w:right w:val="none" w:sz="0" w:space="0" w:color="auto"/>
      </w:divBdr>
    </w:div>
    <w:div w:id="91038907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1068">
      <w:bodyDiv w:val="1"/>
      <w:marLeft w:val="0"/>
      <w:marRight w:val="0"/>
      <w:marTop w:val="0"/>
      <w:marBottom w:val="0"/>
      <w:divBdr>
        <w:top w:val="none" w:sz="0" w:space="0" w:color="auto"/>
        <w:left w:val="none" w:sz="0" w:space="0" w:color="auto"/>
        <w:bottom w:val="none" w:sz="0" w:space="0" w:color="auto"/>
        <w:right w:val="none" w:sz="0" w:space="0" w:color="auto"/>
      </w:divBdr>
    </w:div>
    <w:div w:id="1054158114">
      <w:bodyDiv w:val="1"/>
      <w:marLeft w:val="0"/>
      <w:marRight w:val="0"/>
      <w:marTop w:val="0"/>
      <w:marBottom w:val="0"/>
      <w:divBdr>
        <w:top w:val="none" w:sz="0" w:space="0" w:color="auto"/>
        <w:left w:val="none" w:sz="0" w:space="0" w:color="auto"/>
        <w:bottom w:val="none" w:sz="0" w:space="0" w:color="auto"/>
        <w:right w:val="none" w:sz="0" w:space="0" w:color="auto"/>
      </w:divBdr>
    </w:div>
    <w:div w:id="1090007005">
      <w:bodyDiv w:val="1"/>
      <w:marLeft w:val="0"/>
      <w:marRight w:val="0"/>
      <w:marTop w:val="0"/>
      <w:marBottom w:val="0"/>
      <w:divBdr>
        <w:top w:val="none" w:sz="0" w:space="0" w:color="auto"/>
        <w:left w:val="none" w:sz="0" w:space="0" w:color="auto"/>
        <w:bottom w:val="none" w:sz="0" w:space="0" w:color="auto"/>
        <w:right w:val="none" w:sz="0" w:space="0" w:color="auto"/>
      </w:divBdr>
    </w:div>
    <w:div w:id="1284192436">
      <w:bodyDiv w:val="1"/>
      <w:marLeft w:val="0"/>
      <w:marRight w:val="0"/>
      <w:marTop w:val="0"/>
      <w:marBottom w:val="0"/>
      <w:divBdr>
        <w:top w:val="none" w:sz="0" w:space="0" w:color="auto"/>
        <w:left w:val="none" w:sz="0" w:space="0" w:color="auto"/>
        <w:bottom w:val="none" w:sz="0" w:space="0" w:color="auto"/>
        <w:right w:val="none" w:sz="0" w:space="0" w:color="auto"/>
      </w:divBdr>
    </w:div>
    <w:div w:id="1497384449">
      <w:bodyDiv w:val="1"/>
      <w:marLeft w:val="0"/>
      <w:marRight w:val="0"/>
      <w:marTop w:val="0"/>
      <w:marBottom w:val="0"/>
      <w:divBdr>
        <w:top w:val="none" w:sz="0" w:space="0" w:color="auto"/>
        <w:left w:val="none" w:sz="0" w:space="0" w:color="auto"/>
        <w:bottom w:val="none" w:sz="0" w:space="0" w:color="auto"/>
        <w:right w:val="none" w:sz="0" w:space="0" w:color="auto"/>
      </w:divBdr>
    </w:div>
    <w:div w:id="1524635428">
      <w:bodyDiv w:val="1"/>
      <w:marLeft w:val="0"/>
      <w:marRight w:val="0"/>
      <w:marTop w:val="0"/>
      <w:marBottom w:val="0"/>
      <w:divBdr>
        <w:top w:val="none" w:sz="0" w:space="0" w:color="auto"/>
        <w:left w:val="none" w:sz="0" w:space="0" w:color="auto"/>
        <w:bottom w:val="none" w:sz="0" w:space="0" w:color="auto"/>
        <w:right w:val="none" w:sz="0" w:space="0" w:color="auto"/>
      </w:divBdr>
    </w:div>
    <w:div w:id="1579711515">
      <w:bodyDiv w:val="1"/>
      <w:marLeft w:val="0"/>
      <w:marRight w:val="0"/>
      <w:marTop w:val="0"/>
      <w:marBottom w:val="0"/>
      <w:divBdr>
        <w:top w:val="none" w:sz="0" w:space="0" w:color="auto"/>
        <w:left w:val="none" w:sz="0" w:space="0" w:color="auto"/>
        <w:bottom w:val="none" w:sz="0" w:space="0" w:color="auto"/>
        <w:right w:val="none" w:sz="0" w:space="0" w:color="auto"/>
      </w:divBdr>
    </w:div>
    <w:div w:id="1581332411">
      <w:bodyDiv w:val="1"/>
      <w:marLeft w:val="0"/>
      <w:marRight w:val="0"/>
      <w:marTop w:val="0"/>
      <w:marBottom w:val="0"/>
      <w:divBdr>
        <w:top w:val="none" w:sz="0" w:space="0" w:color="auto"/>
        <w:left w:val="none" w:sz="0" w:space="0" w:color="auto"/>
        <w:bottom w:val="none" w:sz="0" w:space="0" w:color="auto"/>
        <w:right w:val="none" w:sz="0" w:space="0" w:color="auto"/>
      </w:divBdr>
    </w:div>
    <w:div w:id="1686059692">
      <w:bodyDiv w:val="1"/>
      <w:marLeft w:val="0"/>
      <w:marRight w:val="0"/>
      <w:marTop w:val="0"/>
      <w:marBottom w:val="0"/>
      <w:divBdr>
        <w:top w:val="none" w:sz="0" w:space="0" w:color="auto"/>
        <w:left w:val="none" w:sz="0" w:space="0" w:color="auto"/>
        <w:bottom w:val="none" w:sz="0" w:space="0" w:color="auto"/>
        <w:right w:val="none" w:sz="0" w:space="0" w:color="auto"/>
      </w:divBdr>
    </w:div>
    <w:div w:id="1714108754">
      <w:bodyDiv w:val="1"/>
      <w:marLeft w:val="0"/>
      <w:marRight w:val="0"/>
      <w:marTop w:val="0"/>
      <w:marBottom w:val="0"/>
      <w:divBdr>
        <w:top w:val="none" w:sz="0" w:space="0" w:color="auto"/>
        <w:left w:val="none" w:sz="0" w:space="0" w:color="auto"/>
        <w:bottom w:val="none" w:sz="0" w:space="0" w:color="auto"/>
        <w:right w:val="none" w:sz="0" w:space="0" w:color="auto"/>
      </w:divBdr>
    </w:div>
    <w:div w:id="1721006644">
      <w:bodyDiv w:val="1"/>
      <w:marLeft w:val="0"/>
      <w:marRight w:val="0"/>
      <w:marTop w:val="0"/>
      <w:marBottom w:val="0"/>
      <w:divBdr>
        <w:top w:val="none" w:sz="0" w:space="0" w:color="auto"/>
        <w:left w:val="none" w:sz="0" w:space="0" w:color="auto"/>
        <w:bottom w:val="none" w:sz="0" w:space="0" w:color="auto"/>
        <w:right w:val="none" w:sz="0" w:space="0" w:color="auto"/>
      </w:divBdr>
    </w:div>
    <w:div w:id="1757745065">
      <w:bodyDiv w:val="1"/>
      <w:marLeft w:val="0"/>
      <w:marRight w:val="0"/>
      <w:marTop w:val="0"/>
      <w:marBottom w:val="0"/>
      <w:divBdr>
        <w:top w:val="none" w:sz="0" w:space="0" w:color="auto"/>
        <w:left w:val="none" w:sz="0" w:space="0" w:color="auto"/>
        <w:bottom w:val="none" w:sz="0" w:space="0" w:color="auto"/>
        <w:right w:val="none" w:sz="0" w:space="0" w:color="auto"/>
      </w:divBdr>
    </w:div>
    <w:div w:id="1876846037">
      <w:bodyDiv w:val="1"/>
      <w:marLeft w:val="0"/>
      <w:marRight w:val="0"/>
      <w:marTop w:val="0"/>
      <w:marBottom w:val="0"/>
      <w:divBdr>
        <w:top w:val="none" w:sz="0" w:space="0" w:color="auto"/>
        <w:left w:val="none" w:sz="0" w:space="0" w:color="auto"/>
        <w:bottom w:val="none" w:sz="0" w:space="0" w:color="auto"/>
        <w:right w:val="none" w:sz="0" w:space="0" w:color="auto"/>
      </w:divBdr>
    </w:div>
    <w:div w:id="1886986480">
      <w:bodyDiv w:val="1"/>
      <w:marLeft w:val="0"/>
      <w:marRight w:val="0"/>
      <w:marTop w:val="0"/>
      <w:marBottom w:val="0"/>
      <w:divBdr>
        <w:top w:val="none" w:sz="0" w:space="0" w:color="auto"/>
        <w:left w:val="none" w:sz="0" w:space="0" w:color="auto"/>
        <w:bottom w:val="none" w:sz="0" w:space="0" w:color="auto"/>
        <w:right w:val="none" w:sz="0" w:space="0" w:color="auto"/>
      </w:divBdr>
    </w:div>
    <w:div w:id="1905024500">
      <w:bodyDiv w:val="1"/>
      <w:marLeft w:val="0"/>
      <w:marRight w:val="0"/>
      <w:marTop w:val="0"/>
      <w:marBottom w:val="0"/>
      <w:divBdr>
        <w:top w:val="none" w:sz="0" w:space="0" w:color="auto"/>
        <w:left w:val="none" w:sz="0" w:space="0" w:color="auto"/>
        <w:bottom w:val="none" w:sz="0" w:space="0" w:color="auto"/>
        <w:right w:val="none" w:sz="0" w:space="0" w:color="auto"/>
      </w:divBdr>
    </w:div>
    <w:div w:id="199382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8597D671-4F4F-429E-85B6-E389806648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8384</Words>
  <Characters>47794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10</cp:revision>
  <cp:lastPrinted>2023-07-03T02:15:00Z</cp:lastPrinted>
  <dcterms:created xsi:type="dcterms:W3CDTF">2025-02-06T10:39:00Z</dcterms:created>
  <dcterms:modified xsi:type="dcterms:W3CDTF">2025-02-21T12:15:00Z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768294ce-4f58-3daa-8f26-28e406b67a76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y fmtid="{D5CDD505-2E9C-101B-9397-08002B2CF9AE}" pid="33" name="GrammarlyDocumentId">
    <vt:lpwstr>9f3a238d779fd6e0b113056706db2986b9ea524a22e850aa1a82b41d4415f412</vt:lpwstr>
  </property>
</Properties>
</file>