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EC77A" w14:textId="77777777" w:rsidR="00F83D7E" w:rsidRDefault="00000000">
      <w:pPr>
        <w:spacing w:line="240" w:lineRule="auto"/>
      </w:pPr>
      <w:r>
        <w:rPr>
          <w:noProof/>
        </w:rPr>
        <mc:AlternateContent>
          <mc:Choice Requires="wps">
            <w:drawing>
              <wp:anchor distT="0" distB="0" distL="114300" distR="114300" simplePos="0" relativeHeight="251658240" behindDoc="0" locked="0" layoutInCell="1" hidden="0" allowOverlap="1" wp14:anchorId="0038BF7E" wp14:editId="1C16EC57">
                <wp:simplePos x="0" y="0"/>
                <wp:positionH relativeFrom="column">
                  <wp:posOffset>165100</wp:posOffset>
                </wp:positionH>
                <wp:positionV relativeFrom="paragraph">
                  <wp:posOffset>-50799</wp:posOffset>
                </wp:positionV>
                <wp:extent cx="5562600" cy="1073150"/>
                <wp:effectExtent l="0" t="0" r="0" b="0"/>
                <wp:wrapNone/>
                <wp:docPr id="3" name="Rectangle 3"/>
                <wp:cNvGraphicFramePr/>
                <a:graphic xmlns:a="http://schemas.openxmlformats.org/drawingml/2006/main">
                  <a:graphicData uri="http://schemas.microsoft.com/office/word/2010/wordprocessingShape">
                    <wps:wsp>
                      <wps:cNvSpPr/>
                      <wps:spPr>
                        <a:xfrm>
                          <a:off x="2578988" y="3257713"/>
                          <a:ext cx="5534025" cy="1044575"/>
                        </a:xfrm>
                        <a:prstGeom prst="rect">
                          <a:avLst/>
                        </a:prstGeom>
                        <a:solidFill>
                          <a:srgbClr val="FFFFFF"/>
                        </a:solidFill>
                        <a:ln>
                          <a:noFill/>
                        </a:ln>
                      </wps:spPr>
                      <wps:txbx>
                        <w:txbxContent>
                          <w:p w14:paraId="78DE20D0" w14:textId="77777777" w:rsidR="00F83D7E" w:rsidRDefault="00000000">
                            <w:pPr>
                              <w:spacing w:line="240" w:lineRule="auto"/>
                              <w:jc w:val="center"/>
                              <w:textDirection w:val="btLr"/>
                            </w:pPr>
                            <w:r>
                              <w:rPr>
                                <w:rFonts w:ascii="Constantia" w:eastAsia="Constantia" w:hAnsi="Constantia" w:cs="Constantia"/>
                                <w:color w:val="000000"/>
                                <w:sz w:val="36"/>
                              </w:rPr>
                              <w:t>Jurnal Riset Akuntansi</w:t>
                            </w:r>
                          </w:p>
                          <w:p w14:paraId="7C9DBDD3" w14:textId="77777777" w:rsidR="00F83D7E" w:rsidRDefault="00000000">
                            <w:pPr>
                              <w:spacing w:line="240" w:lineRule="auto"/>
                              <w:jc w:val="center"/>
                              <w:textDirection w:val="btLr"/>
                            </w:pPr>
                            <w:r>
                              <w:rPr>
                                <w:rFonts w:ascii="Constantia" w:eastAsia="Constantia" w:hAnsi="Constantia" w:cs="Constantia"/>
                                <w:color w:val="000000"/>
                                <w:sz w:val="36"/>
                              </w:rPr>
                              <w:t>dan Keuangan</w:t>
                            </w:r>
                          </w:p>
                          <w:p w14:paraId="4A884801" w14:textId="77777777" w:rsidR="00F83D7E" w:rsidRDefault="00000000">
                            <w:pPr>
                              <w:spacing w:line="240" w:lineRule="auto"/>
                              <w:jc w:val="center"/>
                              <w:textDirection w:val="btLr"/>
                            </w:pPr>
                            <w:r>
                              <w:rPr>
                                <w:color w:val="000000"/>
                              </w:rPr>
                              <w:t xml:space="preserve">Journal homepage: </w:t>
                            </w:r>
                            <w:r>
                              <w:rPr>
                                <w:color w:val="0000FF"/>
                                <w:u w:val="single"/>
                              </w:rPr>
                              <w:t>https://ejournal.upi.edu/index.php/JRAK/</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0038BF7E" id="Rectangle 3" o:spid="_x0000_s1026" style="position:absolute;margin-left:13pt;margin-top:-4pt;width:438pt;height:8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" stroked="f">
                <v:textbox inset="2.53958mm,1.2694mm,2.53958mm,1.2694mm">
                  <w:txbxContent>
                    <w:p w14:paraId="78DE20D0" w14:textId="77777777" w:rsidR="00F83D7E" w:rsidRDefault="00000000">
                      <w:pPr>
                        <w:spacing w:line="240" w:lineRule="auto"/>
                        <w:jc w:val="center"/>
                        <w:textDirection w:val="btLr"/>
                      </w:pPr>
                      <w:proofErr w:type="spellStart"/>
                      <w:r>
                        <w:rPr>
                          <w:rFonts w:ascii="Constantia" w:eastAsia="Constantia" w:hAnsi="Constantia" w:cs="Constantia"/>
                          <w:color w:val="000000"/>
                          <w:sz w:val="36"/>
                        </w:rPr>
                        <w:t>Jurnal</w:t>
                      </w:r>
                      <w:proofErr w:type="spellEnd"/>
                      <w:r>
                        <w:rPr>
                          <w:rFonts w:ascii="Constantia" w:eastAsia="Constantia" w:hAnsi="Constantia" w:cs="Constantia"/>
                          <w:color w:val="000000"/>
                          <w:sz w:val="36"/>
                        </w:rPr>
                        <w:t xml:space="preserve"> Riset </w:t>
                      </w:r>
                      <w:proofErr w:type="spellStart"/>
                      <w:r>
                        <w:rPr>
                          <w:rFonts w:ascii="Constantia" w:eastAsia="Constantia" w:hAnsi="Constantia" w:cs="Constantia"/>
                          <w:color w:val="000000"/>
                          <w:sz w:val="36"/>
                        </w:rPr>
                        <w:t>Akuntansi</w:t>
                      </w:r>
                      <w:proofErr w:type="spellEnd"/>
                    </w:p>
                    <w:p w14:paraId="7C9DBDD3" w14:textId="77777777" w:rsidR="00F83D7E" w:rsidRDefault="00000000">
                      <w:pPr>
                        <w:spacing w:line="240" w:lineRule="auto"/>
                        <w:jc w:val="center"/>
                        <w:textDirection w:val="btLr"/>
                      </w:pPr>
                      <w:r>
                        <w:rPr>
                          <w:rFonts w:ascii="Constantia" w:eastAsia="Constantia" w:hAnsi="Constantia" w:cs="Constantia"/>
                          <w:color w:val="000000"/>
                          <w:sz w:val="36"/>
                        </w:rPr>
                        <w:t xml:space="preserve">dan </w:t>
                      </w:r>
                      <w:proofErr w:type="spellStart"/>
                      <w:r>
                        <w:rPr>
                          <w:rFonts w:ascii="Constantia" w:eastAsia="Constantia" w:hAnsi="Constantia" w:cs="Constantia"/>
                          <w:color w:val="000000"/>
                          <w:sz w:val="36"/>
                        </w:rPr>
                        <w:t>Keuangan</w:t>
                      </w:r>
                      <w:proofErr w:type="spellEnd"/>
                    </w:p>
                    <w:p w14:paraId="4A884801" w14:textId="77777777" w:rsidR="00F83D7E" w:rsidRDefault="00000000">
                      <w:pPr>
                        <w:spacing w:line="240" w:lineRule="auto"/>
                        <w:jc w:val="center"/>
                        <w:textDirection w:val="btLr"/>
                      </w:pPr>
                      <w:r>
                        <w:rPr>
                          <w:color w:val="000000"/>
                        </w:rPr>
                        <w:t xml:space="preserve">Journal homepage: </w:t>
                      </w:r>
                      <w:r>
                        <w:rPr>
                          <w:color w:val="0000FF"/>
                          <w:u w:val="single"/>
                        </w:rPr>
                        <w:t>https://ejournal.upi.edu/index.php/JRAK/</w:t>
                      </w:r>
                      <w:r>
                        <w:rPr>
                          <w:color w:val="000000"/>
                        </w:rPr>
                        <w:t xml:space="preserve">  </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36758C7C" wp14:editId="569B342E">
                <wp:simplePos x="0" y="0"/>
                <wp:positionH relativeFrom="column">
                  <wp:posOffset>-584199</wp:posOffset>
                </wp:positionH>
                <wp:positionV relativeFrom="paragraph">
                  <wp:posOffset>939800</wp:posOffset>
                </wp:positionV>
                <wp:extent cx="7038975" cy="190500"/>
                <wp:effectExtent l="0" t="0" r="0" b="0"/>
                <wp:wrapNone/>
                <wp:docPr id="1" name="Straight Arrow Connector 1"/>
                <wp:cNvGraphicFramePr/>
                <a:graphic xmlns:a="http://schemas.openxmlformats.org/drawingml/2006/main">
                  <a:graphicData uri="http://schemas.microsoft.com/office/word/2010/wordprocessingShape">
                    <wps:wsp>
                      <wps:cNvCnPr/>
                      <wps:spPr>
                        <a:xfrm>
                          <a:off x="1912238" y="3770475"/>
                          <a:ext cx="6867525" cy="19050"/>
                        </a:xfrm>
                        <a:prstGeom prst="straightConnector1">
                          <a:avLst/>
                        </a:prstGeom>
                        <a:noFill/>
                        <a:ln w="57150" cap="flat" cmpd="dbl">
                          <a:solidFill>
                            <a:srgbClr val="5B9BD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939800</wp:posOffset>
                </wp:positionV>
                <wp:extent cx="7038975" cy="1905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038975" cy="190500"/>
                        </a:xfrm>
                        <a:prstGeom prst="rect"/>
                        <a:ln/>
                      </pic:spPr>
                    </pic:pic>
                  </a:graphicData>
                </a:graphic>
              </wp:anchor>
            </w:drawing>
          </mc:Fallback>
        </mc:AlternateContent>
      </w:r>
      <w:r>
        <w:rPr>
          <w:noProof/>
        </w:rPr>
        <mc:AlternateContent>
          <mc:Choice Requires="wps">
            <w:drawing>
              <wp:anchor distT="45720" distB="45720" distL="114300" distR="114300" simplePos="0" relativeHeight="251660288" behindDoc="0" locked="0" layoutInCell="1" hidden="0" allowOverlap="1" wp14:anchorId="1B2DBF53" wp14:editId="45119B3C">
                <wp:simplePos x="0" y="0"/>
                <wp:positionH relativeFrom="column">
                  <wp:posOffset>-546099</wp:posOffset>
                </wp:positionH>
                <wp:positionV relativeFrom="paragraph">
                  <wp:posOffset>-436879</wp:posOffset>
                </wp:positionV>
                <wp:extent cx="6848475" cy="285750"/>
                <wp:effectExtent l="0" t="0" r="0" b="0"/>
                <wp:wrapNone/>
                <wp:docPr id="4" name="Rectangle 4"/>
                <wp:cNvGraphicFramePr/>
                <a:graphic xmlns:a="http://schemas.openxmlformats.org/drawingml/2006/main">
                  <a:graphicData uri="http://schemas.microsoft.com/office/word/2010/wordprocessingShape">
                    <wps:wsp>
                      <wps:cNvSpPr/>
                      <wps:spPr>
                        <a:xfrm>
                          <a:off x="1936050" y="3651413"/>
                          <a:ext cx="6819900" cy="257175"/>
                        </a:xfrm>
                        <a:prstGeom prst="rect">
                          <a:avLst/>
                        </a:prstGeom>
                        <a:solidFill>
                          <a:srgbClr val="FFFFFF"/>
                        </a:solidFill>
                        <a:ln>
                          <a:noFill/>
                        </a:ln>
                      </wps:spPr>
                      <wps:txbx>
                        <w:txbxContent>
                          <w:p w14:paraId="37D65A7A" w14:textId="77777777" w:rsidR="00F83D7E" w:rsidRDefault="00000000">
                            <w:pPr>
                              <w:spacing w:line="258" w:lineRule="auto"/>
                              <w:jc w:val="center"/>
                              <w:textDirection w:val="btLr"/>
                            </w:pPr>
                            <w:r>
                              <w:rPr>
                                <w:rFonts w:ascii="Constantia" w:eastAsia="Constantia" w:hAnsi="Constantia" w:cs="Constantia"/>
                                <w:i/>
                                <w:color w:val="000000"/>
                                <w:sz w:val="20"/>
                              </w:rPr>
                              <w:t>Jurnal Riset Akuntansi dan Keuangan 12</w:t>
                            </w:r>
                            <w:r>
                              <w:rPr>
                                <w:rFonts w:ascii="Constantia" w:eastAsia="Constantia" w:hAnsi="Constantia" w:cs="Constantia"/>
                                <w:color w:val="000000"/>
                                <w:sz w:val="20"/>
                              </w:rPr>
                              <w:t>(3) (2024) xxx-xxx</w:t>
                            </w:r>
                          </w:p>
                        </w:txbxContent>
                      </wps:txbx>
                      <wps:bodyPr spcFirstLastPara="1" wrap="square" lIns="91425" tIns="45700" rIns="91425" bIns="45700" anchor="t" anchorCtr="0">
                        <a:noAutofit/>
                      </wps:bodyPr>
                    </wps:wsp>
                  </a:graphicData>
                </a:graphic>
              </wp:anchor>
            </w:drawing>
          </mc:Choice>
          <mc:Fallback>
            <w:pict>
              <v:rect w14:anchorId="1B2DBF53" id="Rectangle 4" o:spid="_x0000_s1027" style="position:absolute;margin-left:-43pt;margin-top:-34.4pt;width:539.25pt;height:2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" stroked="f">
                <v:textbox inset="2.53958mm,1.2694mm,2.53958mm,1.2694mm">
                  <w:txbxContent>
                    <w:p w14:paraId="37D65A7A" w14:textId="77777777" w:rsidR="00F83D7E" w:rsidRDefault="00000000">
                      <w:pPr>
                        <w:spacing w:line="258" w:lineRule="auto"/>
                        <w:jc w:val="center"/>
                        <w:textDirection w:val="btLr"/>
                      </w:pPr>
                      <w:proofErr w:type="spellStart"/>
                      <w:r>
                        <w:rPr>
                          <w:rFonts w:ascii="Constantia" w:eastAsia="Constantia" w:hAnsi="Constantia" w:cs="Constantia"/>
                          <w:i/>
                          <w:color w:val="000000"/>
                          <w:sz w:val="20"/>
                        </w:rPr>
                        <w:t>Jurnal</w:t>
                      </w:r>
                      <w:proofErr w:type="spellEnd"/>
                      <w:r>
                        <w:rPr>
                          <w:rFonts w:ascii="Constantia" w:eastAsia="Constantia" w:hAnsi="Constantia" w:cs="Constantia"/>
                          <w:i/>
                          <w:color w:val="000000"/>
                          <w:sz w:val="20"/>
                        </w:rPr>
                        <w:t xml:space="preserve"> Riset </w:t>
                      </w:r>
                      <w:proofErr w:type="spellStart"/>
                      <w:r>
                        <w:rPr>
                          <w:rFonts w:ascii="Constantia" w:eastAsia="Constantia" w:hAnsi="Constantia" w:cs="Constantia"/>
                          <w:i/>
                          <w:color w:val="000000"/>
                          <w:sz w:val="20"/>
                        </w:rPr>
                        <w:t>Akuntansi</w:t>
                      </w:r>
                      <w:proofErr w:type="spellEnd"/>
                      <w:r>
                        <w:rPr>
                          <w:rFonts w:ascii="Constantia" w:eastAsia="Constantia" w:hAnsi="Constantia" w:cs="Constantia"/>
                          <w:i/>
                          <w:color w:val="000000"/>
                          <w:sz w:val="20"/>
                        </w:rPr>
                        <w:t xml:space="preserve"> dan </w:t>
                      </w:r>
                      <w:proofErr w:type="spellStart"/>
                      <w:r>
                        <w:rPr>
                          <w:rFonts w:ascii="Constantia" w:eastAsia="Constantia" w:hAnsi="Constantia" w:cs="Constantia"/>
                          <w:i/>
                          <w:color w:val="000000"/>
                          <w:sz w:val="20"/>
                        </w:rPr>
                        <w:t>Keuangan</w:t>
                      </w:r>
                      <w:proofErr w:type="spellEnd"/>
                      <w:r>
                        <w:rPr>
                          <w:rFonts w:ascii="Constantia" w:eastAsia="Constantia" w:hAnsi="Constantia" w:cs="Constantia"/>
                          <w:i/>
                          <w:color w:val="000000"/>
                          <w:sz w:val="20"/>
                        </w:rPr>
                        <w:t xml:space="preserve"> 12</w:t>
                      </w:r>
                      <w:r>
                        <w:rPr>
                          <w:rFonts w:ascii="Constantia" w:eastAsia="Constantia" w:hAnsi="Constantia" w:cs="Constantia"/>
                          <w:color w:val="000000"/>
                          <w:sz w:val="20"/>
                        </w:rPr>
                        <w:t>(3) (2024) xxx-xxx</w:t>
                      </w:r>
                    </w:p>
                  </w:txbxContent>
                </v:textbox>
              </v:rect>
            </w:pict>
          </mc:Fallback>
        </mc:AlternateContent>
      </w:r>
      <w:r>
        <w:rPr>
          <w:noProof/>
        </w:rPr>
        <w:drawing>
          <wp:anchor distT="0" distB="0" distL="114300" distR="114300" simplePos="0" relativeHeight="251661312" behindDoc="0" locked="0" layoutInCell="1" hidden="0" allowOverlap="1" wp14:anchorId="4F7D1C98" wp14:editId="0DBEDE38">
            <wp:simplePos x="0" y="0"/>
            <wp:positionH relativeFrom="column">
              <wp:posOffset>-527047</wp:posOffset>
            </wp:positionH>
            <wp:positionV relativeFrom="paragraph">
              <wp:posOffset>-120011</wp:posOffset>
            </wp:positionV>
            <wp:extent cx="990600" cy="99060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0304" t="11761" r="12419" b="33531"/>
                    <a:stretch>
                      <a:fillRect/>
                    </a:stretch>
                  </pic:blipFill>
                  <pic:spPr>
                    <a:xfrm>
                      <a:off x="0" y="0"/>
                      <a:ext cx="990600" cy="990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E5FCC81" wp14:editId="6C35599C">
            <wp:simplePos x="0" y="0"/>
            <wp:positionH relativeFrom="column">
              <wp:posOffset>5543849</wp:posOffset>
            </wp:positionH>
            <wp:positionV relativeFrom="paragraph">
              <wp:posOffset>-48892</wp:posOffset>
            </wp:positionV>
            <wp:extent cx="735106" cy="1040378"/>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35106" cy="1040378"/>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55BBB37A" wp14:editId="1CE12843">
                <wp:simplePos x="0" y="0"/>
                <wp:positionH relativeFrom="column">
                  <wp:posOffset>-507999</wp:posOffset>
                </wp:positionH>
                <wp:positionV relativeFrom="paragraph">
                  <wp:posOffset>-152399</wp:posOffset>
                </wp:positionV>
                <wp:extent cx="6896100" cy="47625"/>
                <wp:effectExtent l="0" t="0" r="0" b="0"/>
                <wp:wrapNone/>
                <wp:docPr id="5" name="Straight Arrow Connector 5"/>
                <wp:cNvGraphicFramePr/>
                <a:graphic xmlns:a="http://schemas.openxmlformats.org/drawingml/2006/main">
                  <a:graphicData uri="http://schemas.microsoft.com/office/word/2010/wordprocessingShape">
                    <wps:wsp>
                      <wps:cNvCnPr/>
                      <wps:spPr>
                        <a:xfrm>
                          <a:off x="1912238" y="3770475"/>
                          <a:ext cx="6867525" cy="1905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-507999</wp:posOffset>
                </wp:positionH>
                <wp:positionV relativeFrom="paragraph">
                  <wp:posOffset>-152399</wp:posOffset>
                </wp:positionV>
                <wp:extent cx="6896100" cy="47625"/>
                <wp:effectExtent b="0" l="0" r="0" t="0"/>
                <wp:wrapNone/>
                <wp:docPr id="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896100" cy="47625"/>
                        </a:xfrm>
                        <a:prstGeom prst="rect"/>
                        <a:ln/>
                      </pic:spPr>
                    </pic:pic>
                  </a:graphicData>
                </a:graphic>
              </wp:anchor>
            </w:drawing>
          </mc:Fallback>
        </mc:AlternateContent>
      </w:r>
    </w:p>
    <w:p w14:paraId="55E73F9A" w14:textId="77777777" w:rsidR="00F83D7E" w:rsidRDefault="00F83D7E">
      <w:pPr>
        <w:spacing w:line="240" w:lineRule="auto"/>
      </w:pPr>
    </w:p>
    <w:p w14:paraId="237FDE33" w14:textId="77777777" w:rsidR="00F83D7E" w:rsidRDefault="00F83D7E">
      <w:pPr>
        <w:spacing w:line="240" w:lineRule="auto"/>
      </w:pPr>
    </w:p>
    <w:p w14:paraId="7B7C098A" w14:textId="77777777" w:rsidR="00F83D7E" w:rsidRDefault="00F83D7E">
      <w:pPr>
        <w:spacing w:line="240" w:lineRule="auto"/>
      </w:pPr>
    </w:p>
    <w:p w14:paraId="6086EA1E" w14:textId="77777777" w:rsidR="00F83D7E" w:rsidRDefault="00F83D7E">
      <w:pPr>
        <w:pBdr>
          <w:top w:val="nil"/>
          <w:left w:val="nil"/>
          <w:bottom w:val="nil"/>
          <w:right w:val="nil"/>
          <w:between w:val="nil"/>
        </w:pBdr>
        <w:spacing w:after="0" w:line="240" w:lineRule="auto"/>
        <w:jc w:val="center"/>
        <w:rPr>
          <w:color w:val="000000"/>
        </w:rPr>
      </w:pPr>
      <w:bookmarkStart w:id="0" w:name="gjdgxs" w:colFirst="0" w:colLast="0"/>
      <w:bookmarkEnd w:id="0"/>
    </w:p>
    <w:p w14:paraId="32D06BD2" w14:textId="77777777" w:rsidR="00F83D7E" w:rsidRDefault="00000000">
      <w:pPr>
        <w:jc w:val="center"/>
        <w:rPr>
          <w:rFonts w:ascii="Constantia" w:eastAsia="Constantia" w:hAnsi="Constantia" w:cs="Constantia"/>
          <w:sz w:val="32"/>
          <w:szCs w:val="32"/>
        </w:rPr>
      </w:pPr>
      <w:r>
        <w:rPr>
          <w:rFonts w:ascii="Constantia" w:eastAsia="Constantia" w:hAnsi="Constantia" w:cs="Constantia"/>
          <w:b/>
          <w:smallCaps/>
          <w:color w:val="333333"/>
          <w:sz w:val="32"/>
          <w:szCs w:val="32"/>
        </w:rPr>
        <w:t>ANALYSIS OF IMPLEMENTATION PSAK 72 ON REAL ESTATE</w:t>
      </w:r>
      <w:r>
        <w:rPr>
          <w:rFonts w:ascii="Constantia" w:eastAsia="Constantia" w:hAnsi="Constantia" w:cs="Constantia"/>
          <w:b/>
          <w:i/>
          <w:smallCaps/>
          <w:color w:val="333333"/>
          <w:sz w:val="32"/>
          <w:szCs w:val="32"/>
        </w:rPr>
        <w:t xml:space="preserve"> </w:t>
      </w:r>
      <w:r>
        <w:rPr>
          <w:rFonts w:ascii="Constantia" w:eastAsia="Constantia" w:hAnsi="Constantia" w:cs="Constantia"/>
          <w:b/>
          <w:smallCaps/>
          <w:color w:val="333333"/>
          <w:sz w:val="32"/>
          <w:szCs w:val="32"/>
        </w:rPr>
        <w:t>COMPANY PERFORMANCE</w:t>
      </w:r>
    </w:p>
    <w:p w14:paraId="00C538DA" w14:textId="77777777" w:rsidR="00F83D7E" w:rsidRDefault="00000000">
      <w:pPr>
        <w:spacing w:before="240" w:after="240"/>
        <w:jc w:val="center"/>
        <w:rPr>
          <w:i/>
          <w:sz w:val="20"/>
          <w:szCs w:val="20"/>
          <w:vertAlign w:val="superscript"/>
        </w:rPr>
      </w:pPr>
      <w:r>
        <w:rPr>
          <w:i/>
          <w:color w:val="000000"/>
          <w:sz w:val="20"/>
          <w:szCs w:val="20"/>
        </w:rPr>
        <w:t>Oswald Octaviano Orlando Odagoma</w:t>
      </w:r>
      <w:r>
        <w:rPr>
          <w:i/>
          <w:sz w:val="20"/>
          <w:szCs w:val="20"/>
          <w:vertAlign w:val="superscript"/>
        </w:rPr>
        <w:t xml:space="preserve"> 1 </w:t>
      </w:r>
      <w:r>
        <w:rPr>
          <w:i/>
          <w:sz w:val="20"/>
          <w:szCs w:val="20"/>
        </w:rPr>
        <w:t xml:space="preserve">, </w:t>
      </w:r>
      <w:r>
        <w:rPr>
          <w:i/>
          <w:color w:val="000000"/>
          <w:sz w:val="20"/>
          <w:szCs w:val="20"/>
        </w:rPr>
        <w:t xml:space="preserve">Lindrawati Lindrawati </w:t>
      </w:r>
      <w:r>
        <w:rPr>
          <w:i/>
          <w:color w:val="000000"/>
          <w:sz w:val="20"/>
          <w:szCs w:val="20"/>
          <w:vertAlign w:val="superscript"/>
        </w:rPr>
        <w:t>*</w:t>
      </w:r>
      <w:r>
        <w:rPr>
          <w:i/>
          <w:sz w:val="20"/>
          <w:szCs w:val="20"/>
          <w:vertAlign w:val="superscript"/>
        </w:rPr>
        <w:t xml:space="preserve">2 </w:t>
      </w:r>
      <w:r>
        <w:rPr>
          <w:i/>
          <w:sz w:val="20"/>
          <w:szCs w:val="20"/>
        </w:rPr>
        <w:t xml:space="preserve">, </w:t>
      </w:r>
      <w:r>
        <w:rPr>
          <w:i/>
          <w:color w:val="000000"/>
          <w:sz w:val="20"/>
          <w:szCs w:val="20"/>
        </w:rPr>
        <w:t>Adi Susanto</w:t>
      </w:r>
      <w:r>
        <w:rPr>
          <w:i/>
          <w:sz w:val="20"/>
          <w:szCs w:val="20"/>
          <w:vertAlign w:val="superscript"/>
        </w:rPr>
        <w:t xml:space="preserve"> 3</w:t>
      </w:r>
    </w:p>
    <w:p w14:paraId="2922A357" w14:textId="77777777" w:rsidR="00F83D7E" w:rsidRDefault="00000000">
      <w:pPr>
        <w:shd w:val="clear" w:color="auto" w:fill="FFFFFF"/>
        <w:spacing w:after="0" w:line="240" w:lineRule="auto"/>
        <w:jc w:val="center"/>
        <w:rPr>
          <w:sz w:val="20"/>
          <w:szCs w:val="20"/>
        </w:rPr>
      </w:pPr>
      <w:r>
        <w:rPr>
          <w:sz w:val="20"/>
          <w:szCs w:val="20"/>
          <w:vertAlign w:val="superscript"/>
        </w:rPr>
        <w:t> </w:t>
      </w:r>
      <w:r>
        <w:rPr>
          <w:sz w:val="20"/>
          <w:szCs w:val="20"/>
        </w:rPr>
        <w:t>Fakultas Bisnis, Universitas Katolik Widya Mandala Surabaya, Indonesia</w:t>
      </w:r>
    </w:p>
    <w:p w14:paraId="30E11786" w14:textId="77777777" w:rsidR="00F83D7E" w:rsidRDefault="00000000">
      <w:pPr>
        <w:tabs>
          <w:tab w:val="left" w:pos="1560"/>
        </w:tabs>
        <w:spacing w:line="276" w:lineRule="auto"/>
        <w:jc w:val="center"/>
        <w:rPr>
          <w:sz w:val="20"/>
          <w:szCs w:val="20"/>
        </w:rPr>
      </w:pPr>
      <w:r>
        <w:rPr>
          <w:sz w:val="20"/>
          <w:szCs w:val="20"/>
        </w:rPr>
        <w:t xml:space="preserve">*Correspondence: E-mail: </w:t>
      </w:r>
      <w:r>
        <w:rPr>
          <w:color w:val="00B0F0"/>
          <w:sz w:val="20"/>
          <w:szCs w:val="20"/>
        </w:rPr>
        <w:t xml:space="preserve">lindrawati@ukwms.ac.id </w:t>
      </w:r>
    </w:p>
    <w:tbl>
      <w:tblPr>
        <w:tblStyle w:val="a"/>
        <w:tblW w:w="90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102"/>
        <w:gridCol w:w="317"/>
        <w:gridCol w:w="2671"/>
      </w:tblGrid>
      <w:tr w:rsidR="00F83D7E" w14:paraId="08BE9B92" w14:textId="77777777">
        <w:tc>
          <w:tcPr>
            <w:tcW w:w="6102" w:type="dxa"/>
            <w:tcBorders>
              <w:top w:val="single" w:sz="12" w:space="0" w:color="9CC2E5"/>
              <w:bottom w:val="single" w:sz="12" w:space="0" w:color="9CC2E5"/>
            </w:tcBorders>
            <w:shd w:val="clear" w:color="auto" w:fill="auto"/>
          </w:tcPr>
          <w:p w14:paraId="465049A2" w14:textId="77777777" w:rsidR="00F83D7E" w:rsidRDefault="00000000">
            <w:pPr>
              <w:spacing w:after="0" w:line="240" w:lineRule="auto"/>
              <w:rPr>
                <w:rFonts w:ascii="Roboto" w:eastAsia="Roboto" w:hAnsi="Roboto" w:cs="Roboto"/>
                <w:b/>
              </w:rPr>
            </w:pPr>
            <w:r>
              <w:rPr>
                <w:rFonts w:ascii="Roboto" w:eastAsia="Roboto" w:hAnsi="Roboto" w:cs="Roboto"/>
                <w:b/>
              </w:rPr>
              <w:t xml:space="preserve">A B S T R A C T </w:t>
            </w:r>
          </w:p>
        </w:tc>
        <w:tc>
          <w:tcPr>
            <w:tcW w:w="317" w:type="dxa"/>
            <w:shd w:val="clear" w:color="auto" w:fill="auto"/>
          </w:tcPr>
          <w:p w14:paraId="112594CC" w14:textId="77777777" w:rsidR="00F83D7E" w:rsidRDefault="00F83D7E">
            <w:pPr>
              <w:spacing w:after="0" w:line="240" w:lineRule="auto"/>
              <w:jc w:val="center"/>
            </w:pPr>
          </w:p>
        </w:tc>
        <w:tc>
          <w:tcPr>
            <w:tcW w:w="2671" w:type="dxa"/>
            <w:tcBorders>
              <w:top w:val="single" w:sz="12" w:space="0" w:color="9CC2E5"/>
              <w:left w:val="nil"/>
              <w:bottom w:val="single" w:sz="12" w:space="0" w:color="9CC2E5"/>
            </w:tcBorders>
            <w:shd w:val="clear" w:color="auto" w:fill="auto"/>
          </w:tcPr>
          <w:p w14:paraId="69CA1619" w14:textId="77777777" w:rsidR="00F83D7E" w:rsidRDefault="00000000">
            <w:pPr>
              <w:spacing w:after="0" w:line="240" w:lineRule="auto"/>
              <w:jc w:val="center"/>
              <w:rPr>
                <w:rFonts w:ascii="Roboto" w:eastAsia="Roboto" w:hAnsi="Roboto" w:cs="Roboto"/>
                <w:b/>
              </w:rPr>
            </w:pPr>
            <w:r>
              <w:rPr>
                <w:rFonts w:ascii="Roboto" w:eastAsia="Roboto" w:hAnsi="Roboto" w:cs="Roboto"/>
                <w:b/>
              </w:rPr>
              <w:t>I N F O  A R T I K E L</w:t>
            </w:r>
          </w:p>
        </w:tc>
      </w:tr>
      <w:tr w:rsidR="00F83D7E" w14:paraId="50D831DA" w14:textId="77777777">
        <w:trPr>
          <w:trHeight w:val="4803"/>
        </w:trPr>
        <w:tc>
          <w:tcPr>
            <w:tcW w:w="6102" w:type="dxa"/>
            <w:tcBorders>
              <w:top w:val="single" w:sz="12" w:space="0" w:color="9CC2E5"/>
            </w:tcBorders>
            <w:shd w:val="clear" w:color="auto" w:fill="auto"/>
          </w:tcPr>
          <w:p w14:paraId="1362E564" w14:textId="744828BA" w:rsidR="00F83D7E" w:rsidRDefault="00000000">
            <w:pPr>
              <w:pBdr>
                <w:top w:val="nil"/>
                <w:left w:val="nil"/>
                <w:bottom w:val="nil"/>
                <w:right w:val="nil"/>
                <w:between w:val="nil"/>
              </w:pBdr>
              <w:spacing w:before="240" w:line="240" w:lineRule="auto"/>
              <w:jc w:val="both"/>
              <w:rPr>
                <w:rFonts w:ascii="Calibri" w:eastAsia="Calibri" w:hAnsi="Calibri" w:cs="Calibri"/>
                <w:sz w:val="24"/>
                <w:szCs w:val="24"/>
              </w:rPr>
            </w:pPr>
            <w:commentRangeStart w:id="1"/>
            <w:r>
              <w:rPr>
                <w:rFonts w:ascii="Calibri" w:eastAsia="Calibri" w:hAnsi="Calibri" w:cs="Calibri"/>
                <w:sz w:val="24"/>
                <w:szCs w:val="24"/>
              </w:rPr>
              <w:t xml:space="preserve">Public companies in Indonesia </w:t>
            </w:r>
            <w:r w:rsidR="00327D28">
              <w:rPr>
                <w:rFonts w:ascii="Calibri" w:eastAsia="Calibri" w:hAnsi="Calibri" w:cs="Calibri"/>
                <w:sz w:val="24"/>
                <w:szCs w:val="24"/>
              </w:rPr>
              <w:t xml:space="preserve">preparing financial reports </w:t>
            </w:r>
            <w:r>
              <w:rPr>
                <w:rFonts w:ascii="Calibri" w:eastAsia="Calibri" w:hAnsi="Calibri" w:cs="Calibri"/>
                <w:sz w:val="24"/>
                <w:szCs w:val="24"/>
              </w:rPr>
              <w:t>us</w:t>
            </w:r>
            <w:r w:rsidR="00327D28">
              <w:rPr>
                <w:rFonts w:ascii="Calibri" w:eastAsia="Calibri" w:hAnsi="Calibri" w:cs="Calibri"/>
                <w:sz w:val="24"/>
                <w:szCs w:val="24"/>
              </w:rPr>
              <w:t>ing</w:t>
            </w:r>
            <w:r>
              <w:rPr>
                <w:rFonts w:ascii="Calibri" w:eastAsia="Calibri" w:hAnsi="Calibri" w:cs="Calibri"/>
                <w:sz w:val="24"/>
                <w:szCs w:val="24"/>
              </w:rPr>
              <w:t xml:space="preserve"> </w:t>
            </w:r>
            <w:r w:rsidR="00327D28">
              <w:rPr>
                <w:rFonts w:ascii="Calibri" w:eastAsia="Calibri" w:hAnsi="Calibri" w:cs="Calibri"/>
                <w:sz w:val="24"/>
                <w:szCs w:val="24"/>
              </w:rPr>
              <w:t xml:space="preserve">PSAK that stands for </w:t>
            </w:r>
            <w:r>
              <w:rPr>
                <w:rFonts w:ascii="Calibri" w:eastAsia="Calibri" w:hAnsi="Calibri" w:cs="Calibri"/>
                <w:sz w:val="24"/>
                <w:szCs w:val="24"/>
              </w:rPr>
              <w:t xml:space="preserve">Statement of Financial Accounting Standards. In 2020, PSAK 72 appeared which regulates contract income from customers. </w:t>
            </w:r>
            <w:r w:rsidR="003305D5">
              <w:rPr>
                <w:rFonts w:ascii="Calibri" w:eastAsia="Calibri" w:hAnsi="Calibri" w:cs="Calibri"/>
                <w:sz w:val="24"/>
                <w:szCs w:val="24"/>
              </w:rPr>
              <w:t>A</w:t>
            </w:r>
            <w:r>
              <w:rPr>
                <w:rFonts w:ascii="Calibri" w:eastAsia="Calibri" w:hAnsi="Calibri" w:cs="Calibri"/>
                <w:sz w:val="24"/>
                <w:szCs w:val="24"/>
              </w:rPr>
              <w:t>im</w:t>
            </w:r>
            <w:r w:rsidR="003305D5">
              <w:rPr>
                <w:rFonts w:ascii="Calibri" w:eastAsia="Calibri" w:hAnsi="Calibri" w:cs="Calibri"/>
                <w:sz w:val="24"/>
                <w:szCs w:val="24"/>
              </w:rPr>
              <w:t xml:space="preserve"> for this research is </w:t>
            </w:r>
            <w:r>
              <w:rPr>
                <w:rFonts w:ascii="Calibri" w:eastAsia="Calibri" w:hAnsi="Calibri" w:cs="Calibri"/>
                <w:sz w:val="24"/>
                <w:szCs w:val="24"/>
              </w:rPr>
              <w:t xml:space="preserve">to </w:t>
            </w:r>
            <w:r w:rsidR="003305D5">
              <w:rPr>
                <w:rFonts w:ascii="Calibri" w:eastAsia="Calibri" w:hAnsi="Calibri" w:cs="Calibri"/>
                <w:sz w:val="24"/>
                <w:szCs w:val="24"/>
              </w:rPr>
              <w:t xml:space="preserve">empirical testing the </w:t>
            </w:r>
            <w:r>
              <w:rPr>
                <w:rFonts w:ascii="Calibri" w:eastAsia="Calibri" w:hAnsi="Calibri" w:cs="Calibri"/>
                <w:sz w:val="24"/>
                <w:szCs w:val="24"/>
              </w:rPr>
              <w:t>performance of real estate companies</w:t>
            </w:r>
            <w:r w:rsidR="003305D5">
              <w:rPr>
                <w:rFonts w:ascii="Calibri" w:eastAsia="Calibri" w:hAnsi="Calibri" w:cs="Calibri"/>
                <w:sz w:val="24"/>
                <w:szCs w:val="24"/>
              </w:rPr>
              <w:t xml:space="preserve"> listed on the Indonesia Stock Exchange,</w:t>
            </w:r>
            <w:r>
              <w:rPr>
                <w:rFonts w:ascii="Calibri" w:eastAsia="Calibri" w:hAnsi="Calibri" w:cs="Calibri"/>
                <w:sz w:val="24"/>
                <w:szCs w:val="24"/>
              </w:rPr>
              <w:t xml:space="preserve"> before and after the implementation of PSAK 72</w:t>
            </w:r>
            <w:r w:rsidR="003305D5">
              <w:rPr>
                <w:rFonts w:ascii="Calibri" w:eastAsia="Calibri" w:hAnsi="Calibri" w:cs="Calibri"/>
                <w:sz w:val="24"/>
                <w:szCs w:val="24"/>
              </w:rPr>
              <w:t xml:space="preserve"> </w:t>
            </w:r>
            <w:r>
              <w:rPr>
                <w:rFonts w:ascii="Calibri" w:eastAsia="Calibri" w:hAnsi="Calibri" w:cs="Calibri"/>
                <w:sz w:val="24"/>
                <w:szCs w:val="24"/>
              </w:rPr>
              <w:t>for period 2018-2021</w:t>
            </w:r>
            <w:r w:rsidR="003305D5">
              <w:rPr>
                <w:rFonts w:ascii="Calibri" w:eastAsia="Calibri" w:hAnsi="Calibri" w:cs="Calibri"/>
                <w:sz w:val="24"/>
                <w:szCs w:val="24"/>
              </w:rPr>
              <w:t>.</w:t>
            </w:r>
            <w:r>
              <w:rPr>
                <w:rFonts w:ascii="Calibri" w:eastAsia="Calibri" w:hAnsi="Calibri" w:cs="Calibri"/>
                <w:sz w:val="24"/>
                <w:szCs w:val="24"/>
              </w:rPr>
              <w:t xml:space="preserve"> </w:t>
            </w:r>
            <w:r w:rsidR="003305D5">
              <w:rPr>
                <w:rFonts w:ascii="Calibri" w:eastAsia="Calibri" w:hAnsi="Calibri" w:cs="Calibri"/>
                <w:sz w:val="24"/>
                <w:szCs w:val="24"/>
              </w:rPr>
              <w:t>A difference test using Wilcoxon</w:t>
            </w:r>
            <w:r w:rsidR="00D34F9D">
              <w:rPr>
                <w:rFonts w:ascii="Calibri" w:eastAsia="Calibri" w:hAnsi="Calibri" w:cs="Calibri"/>
                <w:sz w:val="24"/>
                <w:szCs w:val="24"/>
              </w:rPr>
              <w:t>-</w:t>
            </w:r>
            <w:r w:rsidR="003305D5">
              <w:rPr>
                <w:rFonts w:ascii="Calibri" w:eastAsia="Calibri" w:hAnsi="Calibri" w:cs="Calibri"/>
                <w:sz w:val="24"/>
                <w:szCs w:val="24"/>
              </w:rPr>
              <w:t xml:space="preserve">Signed </w:t>
            </w:r>
            <w:r w:rsidR="00D34F9D">
              <w:rPr>
                <w:rFonts w:ascii="Calibri" w:eastAsia="Calibri" w:hAnsi="Calibri" w:cs="Calibri"/>
                <w:sz w:val="24"/>
                <w:szCs w:val="24"/>
              </w:rPr>
              <w:t>t</w:t>
            </w:r>
            <w:r w:rsidR="003305D5">
              <w:rPr>
                <w:rFonts w:ascii="Calibri" w:eastAsia="Calibri" w:hAnsi="Calibri" w:cs="Calibri"/>
                <w:sz w:val="24"/>
                <w:szCs w:val="24"/>
              </w:rPr>
              <w:t xml:space="preserve">est </w:t>
            </w:r>
            <w:r>
              <w:rPr>
                <w:rFonts w:ascii="Calibri" w:eastAsia="Calibri" w:hAnsi="Calibri" w:cs="Calibri"/>
                <w:sz w:val="24"/>
                <w:szCs w:val="24"/>
              </w:rPr>
              <w:t>is</w:t>
            </w:r>
            <w:r w:rsidR="003305D5">
              <w:rPr>
                <w:rFonts w:ascii="Calibri" w:eastAsia="Calibri" w:hAnsi="Calibri" w:cs="Calibri"/>
                <w:sz w:val="24"/>
                <w:szCs w:val="24"/>
              </w:rPr>
              <w:t xml:space="preserve"> used for the data analysis technique</w:t>
            </w:r>
            <w:r>
              <w:rPr>
                <w:rFonts w:ascii="Calibri" w:eastAsia="Calibri" w:hAnsi="Calibri" w:cs="Calibri"/>
                <w:sz w:val="24"/>
                <w:szCs w:val="24"/>
              </w:rPr>
              <w:t xml:space="preserve">. </w:t>
            </w:r>
            <w:r w:rsidR="00650DE7">
              <w:rPr>
                <w:rFonts w:ascii="Calibri" w:eastAsia="Calibri" w:hAnsi="Calibri" w:cs="Calibri"/>
                <w:sz w:val="24"/>
                <w:szCs w:val="24"/>
              </w:rPr>
              <w:t>Analysis of t</w:t>
            </w:r>
            <w:r>
              <w:rPr>
                <w:rFonts w:ascii="Calibri" w:eastAsia="Calibri" w:hAnsi="Calibri" w:cs="Calibri"/>
                <w:sz w:val="24"/>
                <w:szCs w:val="24"/>
              </w:rPr>
              <w:t>he research show there is a difference in financial performance before and after the implementation of PSAK 72 which is proxied by the current ratio, return on assets, return on equity, debt to equity ratio, and total asset turnover, but there is no difference if proxied by the debt to asset ratio. Meanwhile, in market performance, there is a difference in price book value before and after the implementation of PSAK 72 but there is no difference in the price earnings ratio before and after the implementation of PSAK 72.</w:t>
            </w:r>
            <w:commentRangeEnd w:id="1"/>
            <w:r w:rsidR="008B5F56">
              <w:rPr>
                <w:rStyle w:val="ReferensiKomentar"/>
                <w:rFonts w:ascii="Calibri" w:eastAsia="Calibri" w:hAnsi="Calibri" w:cs="Calibri"/>
                <w:color w:val="auto"/>
              </w:rPr>
              <w:commentReference w:id="1"/>
            </w:r>
          </w:p>
          <w:p w14:paraId="5406ED64" w14:textId="77777777" w:rsidR="00F83D7E" w:rsidRDefault="00000000">
            <w:pPr>
              <w:pBdr>
                <w:top w:val="nil"/>
                <w:left w:val="nil"/>
                <w:bottom w:val="nil"/>
                <w:right w:val="nil"/>
                <w:between w:val="nil"/>
              </w:pBdr>
              <w:spacing w:after="0" w:line="276" w:lineRule="auto"/>
              <w:jc w:val="both"/>
              <w:rPr>
                <w:rFonts w:ascii="Roboto" w:eastAsia="Roboto" w:hAnsi="Roboto" w:cs="Roboto"/>
                <w:sz w:val="18"/>
                <w:szCs w:val="18"/>
              </w:rPr>
            </w:pPr>
            <w:r>
              <w:rPr>
                <w:sz w:val="18"/>
                <w:szCs w:val="18"/>
              </w:rPr>
              <w:t>© 2024 Kantor Jurnal dan Publikasi UPI</w:t>
            </w:r>
          </w:p>
        </w:tc>
        <w:tc>
          <w:tcPr>
            <w:tcW w:w="317" w:type="dxa"/>
            <w:shd w:val="clear" w:color="auto" w:fill="auto"/>
          </w:tcPr>
          <w:p w14:paraId="28CDFAC8" w14:textId="77777777" w:rsidR="00F83D7E" w:rsidRDefault="00F83D7E">
            <w:pPr>
              <w:spacing w:after="0" w:line="240" w:lineRule="auto"/>
              <w:rPr>
                <w:i/>
              </w:rPr>
            </w:pPr>
          </w:p>
        </w:tc>
        <w:tc>
          <w:tcPr>
            <w:tcW w:w="2671" w:type="dxa"/>
            <w:tcBorders>
              <w:top w:val="single" w:sz="12" w:space="0" w:color="9CC2E5"/>
            </w:tcBorders>
            <w:shd w:val="clear" w:color="auto" w:fill="auto"/>
          </w:tcPr>
          <w:p w14:paraId="011AA240" w14:textId="77777777" w:rsidR="00F83D7E" w:rsidRDefault="00000000">
            <w:pPr>
              <w:spacing w:after="0" w:line="240" w:lineRule="auto"/>
              <w:rPr>
                <w:rFonts w:ascii="Calibri" w:eastAsia="Calibri" w:hAnsi="Calibri" w:cs="Calibri"/>
                <w:b/>
                <w:i/>
                <w:sz w:val="18"/>
                <w:szCs w:val="18"/>
              </w:rPr>
            </w:pPr>
            <w:r>
              <w:rPr>
                <w:rFonts w:ascii="Calibri" w:eastAsia="Calibri" w:hAnsi="Calibri" w:cs="Calibri"/>
                <w:b/>
                <w:i/>
                <w:sz w:val="18"/>
                <w:szCs w:val="18"/>
              </w:rPr>
              <w:t>Article History:</w:t>
            </w:r>
          </w:p>
          <w:p w14:paraId="75CF31AF" w14:textId="77777777" w:rsidR="00F83D7E" w:rsidRDefault="00000000">
            <w:pPr>
              <w:spacing w:after="0" w:line="240" w:lineRule="auto"/>
              <w:rPr>
                <w:rFonts w:ascii="Calibri" w:eastAsia="Calibri" w:hAnsi="Calibri" w:cs="Calibri"/>
                <w:i/>
                <w:sz w:val="18"/>
                <w:szCs w:val="18"/>
              </w:rPr>
            </w:pPr>
            <w:r>
              <w:rPr>
                <w:rFonts w:ascii="Calibri" w:eastAsia="Calibri" w:hAnsi="Calibri" w:cs="Calibri"/>
                <w:i/>
                <w:sz w:val="18"/>
                <w:szCs w:val="18"/>
              </w:rPr>
              <w:t>Submitted/Received xx xxxx 2024</w:t>
            </w:r>
          </w:p>
          <w:p w14:paraId="28B20EDF" w14:textId="77777777" w:rsidR="00F83D7E" w:rsidRDefault="00000000">
            <w:pPr>
              <w:spacing w:after="0" w:line="240" w:lineRule="auto"/>
              <w:rPr>
                <w:rFonts w:ascii="Calibri" w:eastAsia="Calibri" w:hAnsi="Calibri" w:cs="Calibri"/>
                <w:i/>
                <w:sz w:val="18"/>
                <w:szCs w:val="18"/>
              </w:rPr>
            </w:pPr>
            <w:r>
              <w:rPr>
                <w:rFonts w:ascii="Calibri" w:eastAsia="Calibri" w:hAnsi="Calibri" w:cs="Calibri"/>
                <w:i/>
                <w:sz w:val="18"/>
                <w:szCs w:val="18"/>
              </w:rPr>
              <w:t>First Revised xx xxxx 2024</w:t>
            </w:r>
          </w:p>
          <w:p w14:paraId="51F14F9C" w14:textId="77777777" w:rsidR="00F83D7E" w:rsidRDefault="00000000">
            <w:pPr>
              <w:spacing w:after="0" w:line="240" w:lineRule="auto"/>
              <w:rPr>
                <w:rFonts w:ascii="Calibri" w:eastAsia="Calibri" w:hAnsi="Calibri" w:cs="Calibri"/>
                <w:i/>
                <w:sz w:val="18"/>
                <w:szCs w:val="18"/>
              </w:rPr>
            </w:pPr>
            <w:r>
              <w:rPr>
                <w:rFonts w:ascii="Calibri" w:eastAsia="Calibri" w:hAnsi="Calibri" w:cs="Calibri"/>
                <w:i/>
                <w:sz w:val="18"/>
                <w:szCs w:val="18"/>
              </w:rPr>
              <w:t>Accepted xx xxxx 2024</w:t>
            </w:r>
          </w:p>
          <w:p w14:paraId="31880244" w14:textId="77777777" w:rsidR="00F83D7E" w:rsidRDefault="00000000">
            <w:pPr>
              <w:spacing w:after="0" w:line="240" w:lineRule="auto"/>
              <w:rPr>
                <w:rFonts w:ascii="Calibri" w:eastAsia="Calibri" w:hAnsi="Calibri" w:cs="Calibri"/>
                <w:i/>
                <w:sz w:val="18"/>
                <w:szCs w:val="18"/>
              </w:rPr>
            </w:pPr>
            <w:r>
              <w:rPr>
                <w:rFonts w:ascii="Calibri" w:eastAsia="Calibri" w:hAnsi="Calibri" w:cs="Calibri"/>
                <w:i/>
                <w:sz w:val="18"/>
                <w:szCs w:val="18"/>
              </w:rPr>
              <w:t>First Available online xx xxxx 2024</w:t>
            </w:r>
          </w:p>
          <w:p w14:paraId="49CBC870" w14:textId="77777777" w:rsidR="00F83D7E" w:rsidRDefault="00000000">
            <w:pPr>
              <w:spacing w:after="0" w:line="240" w:lineRule="auto"/>
              <w:rPr>
                <w:rFonts w:ascii="Calibri" w:eastAsia="Calibri" w:hAnsi="Calibri" w:cs="Calibri"/>
                <w:i/>
                <w:sz w:val="18"/>
                <w:szCs w:val="18"/>
              </w:rPr>
            </w:pPr>
            <w:r>
              <w:rPr>
                <w:rFonts w:ascii="Calibri" w:eastAsia="Calibri" w:hAnsi="Calibri" w:cs="Calibri"/>
                <w:i/>
                <w:sz w:val="18"/>
                <w:szCs w:val="18"/>
              </w:rPr>
              <w:t>Publication Date xx xxxx 2024</w:t>
            </w:r>
          </w:p>
          <w:p w14:paraId="29D55372" w14:textId="77777777" w:rsidR="00F83D7E" w:rsidRDefault="00000000">
            <w:pPr>
              <w:spacing w:after="0" w:line="240" w:lineRule="auto"/>
              <w:rPr>
                <w:rFonts w:ascii="Calibri" w:eastAsia="Calibri" w:hAnsi="Calibri" w:cs="Calibri"/>
                <w:color w:val="5B9BD5"/>
              </w:rPr>
            </w:pPr>
            <w:r>
              <w:rPr>
                <w:rFonts w:ascii="Calibri" w:eastAsia="Calibri" w:hAnsi="Calibri" w:cs="Calibri"/>
                <w:color w:val="5B9BD5"/>
              </w:rPr>
              <w:t>____________________</w:t>
            </w:r>
          </w:p>
          <w:p w14:paraId="77EEFF52" w14:textId="77777777" w:rsidR="00F83D7E" w:rsidRDefault="00000000">
            <w:pPr>
              <w:spacing w:after="0" w:line="240" w:lineRule="auto"/>
              <w:rPr>
                <w:rFonts w:ascii="Calibri" w:eastAsia="Calibri" w:hAnsi="Calibri" w:cs="Calibri"/>
                <w:b/>
                <w:i/>
                <w:sz w:val="18"/>
                <w:szCs w:val="18"/>
              </w:rPr>
            </w:pPr>
            <w:r>
              <w:rPr>
                <w:rFonts w:ascii="Calibri" w:eastAsia="Calibri" w:hAnsi="Calibri" w:cs="Calibri"/>
                <w:b/>
                <w:i/>
                <w:sz w:val="18"/>
                <w:szCs w:val="18"/>
              </w:rPr>
              <w:t>Keyword:</w:t>
            </w:r>
          </w:p>
          <w:p w14:paraId="26C5F4DC" w14:textId="77777777" w:rsidR="00F83D7E" w:rsidRDefault="00000000">
            <w:pPr>
              <w:spacing w:after="0" w:line="240" w:lineRule="auto"/>
              <w:rPr>
                <w:rFonts w:ascii="Calibri" w:eastAsia="Calibri" w:hAnsi="Calibri" w:cs="Calibri"/>
                <w:i/>
                <w:sz w:val="18"/>
                <w:szCs w:val="18"/>
              </w:rPr>
            </w:pPr>
            <w:commentRangeStart w:id="2"/>
            <w:r>
              <w:rPr>
                <w:rFonts w:ascii="Calibri" w:eastAsia="Calibri" w:hAnsi="Calibri" w:cs="Calibri"/>
                <w:i/>
                <w:sz w:val="18"/>
                <w:szCs w:val="18"/>
              </w:rPr>
              <w:t>PSAK 72, Real Estate Company, Financial Performance, Market Performance</w:t>
            </w:r>
            <w:commentRangeEnd w:id="2"/>
            <w:r w:rsidR="008B5F56">
              <w:rPr>
                <w:rStyle w:val="ReferensiKomentar"/>
                <w:rFonts w:ascii="Calibri" w:eastAsia="Calibri" w:hAnsi="Calibri" w:cs="Calibri"/>
                <w:color w:val="auto"/>
              </w:rPr>
              <w:commentReference w:id="2"/>
            </w:r>
          </w:p>
          <w:p w14:paraId="134F705E" w14:textId="77777777" w:rsidR="00F83D7E" w:rsidRDefault="00F83D7E">
            <w:pPr>
              <w:spacing w:after="0" w:line="240" w:lineRule="auto"/>
              <w:rPr>
                <w:rFonts w:ascii="Calibri" w:eastAsia="Calibri" w:hAnsi="Calibri" w:cs="Calibri"/>
                <w:i/>
                <w:sz w:val="18"/>
                <w:szCs w:val="18"/>
              </w:rPr>
            </w:pPr>
          </w:p>
          <w:p w14:paraId="699694D2" w14:textId="77777777" w:rsidR="00F83D7E" w:rsidRDefault="00F83D7E">
            <w:pPr>
              <w:spacing w:after="0" w:line="240" w:lineRule="auto"/>
              <w:rPr>
                <w:i/>
                <w:sz w:val="18"/>
                <w:szCs w:val="18"/>
              </w:rPr>
            </w:pPr>
          </w:p>
        </w:tc>
      </w:tr>
    </w:tbl>
    <w:p w14:paraId="10FD51D0" w14:textId="77777777" w:rsidR="00F83D7E" w:rsidRDefault="00000000">
      <w:pPr>
        <w:spacing w:line="240" w:lineRule="auto"/>
        <w:rPr>
          <w:b/>
        </w:rPr>
        <w:sectPr w:rsidR="00F83D7E">
          <w:headerReference w:type="even" r:id="rId16"/>
          <w:headerReference w:type="default" r:id="rId17"/>
          <w:footerReference w:type="even" r:id="rId18"/>
          <w:footerReference w:type="default" r:id="rId19"/>
          <w:headerReference w:type="first" r:id="rId20"/>
          <w:pgSz w:w="11906" w:h="16838"/>
          <w:pgMar w:top="720" w:right="1440" w:bottom="1440" w:left="1440" w:header="720" w:footer="720" w:gutter="0"/>
          <w:pgNumType w:start="435"/>
          <w:cols w:space="720"/>
          <w:titlePg/>
        </w:sectPr>
      </w:pPr>
      <w:r>
        <w:rPr>
          <w:noProof/>
        </w:rPr>
        <mc:AlternateContent>
          <mc:Choice Requires="wpg">
            <w:drawing>
              <wp:anchor distT="4294967294" distB="4294967294" distL="114300" distR="114300" simplePos="0" relativeHeight="251664384" behindDoc="0" locked="0" layoutInCell="1" hidden="0" allowOverlap="1" wp14:anchorId="04D25D1F" wp14:editId="154B2C61">
                <wp:simplePos x="0" y="0"/>
                <wp:positionH relativeFrom="column">
                  <wp:posOffset>-546099</wp:posOffset>
                </wp:positionH>
                <wp:positionV relativeFrom="paragraph">
                  <wp:posOffset>157495</wp:posOffset>
                </wp:positionV>
                <wp:extent cx="6657975" cy="31750"/>
                <wp:effectExtent l="0" t="0" r="0" b="0"/>
                <wp:wrapNone/>
                <wp:docPr id="2" name="Straight Arrow Connector 2"/>
                <wp:cNvGraphicFramePr/>
                <a:graphic xmlns:a="http://schemas.openxmlformats.org/drawingml/2006/main">
                  <a:graphicData uri="http://schemas.microsoft.com/office/word/2010/wordprocessingShape">
                    <wps:wsp>
                      <wps:cNvCnPr/>
                      <wps:spPr>
                        <a:xfrm>
                          <a:off x="2026538" y="3780000"/>
                          <a:ext cx="6638925" cy="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-546099</wp:posOffset>
                </wp:positionH>
                <wp:positionV relativeFrom="paragraph">
                  <wp:posOffset>157495</wp:posOffset>
                </wp:positionV>
                <wp:extent cx="6657975" cy="31750"/>
                <wp:effectExtent b="0" l="0" r="0" t="0"/>
                <wp:wrapNone/>
                <wp:docPr id="2"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6657975" cy="31750"/>
                        </a:xfrm>
                        <a:prstGeom prst="rect"/>
                        <a:ln/>
                      </pic:spPr>
                    </pic:pic>
                  </a:graphicData>
                </a:graphic>
              </wp:anchor>
            </w:drawing>
          </mc:Fallback>
        </mc:AlternateContent>
      </w:r>
    </w:p>
    <w:p w14:paraId="61385554" w14:textId="77777777" w:rsidR="00F83D7E" w:rsidRDefault="00F83D7E">
      <w:pPr>
        <w:spacing w:after="0" w:line="240" w:lineRule="auto"/>
        <w:rPr>
          <w:b/>
        </w:rPr>
        <w:sectPr w:rsidR="00F83D7E">
          <w:footerReference w:type="default" r:id="rId22"/>
          <w:headerReference w:type="first" r:id="rId23"/>
          <w:type w:val="continuous"/>
          <w:pgSz w:w="11906" w:h="16838"/>
          <w:pgMar w:top="1135" w:right="1440" w:bottom="1440" w:left="1440" w:header="708" w:footer="890" w:gutter="0"/>
          <w:cols w:num="2" w:space="720" w:equalWidth="0">
            <w:col w:w="4371" w:space="284"/>
            <w:col w:w="4371" w:space="0"/>
          </w:cols>
        </w:sectPr>
      </w:pPr>
    </w:p>
    <w:p w14:paraId="492E5D45" w14:textId="77777777" w:rsidR="00F83D7E" w:rsidRDefault="00000000">
      <w:pPr>
        <w:rPr>
          <w:b/>
        </w:rPr>
      </w:pPr>
      <w:r>
        <w:br w:type="page"/>
      </w:r>
    </w:p>
    <w:p w14:paraId="12BCED2C" w14:textId="77777777" w:rsidR="00F83D7E" w:rsidRDefault="00000000">
      <w:pPr>
        <w:tabs>
          <w:tab w:val="left" w:pos="3165"/>
        </w:tabs>
        <w:spacing w:after="0" w:line="240" w:lineRule="auto"/>
        <w:jc w:val="both"/>
        <w:rPr>
          <w:b/>
        </w:rPr>
      </w:pPr>
      <w:r>
        <w:rPr>
          <w:b/>
        </w:rPr>
        <w:lastRenderedPageBreak/>
        <w:t>1. INTRODUCTION</w:t>
      </w:r>
    </w:p>
    <w:p w14:paraId="74E360F0" w14:textId="77777777" w:rsidR="00F83D7E" w:rsidRDefault="00F83D7E">
      <w:pPr>
        <w:spacing w:after="0" w:line="240" w:lineRule="auto"/>
        <w:jc w:val="both"/>
        <w:rPr>
          <w:b/>
        </w:rPr>
      </w:pPr>
    </w:p>
    <w:p w14:paraId="520ABA9E" w14:textId="488A485B" w:rsidR="00F83D7E" w:rsidRDefault="00000000">
      <w:pPr>
        <w:spacing w:after="0" w:line="240" w:lineRule="auto"/>
        <w:ind w:firstLine="270"/>
        <w:jc w:val="both"/>
      </w:pPr>
      <w:r>
        <w:t xml:space="preserve">Companies that have public accountability In Indonesia use </w:t>
      </w:r>
      <w:r w:rsidR="00420F03">
        <w:t xml:space="preserve">PSAK that stands for Statement of Financial Accounting Standards </w:t>
      </w:r>
      <w:r w:rsidR="0098292D">
        <w:t xml:space="preserve">for </w:t>
      </w:r>
      <w:r>
        <w:t>prepar</w:t>
      </w:r>
      <w:r w:rsidR="0098292D">
        <w:t>ing</w:t>
      </w:r>
      <w:r>
        <w:t xml:space="preserve"> financial report, including real estate company. PSAK was adopted from IFRS with the purpose to support national economic growth which can be achieved through transactions and foreign investment</w:t>
      </w:r>
      <w:r w:rsidR="009C61FC">
        <w:t>s</w:t>
      </w:r>
      <w:r>
        <w:t xml:space="preserve">, therefore a global accounting standard is needed in preparation of financial reports so that company financial reports in Indonesia have uniform preparation procedures and meet comparability requirements when compared with financial reports from foreign companies. This will make it easier for investors when analyzing financial reports. The income statement report </w:t>
      </w:r>
      <w:r w:rsidR="009C25CD">
        <w:t xml:space="preserve">the revenue </w:t>
      </w:r>
      <w:r>
        <w:t xml:space="preserve">that investors usually look at first when analyzing </w:t>
      </w:r>
      <w:r w:rsidR="000A0ACE">
        <w:t xml:space="preserve">the </w:t>
      </w:r>
      <w:r>
        <w:t>financial statements</w:t>
      </w:r>
      <w:r w:rsidR="000A0ACE">
        <w:t xml:space="preserve"> of a company</w:t>
      </w:r>
      <w:r>
        <w:t xml:space="preserve">. Therefore, strong guidelines are needed to recognize revenue so that there is no inaccuracy in revenue measurement and recognition when presented in income statement. Revenue must be recognized at the right time and can be measured with certainty so the company's future prospects could be seen. Improper measurement and recognition of income can cause the income presented in company's financial </w:t>
      </w:r>
      <w:r w:rsidR="00402B7B">
        <w:t xml:space="preserve">reports </w:t>
      </w:r>
      <w:r>
        <w:t>to be overstated or smaller understated than it should be.</w:t>
      </w:r>
    </w:p>
    <w:p w14:paraId="00A61ABD" w14:textId="1B940301" w:rsidR="00F83D7E" w:rsidRDefault="00000000">
      <w:pPr>
        <w:spacing w:after="0" w:line="240" w:lineRule="auto"/>
        <w:ind w:firstLine="270"/>
        <w:jc w:val="both"/>
      </w:pPr>
      <w:r>
        <w:t xml:space="preserve">Revenue was originally regulated in PSAK 23 which defined as cash inflow originating from economic benefits arising from the company's normal business processes in a certain period which can increase equity and </w:t>
      </w:r>
      <w:r w:rsidR="006C4CDB">
        <w:t xml:space="preserve">inflow of </w:t>
      </w:r>
      <w:r>
        <w:t xml:space="preserve">cash. </w:t>
      </w:r>
      <w:r w:rsidR="00C13FE2">
        <w:t xml:space="preserve">When </w:t>
      </w:r>
      <w:r>
        <w:t xml:space="preserve">the entity </w:t>
      </w:r>
      <w:r w:rsidR="005C43A4">
        <w:t xml:space="preserve">gain </w:t>
      </w:r>
      <w:r>
        <w:t>economic benefits</w:t>
      </w:r>
      <w:r w:rsidR="00C13FE2">
        <w:t xml:space="preserve"> that can be measured reliabl</w:t>
      </w:r>
      <w:r w:rsidR="001035D3">
        <w:t>y and probable</w:t>
      </w:r>
      <w:r w:rsidR="00C13FE2">
        <w:t>, they can recognize the revenue</w:t>
      </w:r>
      <w:r>
        <w:t xml:space="preserve">. The classification of income recognition regulated in PSAK 23 is based on the nature of the transaction that occurs, namely: 1) income from goods; 2) service income, and 3) interest, rental and royalty income that arises from the use of company asset by other company </w:t>
      </w:r>
      <w:r w:rsidR="009C61FC">
        <w:fldChar w:fldCharType="begin" w:fldLock="1"/>
      </w:r>
      <w:r w:rsidR="009C61FC">
        <w:instrText>ADDIN CSL_CITATION {"citationItems":[{"id":"ITEM-1","itemData":{"author":[{"dropping-particle":"","family":"Indonesian Accountants Association (IAI)","given":"","non-dropping-particle":"","parse-names":false,"suffix":""}],"id":"ITEM-1","issued":{"date-parts":[["2018"]]},"number-of-pages":"PSAK 23","publisher":"Ikatan Akuntan Indonesia","publisher-place":"Jakarta","title":"Pernyataan Standar Akuntansi Keuangan No 23 Pendapatan","type":"book"},"uris":["http://www.mendeley.com/documents/?uuid=5a3e9849-34f9-4e4e-8692-32fdd6f2a119"]}],"mendeley":{"formattedCitation":"(Indonesian Accountants Association (IAI), 2018)","plainTextFormattedCitation":"(Indonesian Accountants Association (IAI), 2018)","previouslyFormattedCitation":"(Indonesian Accountants Association (IAI), 2018)"},"properties":{"noteIndex":0},"schema":"https://github.com/citation-style-language/schema/raw/master/csl-citation.json"}</w:instrText>
      </w:r>
      <w:r w:rsidR="009C61FC">
        <w:fldChar w:fldCharType="separate"/>
      </w:r>
      <w:r w:rsidR="009C61FC" w:rsidRPr="009C61FC">
        <w:rPr>
          <w:noProof/>
        </w:rPr>
        <w:t>(Indonesian Accountants Association (IAI), 2018)</w:t>
      </w:r>
      <w:r w:rsidR="009C61FC">
        <w:fldChar w:fldCharType="end"/>
      </w:r>
      <w:r>
        <w:t xml:space="preserve">. As time goes by, PSAK 23 is no longer used. In 2017, the Indonesian Accountants Association (IAI) issued a new PSAK, namely PSAK 72, which regulates Income from Contracts with Customers </w:t>
      </w:r>
      <w:r w:rsidR="009C61FC">
        <w:fldChar w:fldCharType="begin" w:fldLock="1"/>
      </w:r>
      <w:r w:rsidR="009C61FC">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9C61FC">
        <w:fldChar w:fldCharType="separate"/>
      </w:r>
      <w:r w:rsidR="009C61FC" w:rsidRPr="009C61FC">
        <w:rPr>
          <w:noProof/>
        </w:rPr>
        <w:t>(Indonesian Accountants Association (IAI), 2022)</w:t>
      </w:r>
      <w:r w:rsidR="009C61FC">
        <w:fldChar w:fldCharType="end"/>
      </w:r>
      <w:r>
        <w:t xml:space="preserve">. PSAK 72 </w:t>
      </w:r>
      <w:r w:rsidR="00E11981">
        <w:t>refers to</w:t>
      </w:r>
      <w:r>
        <w:t xml:space="preserve"> IFRS 15</w:t>
      </w:r>
      <w:r w:rsidR="00FC7CFC">
        <w:t>,</w:t>
      </w:r>
      <w:r>
        <w:t xml:space="preserve"> which has been </w:t>
      </w:r>
      <w:r w:rsidR="00FC7CFC">
        <w:t>used</w:t>
      </w:r>
      <w:r>
        <w:t xml:space="preserve"> since January </w:t>
      </w:r>
      <w:r w:rsidR="00D43F0F">
        <w:t>first</w:t>
      </w:r>
      <w:r w:rsidR="00810244">
        <w:t>,</w:t>
      </w:r>
      <w:r>
        <w:t xml:space="preserve"> 2020 to replace PSAK 23. PSAK 23 </w:t>
      </w:r>
      <w:r w:rsidR="000B61AE">
        <w:t xml:space="preserve">changed </w:t>
      </w:r>
      <w:r>
        <w:t>to PSAK 72 due to provisions of the old revenue standard</w:t>
      </w:r>
      <w:r w:rsidR="00AF7D89">
        <w:t>,</w:t>
      </w:r>
      <w:r>
        <w:t xml:space="preserve"> making it difficult for stakeholders to understand and compare recognition income </w:t>
      </w:r>
      <w:r w:rsidR="009C61FC">
        <w:fldChar w:fldCharType="begin" w:fldLock="1"/>
      </w:r>
      <w:r w:rsidR="009C61FC">
        <w:instrText>ADDIN CSL_CITATION {"citationItems":[{"id":"ITEM-1","itemData":{"author":[{"dropping-particle":"","family":"Pradanti","given":"A","non-dropping-particle":"","parse-names":false,"suffix":""},{"dropping-particle":"","family":"Lestari","given":"U","non-dropping-particle":"","parse-names":false,"suffix":""}],"container-title":"Seminar Nasional Akuntansi Dan Manajemen","id":"ITEM-1","issued":{"date-parts":[["2022"]]},"page":"3","title":"Analisis Dampak Sebelum dan Sesudah Berlakunya PSAK 72 pada Penjualan Bangunan Terhadap Kinerja Keuangan Perusahaan Subsektor Properti dan Real Estat yang Terdaftar di Bursa Efek Indonesia Tahun 2020","type":"paper-conference"},"uris":["http://www.mendeley.com/documents/?uuid=dedf8caf-ea5a-4d1e-98e2-ec2f12f6d232"]}],"mendeley":{"formattedCitation":"(Pradanti &amp; Lestari, 2022)","plainTextFormattedCitation":"(Pradanti &amp; Lestari, 2022)","previouslyFormattedCitation":"(Pradanti &amp; Lestari, 2022)"},"properties":{"noteIndex":0},"schema":"https://github.com/citation-style-language/schema/raw/master/csl-citation.json"}</w:instrText>
      </w:r>
      <w:r w:rsidR="009C61FC">
        <w:fldChar w:fldCharType="separate"/>
      </w:r>
      <w:r w:rsidR="009C61FC" w:rsidRPr="009C61FC">
        <w:rPr>
          <w:noProof/>
        </w:rPr>
        <w:t>(Pradanti &amp; Lestari, 2022)</w:t>
      </w:r>
      <w:r w:rsidR="009C61FC">
        <w:fldChar w:fldCharType="end"/>
      </w:r>
      <w:r>
        <w:t>.</w:t>
      </w:r>
    </w:p>
    <w:p w14:paraId="33A386CF" w14:textId="0922ACFF" w:rsidR="001F4429" w:rsidRDefault="00BA3653">
      <w:pPr>
        <w:spacing w:after="0" w:line="240" w:lineRule="auto"/>
        <w:ind w:firstLine="270"/>
        <w:jc w:val="both"/>
      </w:pPr>
      <w:r>
        <w:t xml:space="preserve">The difference between </w:t>
      </w:r>
      <w:r w:rsidR="001F4429" w:rsidRPr="001F4429">
        <w:t xml:space="preserve">PSAK 72 </w:t>
      </w:r>
      <w:r>
        <w:t xml:space="preserve">and </w:t>
      </w:r>
      <w:r w:rsidR="001F4429" w:rsidRPr="001F4429">
        <w:t>the previous standard</w:t>
      </w:r>
      <w:r>
        <w:t xml:space="preserve"> is the </w:t>
      </w:r>
      <w:r w:rsidR="001F4429" w:rsidRPr="001F4429">
        <w:t xml:space="preserve">recognition </w:t>
      </w:r>
      <w:r w:rsidR="008A347F">
        <w:t xml:space="preserve">of </w:t>
      </w:r>
      <w:r w:rsidR="008A347F" w:rsidRPr="001F4429">
        <w:t xml:space="preserve">revenue </w:t>
      </w:r>
      <w:r w:rsidR="001F4429" w:rsidRPr="001F4429">
        <w:t xml:space="preserve">is no longer based on classification of the transaction, but rather 2 principles, namely: 1) </w:t>
      </w:r>
      <w:r w:rsidR="000878D6">
        <w:t xml:space="preserve">recognizing </w:t>
      </w:r>
      <w:r w:rsidR="001F4429" w:rsidRPr="001F4429">
        <w:t xml:space="preserve">revenue over the time, and 2) </w:t>
      </w:r>
      <w:r w:rsidR="000878D6">
        <w:t xml:space="preserve">recognizing </w:t>
      </w:r>
      <w:r w:rsidR="001F4429" w:rsidRPr="001F4429">
        <w:t xml:space="preserve">revenue at </w:t>
      </w:r>
      <w:r w:rsidR="000878D6">
        <w:t>some</w:t>
      </w:r>
      <w:r w:rsidR="001F4429" w:rsidRPr="001F4429">
        <w:t xml:space="preserve"> certain time </w:t>
      </w:r>
      <w:r w:rsidR="009C61FC">
        <w:fldChar w:fldCharType="begin" w:fldLock="1"/>
      </w:r>
      <w:r w:rsidR="009C61FC">
        <w:instrText>ADDIN CSL_CITATION {"citationItems":[{"id":"ITEM-1","itemData":{"URL":"https://www.pwc.com/id/en/media-centre/pwc-in news/2020/indonesian/psak-72--perusahaan-real-estat-jual-barang-atau-jasa--ini-kata-p.html","author":[{"dropping-particle":"","family":"PriceWaterhouseCoopers","given":"","non-dropping-particle":"","parse-names":false,"suffix":""}],"id":"ITEM-1","issued":{"date-parts":[["2020"]]},"title":"PSAK 72, Perusahaan Real Estat Jual Barang atau Jasa? Ini kata PwC","type":"webpage"},"uris":["http://www.mendeley.com/documents/?uuid=1acf7d0c-c4e1-4f77-9216-1b8083c3f444"]}],"mendeley":{"formattedCitation":"(PriceWaterhouseCoopers, 2020)","plainTextFormattedCitation":"(PriceWaterhouseCoopers, 2020)","previouslyFormattedCitation":"(PriceWaterhouseCoopers, 2020)"},"properties":{"noteIndex":0},"schema":"https://github.com/citation-style-language/schema/raw/master/csl-citation.json"}</w:instrText>
      </w:r>
      <w:r w:rsidR="009C61FC">
        <w:fldChar w:fldCharType="separate"/>
      </w:r>
      <w:r w:rsidR="009C61FC" w:rsidRPr="009C61FC">
        <w:rPr>
          <w:noProof/>
        </w:rPr>
        <w:t>(PriceWaterhouseCoopers, 2020)</w:t>
      </w:r>
      <w:r w:rsidR="009C61FC">
        <w:fldChar w:fldCharType="end"/>
      </w:r>
      <w:r w:rsidR="001F4429" w:rsidRPr="001F4429">
        <w:t>. This new standard stipulates that revenue should only be recognized if the obligations in the agreed contract ha</w:t>
      </w:r>
      <w:r w:rsidR="00101282">
        <w:t>s</w:t>
      </w:r>
      <w:r w:rsidR="001F4429" w:rsidRPr="001F4429">
        <w:t xml:space="preserve"> bee</w:t>
      </w:r>
      <w:r w:rsidR="00F87FDC">
        <w:t>n met</w:t>
      </w:r>
      <w:r w:rsidR="001F4429" w:rsidRPr="001F4429">
        <w:t xml:space="preserve">. Receipt of advance payments can no longer be recognized as income. This is because PSAK 23 is a transfer of risk, while PSAK 72 is a transfer of control so that the entity can recognize income more quickly or later. Revenue recognition as regulated in PSAK 72 is carried out in five steps, namely: (1) identifying contracts; (2) identifying performance obligations; (3) </w:t>
      </w:r>
      <w:r w:rsidR="00853FE3">
        <w:t xml:space="preserve">determine </w:t>
      </w:r>
      <w:r w:rsidR="001F4429" w:rsidRPr="001F4429">
        <w:t xml:space="preserve">transaction price; (4) </w:t>
      </w:r>
      <w:r w:rsidR="00D56A17">
        <w:t>allocate</w:t>
      </w:r>
      <w:r w:rsidR="001F4429" w:rsidRPr="001F4429">
        <w:t xml:space="preserve"> transaction price to </w:t>
      </w:r>
      <w:r w:rsidR="00D56A17">
        <w:t xml:space="preserve">each </w:t>
      </w:r>
      <w:r w:rsidR="001F4429" w:rsidRPr="001F4429">
        <w:t xml:space="preserve">performance obligations; and (5) revenue </w:t>
      </w:r>
      <w:r w:rsidR="00533D93">
        <w:t>recognition</w:t>
      </w:r>
      <w:r w:rsidR="00320E99">
        <w:t>,</w:t>
      </w:r>
      <w:r w:rsidR="00533D93">
        <w:t xml:space="preserve"> </w:t>
      </w:r>
      <w:r w:rsidR="001F4429" w:rsidRPr="001F4429">
        <w:t xml:space="preserve">when performance obligations </w:t>
      </w:r>
      <w:r w:rsidR="00F70D31">
        <w:t xml:space="preserve">has completed </w:t>
      </w:r>
      <w:r w:rsidR="009C61FC">
        <w:fldChar w:fldCharType="begin" w:fldLock="1"/>
      </w:r>
      <w:r w:rsidR="009C61FC">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9C61FC">
        <w:fldChar w:fldCharType="separate"/>
      </w:r>
      <w:r w:rsidR="009C61FC" w:rsidRPr="009C61FC">
        <w:rPr>
          <w:noProof/>
        </w:rPr>
        <w:t>(Indonesian Accountants Association (IAI), 2022)</w:t>
      </w:r>
      <w:r w:rsidR="009C61FC">
        <w:fldChar w:fldCharType="end"/>
      </w:r>
      <w:r w:rsidR="001F4429" w:rsidRPr="001F4429">
        <w:t>.</w:t>
      </w:r>
    </w:p>
    <w:p w14:paraId="2F3F7735" w14:textId="6DBFD0F2" w:rsidR="00962AB7" w:rsidRDefault="00962AB7">
      <w:pPr>
        <w:spacing w:after="0" w:line="240" w:lineRule="auto"/>
        <w:ind w:firstLine="270"/>
        <w:jc w:val="both"/>
      </w:pPr>
      <w:r w:rsidRPr="00962AB7">
        <w:t xml:space="preserve">PSAK 72 is considered to have the most significant impact on </w:t>
      </w:r>
      <w:r w:rsidR="00216350">
        <w:t xml:space="preserve">companies of </w:t>
      </w:r>
      <w:r w:rsidRPr="00962AB7">
        <w:t>real estate, property, and building construction</w:t>
      </w:r>
      <w:r w:rsidR="00145548">
        <w:t xml:space="preserve">. </w:t>
      </w:r>
      <w:r w:rsidRPr="00962AB7">
        <w:t xml:space="preserve">In the previous standard, companies could directly recognize income due to the sale of units, even though the units being sold were still in the construction process, whereas in PSAK 72, sales would be allowed to be recognized as income </w:t>
      </w:r>
      <w:r w:rsidR="00113FF9">
        <w:t>when the</w:t>
      </w:r>
      <w:r w:rsidRPr="00962AB7">
        <w:t xml:space="preserve"> handover is complete</w:t>
      </w:r>
      <w:r w:rsidR="00AB3D07">
        <w:t>d</w:t>
      </w:r>
      <w:r w:rsidRPr="00962AB7">
        <w:t>. PSAK 72 record</w:t>
      </w:r>
      <w:r w:rsidR="00A92391">
        <w:t xml:space="preserve">s </w:t>
      </w:r>
      <w:r w:rsidRPr="00962AB7">
        <w:t xml:space="preserve">based on progress of completion, or when it is completed then recorded as revenue. Meanwhile, this revenue must be recorded as </w:t>
      </w:r>
      <w:r w:rsidRPr="00962AB7">
        <w:lastRenderedPageBreak/>
        <w:t xml:space="preserve">unearned revenue if it does not yet meet the requirements as revenue </w:t>
      </w:r>
      <w:r w:rsidR="009C61FC">
        <w:fldChar w:fldCharType="begin" w:fldLock="1"/>
      </w:r>
      <w:r w:rsidR="009C61FC">
        <w:instrText>ADDIN CSL_CITATION {"citationItems":[{"id":"ITEM-1","itemData":{"URL":"https://ekonomi.bisnis.com/read/20200225/47/1205564/emiten-properti-khawatirkan-dampak-penerapan-psak-72","author":[{"dropping-particle":"","family":"Budhiman","given":"Ilham","non-dropping-particle":"","parse-names":false,"suffix":""}],"container-title":"Bisnis.com","id":"ITEM-1","issued":{"date-parts":[["2020"]]},"title":"Emiten Properti Khawatirkan Dampak Penerapan PSAK 72","type":"webpage"},"uris":["http://www.mendeley.com/documents/?uuid=21730d78-051d-417d-aaa1-b3cdabdebfe6"]}],"mendeley":{"formattedCitation":"(Budhiman, 2020)","plainTextFormattedCitation":"(Budhiman, 2020)","previouslyFormattedCitation":"(Budhiman, 2020)"},"properties":{"noteIndex":0},"schema":"https://github.com/citation-style-language/schema/raw/master/csl-citation.json"}</w:instrText>
      </w:r>
      <w:r w:rsidR="009C61FC">
        <w:fldChar w:fldCharType="separate"/>
      </w:r>
      <w:r w:rsidR="009C61FC" w:rsidRPr="009C61FC">
        <w:rPr>
          <w:noProof/>
        </w:rPr>
        <w:t>(Budhiman, 2020)</w:t>
      </w:r>
      <w:r w:rsidR="009C61FC">
        <w:fldChar w:fldCharType="end"/>
      </w:r>
      <w:r w:rsidRPr="00962AB7">
        <w:t>. This then creates problems if this standard is applied to real estate sector companies where construction or projects take quite a long time, even years, to be completed so that revenue recognition will also have the same time period in line with the development progress.</w:t>
      </w:r>
    </w:p>
    <w:p w14:paraId="7CE8642F" w14:textId="23E076D5" w:rsidR="00B63BED" w:rsidRDefault="00B63BED">
      <w:pPr>
        <w:spacing w:after="0" w:line="240" w:lineRule="auto"/>
        <w:ind w:firstLine="270"/>
        <w:jc w:val="both"/>
      </w:pPr>
      <w:r w:rsidRPr="00B63BED">
        <w:t xml:space="preserve">The influence of implementing PSAK 72 on performance </w:t>
      </w:r>
      <w:r w:rsidR="00B019C1">
        <w:t xml:space="preserve">of company </w:t>
      </w:r>
      <w:r w:rsidRPr="00B63BED">
        <w:t xml:space="preserve">could be </w:t>
      </w:r>
      <w:r w:rsidR="001E3DEF">
        <w:t>measured</w:t>
      </w:r>
      <w:r w:rsidRPr="00B63BED">
        <w:t xml:space="preserve"> </w:t>
      </w:r>
      <w:r w:rsidR="001E3DEF">
        <w:t>with</w:t>
      </w:r>
      <w:r w:rsidRPr="00B63BED">
        <w:t xml:space="preserve"> two</w:t>
      </w:r>
      <w:r w:rsidR="001E3DEF">
        <w:t xml:space="preserve"> indicators</w:t>
      </w:r>
      <w:r w:rsidRPr="00B63BED">
        <w:t xml:space="preserve">, namely financial performance and market performance. First, in terms of financial performance, revenue recognition will influence the financial performance </w:t>
      </w:r>
      <w:r w:rsidR="007F3A63">
        <w:t>of a company</w:t>
      </w:r>
      <w:r w:rsidRPr="00B63BED">
        <w:t xml:space="preserve">. Financial performance is a description of the achievement of results from business activities carried out by the company. Financial performance can be an analysis to determine whether the company properly and correctly implements the rules relating to financial implementation </w:t>
      </w:r>
      <w:r w:rsidR="009C61FC">
        <w:fldChar w:fldCharType="begin" w:fldLock="1"/>
      </w:r>
      <w:r w:rsidR="009C61FC">
        <w:instrText>ADDIN CSL_CITATION {"citationItems":[{"id":"ITEM-1","itemData":{"author":[{"dropping-particle":"","family":"Fahmi","given":"I","non-dropping-particle":"","parse-names":false,"suffix":""}],"id":"ITEM-1","issued":{"date-parts":[["2017"]]},"publisher":"Alfabeta","publisher-place":"Bandung","title":"Analisis Kinerja Keuangan","type":"book"},"uris":["http://www.mendeley.com/documents/?uuid=45a35074-0779-48e2-9c72-a1018ca8c72d"]}],"mendeley":{"formattedCitation":"(Fahmi, 2017)","plainTextFormattedCitation":"(Fahmi, 2017)","previouslyFormattedCitation":"(Fahmi, 2017)"},"properties":{"noteIndex":0},"schema":"https://github.com/citation-style-language/schema/raw/master/csl-citation.json"}</w:instrText>
      </w:r>
      <w:r w:rsidR="009C61FC">
        <w:fldChar w:fldCharType="separate"/>
      </w:r>
      <w:r w:rsidR="009C61FC" w:rsidRPr="009C61FC">
        <w:rPr>
          <w:noProof/>
        </w:rPr>
        <w:t>(Fahmi, 2017)</w:t>
      </w:r>
      <w:r w:rsidR="009C61FC">
        <w:fldChar w:fldCharType="end"/>
      </w:r>
      <w:r w:rsidRPr="00B63BED">
        <w:t xml:space="preserve">. Financial performance can be assessed from the profitability and liquidity. Profitability </w:t>
      </w:r>
      <w:r w:rsidR="00397EC8">
        <w:t>could evaluate</w:t>
      </w:r>
      <w:r w:rsidRPr="00B63BED">
        <w:t xml:space="preserve"> </w:t>
      </w:r>
      <w:r w:rsidR="00397EC8">
        <w:t xml:space="preserve">the </w:t>
      </w:r>
      <w:r w:rsidRPr="00B63BED">
        <w:t xml:space="preserve">ability </w:t>
      </w:r>
      <w:r w:rsidR="000413CA">
        <w:t xml:space="preserve">of company </w:t>
      </w:r>
      <w:r w:rsidRPr="00B63BED">
        <w:t xml:space="preserve">to earn profits within a </w:t>
      </w:r>
      <w:r w:rsidR="000413CA">
        <w:t xml:space="preserve">specific </w:t>
      </w:r>
      <w:r w:rsidRPr="00B63BED">
        <w:t xml:space="preserve">period </w:t>
      </w:r>
      <w:r w:rsidR="009C61FC">
        <w:fldChar w:fldCharType="begin" w:fldLock="1"/>
      </w:r>
      <w:r w:rsidR="009C61F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9C61FC">
        <w:fldChar w:fldCharType="separate"/>
      </w:r>
      <w:r w:rsidR="009C61FC" w:rsidRPr="009C61FC">
        <w:rPr>
          <w:noProof/>
        </w:rPr>
        <w:t>(Kasmir, 2019)</w:t>
      </w:r>
      <w:r w:rsidR="009C61FC">
        <w:fldChar w:fldCharType="end"/>
      </w:r>
      <w:r w:rsidRPr="00B63BED">
        <w:t>. Research by</w:t>
      </w:r>
      <w:r w:rsidR="009C61FC">
        <w:t xml:space="preserve"> </w:t>
      </w:r>
      <w:r w:rsidR="009C61FC">
        <w:fldChar w:fldCharType="begin" w:fldLock="1"/>
      </w:r>
      <w:r w:rsidR="009C61FC">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9C61FC">
        <w:fldChar w:fldCharType="separate"/>
      </w:r>
      <w:r w:rsidR="009C61FC" w:rsidRPr="009C61FC">
        <w:rPr>
          <w:noProof/>
        </w:rPr>
        <w:t xml:space="preserve">Atho &amp; Rahayu </w:t>
      </w:r>
      <w:r w:rsidR="009C61FC">
        <w:rPr>
          <w:noProof/>
        </w:rPr>
        <w:t>(</w:t>
      </w:r>
      <w:r w:rsidR="009C61FC" w:rsidRPr="009C61FC">
        <w:rPr>
          <w:noProof/>
        </w:rPr>
        <w:t>2022)</w:t>
      </w:r>
      <w:r w:rsidR="009C61FC">
        <w:fldChar w:fldCharType="end"/>
      </w:r>
      <w:r w:rsidRPr="00B63BED">
        <w:t xml:space="preserve"> which aims to analyze the financial performance of real estate companies shows the results that PSAK 72 has a significant impact on net profit margin</w:t>
      </w:r>
      <w:r w:rsidR="00257EFA">
        <w:t xml:space="preserve"> </w:t>
      </w:r>
      <w:r w:rsidR="007973EA">
        <w:t xml:space="preserve">before </w:t>
      </w:r>
      <w:r w:rsidR="00257EFA" w:rsidRPr="00B63BED">
        <w:t xml:space="preserve">and after </w:t>
      </w:r>
      <w:r w:rsidR="000413CA">
        <w:t>PSAK 72 implementation</w:t>
      </w:r>
      <w:r w:rsidRPr="00B63BED">
        <w:t>. This happens because according to PSAK 72, income can only be recognized when obligations have been fulfilled so that the value of income that can be recognized to be reported by the company depends on the completion and handover of the property. Meanwhile, the research by</w:t>
      </w:r>
      <w:r w:rsidR="009C61FC">
        <w:t xml:space="preserve"> </w:t>
      </w:r>
      <w:r w:rsidR="009C61FC">
        <w:fldChar w:fldCharType="begin" w:fldLock="1"/>
      </w:r>
      <w:r w:rsidR="009C61FC">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9C61FC">
        <w:fldChar w:fldCharType="separate"/>
      </w:r>
      <w:r w:rsidR="009C61FC" w:rsidRPr="009C61FC">
        <w:rPr>
          <w:noProof/>
        </w:rPr>
        <w:t xml:space="preserve">Casnila &amp; Nurfitriana </w:t>
      </w:r>
      <w:r w:rsidR="009C61FC">
        <w:rPr>
          <w:noProof/>
        </w:rPr>
        <w:t>(</w:t>
      </w:r>
      <w:r w:rsidR="009C61FC" w:rsidRPr="009C61FC">
        <w:rPr>
          <w:noProof/>
        </w:rPr>
        <w:t>2020)</w:t>
      </w:r>
      <w:r w:rsidR="009C61FC">
        <w:fldChar w:fldCharType="end"/>
      </w:r>
      <w:r w:rsidRPr="00B63BED">
        <w:t xml:space="preserve"> stated financial performance </w:t>
      </w:r>
      <w:r w:rsidR="007973EA">
        <w:t xml:space="preserve">before </w:t>
      </w:r>
      <w:r w:rsidRPr="00B63BED">
        <w:t xml:space="preserve">and after PSAK 72 </w:t>
      </w:r>
      <w:r w:rsidR="000413CA">
        <w:t xml:space="preserve">implementation was no difference, </w:t>
      </w:r>
      <w:r w:rsidRPr="00B63BED">
        <w:t xml:space="preserve">which was proxied by the net profit margin in telecommunications companies. This happens because income will experience an increase accompanied by an increase in operating expenses, so that the value of income and profit will not be different compared to the </w:t>
      </w:r>
      <w:r w:rsidR="004E086E">
        <w:t>prior of</w:t>
      </w:r>
      <w:r w:rsidRPr="00B63BED">
        <w:t xml:space="preserve"> PSAK 72</w:t>
      </w:r>
      <w:r w:rsidR="004E086E">
        <w:t xml:space="preserve"> implementation</w:t>
      </w:r>
      <w:r w:rsidRPr="00B63BED">
        <w:t>.</w:t>
      </w:r>
    </w:p>
    <w:p w14:paraId="4343D453" w14:textId="139391F7" w:rsidR="002B4121" w:rsidRDefault="002B4121">
      <w:pPr>
        <w:spacing w:after="0" w:line="240" w:lineRule="auto"/>
        <w:ind w:firstLine="270"/>
        <w:jc w:val="both"/>
      </w:pPr>
      <w:r w:rsidRPr="002B4121">
        <w:t>Liquidity can be an indicator of a company's ability to pay its short-term liabilities</w:t>
      </w:r>
      <w:r w:rsidR="004D0044">
        <w:t xml:space="preserve"> by </w:t>
      </w:r>
      <w:r w:rsidR="004D0044" w:rsidRPr="002B4121">
        <w:t xml:space="preserve">using </w:t>
      </w:r>
      <w:r w:rsidR="004D0044">
        <w:t xml:space="preserve">their </w:t>
      </w:r>
      <w:r w:rsidR="004D0044" w:rsidRPr="002B4121">
        <w:t>current assets</w:t>
      </w:r>
      <w:r w:rsidRPr="002B4121">
        <w:t xml:space="preserve">. Research by </w:t>
      </w:r>
      <w:r w:rsidR="009C61FC">
        <w:fldChar w:fldCharType="begin" w:fldLock="1"/>
      </w:r>
      <w:r w:rsidR="00B41061">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9C61FC">
        <w:fldChar w:fldCharType="separate"/>
      </w:r>
      <w:r w:rsidR="009C61FC" w:rsidRPr="009C61FC">
        <w:rPr>
          <w:noProof/>
        </w:rPr>
        <w:t xml:space="preserve">Casnila &amp; Nurfitriana </w:t>
      </w:r>
      <w:r w:rsidR="009C61FC">
        <w:rPr>
          <w:noProof/>
        </w:rPr>
        <w:t>(</w:t>
      </w:r>
      <w:r w:rsidR="009C61FC" w:rsidRPr="009C61FC">
        <w:rPr>
          <w:noProof/>
        </w:rPr>
        <w:t>2020)</w:t>
      </w:r>
      <w:r w:rsidR="009C61FC">
        <w:fldChar w:fldCharType="end"/>
      </w:r>
      <w:r w:rsidRPr="002B4121">
        <w:t xml:space="preserve"> which tried to analyse </w:t>
      </w:r>
      <w:r w:rsidR="0061333B">
        <w:t xml:space="preserve">how </w:t>
      </w:r>
      <w:r w:rsidRPr="002B4121">
        <w:t xml:space="preserve">PSAK 72 </w:t>
      </w:r>
      <w:r w:rsidR="0061333B">
        <w:t xml:space="preserve">impact </w:t>
      </w:r>
      <w:r w:rsidRPr="002B4121">
        <w:t>the current ratio</w:t>
      </w:r>
      <w:r w:rsidR="0061333B">
        <w:t xml:space="preserve">, </w:t>
      </w:r>
      <w:r w:rsidRPr="002B4121">
        <w:t xml:space="preserve">found that the implementation had an effect on the current ratio. This can happen because revenue recognition will affect the value of cash and also receivables. PSAK 72 regulates how revenue can be recognized and revenue is a component of cash flow originating from operations so that the cash value will increase or decrease depending on the value of income that can be recognized. Meanwhile, for receivables, companies need to identify contracts to choose which income/sales can be recognized in </w:t>
      </w:r>
      <w:r w:rsidR="004B7340">
        <w:t>line</w:t>
      </w:r>
      <w:r w:rsidRPr="002B4121">
        <w:t xml:space="preserve"> with the </w:t>
      </w:r>
      <w:r w:rsidR="004B7340">
        <w:t>carrying out obligations</w:t>
      </w:r>
      <w:r w:rsidRPr="002B4121">
        <w:t xml:space="preserve"> so that if they do not meet the criteria for income, then they cannot be recorded as trade receivables for income. </w:t>
      </w:r>
      <w:r w:rsidR="004B29FE">
        <w:t>On the other hand,</w:t>
      </w:r>
      <w:r w:rsidR="00715F20">
        <w:t xml:space="preserve"> </w:t>
      </w:r>
      <w:r w:rsidR="00B41061">
        <w:fldChar w:fldCharType="begin" w:fldLock="1"/>
      </w:r>
      <w:r w:rsidR="00B41061">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B41061">
        <w:fldChar w:fldCharType="separate"/>
      </w:r>
      <w:r w:rsidR="00B41061" w:rsidRPr="00B41061">
        <w:rPr>
          <w:noProof/>
        </w:rPr>
        <w:t xml:space="preserve">Atho &amp; Rahayu </w:t>
      </w:r>
      <w:r w:rsidR="00B41061">
        <w:rPr>
          <w:noProof/>
        </w:rPr>
        <w:t>(</w:t>
      </w:r>
      <w:r w:rsidR="00B41061" w:rsidRPr="00B41061">
        <w:rPr>
          <w:noProof/>
        </w:rPr>
        <w:t>2022)</w:t>
      </w:r>
      <w:r w:rsidR="00B41061">
        <w:fldChar w:fldCharType="end"/>
      </w:r>
      <w:r w:rsidRPr="002B4121">
        <w:t xml:space="preserve"> shows the company's current ratio</w:t>
      </w:r>
      <w:r w:rsidR="00082192">
        <w:t xml:space="preserve"> does not affected by </w:t>
      </w:r>
      <w:r w:rsidR="00082192" w:rsidRPr="002B4121">
        <w:t>PSAK 72</w:t>
      </w:r>
      <w:r w:rsidRPr="002B4121">
        <w:t>, because it was not found that income has a direct impact on company assets.</w:t>
      </w:r>
    </w:p>
    <w:p w14:paraId="6E0A2017" w14:textId="785D231B" w:rsidR="00E13359" w:rsidRDefault="00E13359">
      <w:pPr>
        <w:spacing w:after="0" w:line="240" w:lineRule="auto"/>
        <w:ind w:firstLine="270"/>
        <w:jc w:val="both"/>
      </w:pPr>
      <w:r w:rsidRPr="00E13359">
        <w:t>Second, in terms of market performance, namely the abilit</w:t>
      </w:r>
      <w:r w:rsidR="00FE0842">
        <w:t>ies of a company</w:t>
      </w:r>
      <w:r w:rsidRPr="00E13359">
        <w:t xml:space="preserve"> to increase the company's </w:t>
      </w:r>
      <w:r w:rsidR="00735A26">
        <w:t xml:space="preserve">value </w:t>
      </w:r>
      <w:r w:rsidRPr="00E13359">
        <w:t xml:space="preserve">which are currently traded on the capital market </w:t>
      </w:r>
      <w:r w:rsidR="00B41061">
        <w:fldChar w:fldCharType="begin" w:fldLock="1"/>
      </w:r>
      <w:r w:rsidR="00B41061">
        <w:instrText>ADDIN CSL_CITATION {"citationItems":[{"id":"ITEM-1","itemData":{"author":[{"dropping-particle":"","family":"Sudana","given":"I Made","non-dropping-particle":"","parse-names":false,"suffix":""}],"id":"ITEM-1","issued":{"date-parts":[["2018"]]},"publisher":"Airlangga University Press","publisher-place":"Surabaya","title":"Manajemen Keuangan Teori dan Praktik","type":"book"},"uris":["http://www.mendeley.com/documents/?uuid=052e4c7a-c360-4e9b-bf6b-72ac33fdba47"]}],"mendeley":{"formattedCitation":"(Sudana, 2018)","plainTextFormattedCitation":"(Sudana, 2018)","previouslyFormattedCitation":"(Sudana, 2018)"},"properties":{"noteIndex":0},"schema":"https://github.com/citation-style-language/schema/raw/master/csl-citation.json"}</w:instrText>
      </w:r>
      <w:r w:rsidR="00B41061">
        <w:fldChar w:fldCharType="separate"/>
      </w:r>
      <w:r w:rsidR="00B41061" w:rsidRPr="00B41061">
        <w:rPr>
          <w:noProof/>
        </w:rPr>
        <w:t>(Sudana, 2018)</w:t>
      </w:r>
      <w:r w:rsidR="00B41061">
        <w:fldChar w:fldCharType="end"/>
      </w:r>
      <w:r w:rsidRPr="00E13359">
        <w:t>. Investors when investing will compare the value of the share they will invest in with the profits the company can generate to analyze the feasibility of their investment. Investors want their investment to benefit themselves because they are in the right company because the value of their investment is equivalent to the</w:t>
      </w:r>
      <w:r w:rsidR="00BA1125">
        <w:t>ir</w:t>
      </w:r>
      <w:r w:rsidRPr="00E13359">
        <w:t xml:space="preserve"> profit</w:t>
      </w:r>
      <w:r w:rsidR="00BA1125">
        <w:t>s</w:t>
      </w:r>
      <w:r w:rsidRPr="00E13359">
        <w:t xml:space="preserve">. The research of </w:t>
      </w:r>
      <w:r w:rsidR="00B41061">
        <w:fldChar w:fldCharType="begin" w:fldLock="1"/>
      </w:r>
      <w:r w:rsidR="00B41061">
        <w:instrText>ADDIN CSL_CITATION {"citationItems":[{"id":"ITEM-1","itemData":{"DOI":"https://doi.org/10.34204/jiafe.v 8i1.4278","author":[{"dropping-particle":"","family":"Riyosef","given":"M C","non-dropping-particle":"","parse-names":false,"suffix":""},{"dropping-particle":"","family":"Agustin","given":"H","non-dropping-particle":"","parse-names":false,"suffix":""}],"container-title":"JIAFE (Jurnal Ilmiah Akuntansi Fakultas Ekonomi)","id":"ITEM-1","issue":"1","issued":{"date-parts":[["2022"]]},"page":"121-132","title":"Event Study Peristiwa Pemberlakuan Efektif Pernyataan Standar Akuntansi Keuangan 72 di Sektor Telekomunikasi dan Farmasi","type":"article-journal","volume":"8"},"uris":["http://www.mendeley.com/documents/?uuid=49bd4209-49d6-4e0f-8ca1-88b30deb4cb9"]}],"mendeley":{"formattedCitation":"(Riyosef &amp; Agustin, 2022)","manualFormatting":"Riyosef &amp; Agustin (2022)","plainTextFormattedCitation":"(Riyosef &amp; Agustin, 2022)","previouslyFormattedCitation":"(Riyosef &amp; Agustin, 2022)"},"properties":{"noteIndex":0},"schema":"https://github.com/citation-style-language/schema/raw/master/csl-citation.json"}</w:instrText>
      </w:r>
      <w:r w:rsidR="00B41061">
        <w:fldChar w:fldCharType="separate"/>
      </w:r>
      <w:r w:rsidR="00B41061" w:rsidRPr="00B41061">
        <w:rPr>
          <w:noProof/>
        </w:rPr>
        <w:t xml:space="preserve">Riyosef &amp; Agustin </w:t>
      </w:r>
      <w:r w:rsidR="00B41061">
        <w:rPr>
          <w:noProof/>
        </w:rPr>
        <w:t>(</w:t>
      </w:r>
      <w:r w:rsidR="00B41061" w:rsidRPr="00B41061">
        <w:rPr>
          <w:noProof/>
        </w:rPr>
        <w:t>2022)</w:t>
      </w:r>
      <w:r w:rsidR="00B41061">
        <w:fldChar w:fldCharType="end"/>
      </w:r>
      <w:r w:rsidRPr="00E13359">
        <w:t xml:space="preserve"> </w:t>
      </w:r>
      <w:r w:rsidR="00DF26E2">
        <w:t>results</w:t>
      </w:r>
      <w:r w:rsidRPr="00E13359">
        <w:t xml:space="preserve"> that investors gave a negative response to the implementation of PSAK 72 which was indicated by negative abnormal returns because they thought it would </w:t>
      </w:r>
      <w:r w:rsidR="004B5C67">
        <w:t>decrease</w:t>
      </w:r>
      <w:r w:rsidRPr="00E13359">
        <w:t xml:space="preserve"> the revenue. This can cause a decrease in net profit, which can reduce the share price</w:t>
      </w:r>
      <w:r w:rsidR="001E6D5E">
        <w:t xml:space="preserve"> of a company</w:t>
      </w:r>
      <w:r w:rsidRPr="00E13359">
        <w:t xml:space="preserve">. PSAK 72 is basically implemented to make income disclosure to investors better and more transparent so that analysis of company performance becomes more real and easier, which increases shareholder value </w:t>
      </w:r>
      <w:r w:rsidR="00B41061">
        <w:fldChar w:fldCharType="begin" w:fldLock="1"/>
      </w:r>
      <w:r w:rsidR="00B41061">
        <w:instrText>ADDIN CSL_CITATION {"citationItems":[{"id":"ITEM-1","itemData":{"DOI":"https://doi.org/10.55606/jumbiku.v2i2.258","author":[{"dropping-particle":"","family":"Febriandhani","given":"Ferry","non-dropping-particle":"","parse-names":false,"suffix":""},{"dropping-particle":"","family":"Akbar","given":"Firas Satria","non-dropping-particle":"","parse-names":false,"suffix":""},{"dropping-particle":"","family":"Bagus","given":"Gregorius W P","non-dropping-particle":"","parse-names":false,"suffix":""},{"dropping-particle":"","family":"Syahputra","given":"Ryan","non-dropping-particle":"","parse-names":false,"suffix":""}],"container-title":"Jurnal Manajemen, Bisnis, dan Kewirausahaan","id":"ITEM-1","issue":"2","issued":{"date-parts":[["2022"]]},"page":"11-15","title":"Revenue from Contracts with Customer (Studi pada Perusahaan Sektor Property, Real Estate and Building Construction yang Terdaftar di Bursa Efek Indonesia tahun 2018-2020)","type":"article-journal","volume":"2"},"uris":["http://www.mendeley.com/documents/?uuid=7b9de175-0e99-4afd-850d-8b7507960880"]}],"mendeley":{"formattedCitation":"(Febriandhani et al., 2022)","plainTextFormattedCitation":"(Febriandhani et al., 2022)","previouslyFormattedCitation":"(Febriandhani et al., 2022)"},"properties":{"noteIndex":0},"schema":"https://github.com/citation-style-language/schema/raw/master/csl-citation.json"}</w:instrText>
      </w:r>
      <w:r w:rsidR="00B41061">
        <w:fldChar w:fldCharType="separate"/>
      </w:r>
      <w:r w:rsidR="00B41061" w:rsidRPr="00B41061">
        <w:rPr>
          <w:noProof/>
        </w:rPr>
        <w:t>(Febriandhani et al., 2022)</w:t>
      </w:r>
      <w:r w:rsidR="00B41061">
        <w:fldChar w:fldCharType="end"/>
      </w:r>
      <w:r w:rsidRPr="00E13359">
        <w:t xml:space="preserve">. This statement is supported by </w:t>
      </w:r>
      <w:r w:rsidR="00B41061">
        <w:fldChar w:fldCharType="begin" w:fldLock="1"/>
      </w:r>
      <w:r w:rsidR="00B41061">
        <w:instrText>ADDIN CSL_CITATION {"citationItems":[{"id":"ITEM-1","itemData":{"DOI":"https://doi.org/10.9744/jak.24.1.1−9","author":[{"dropping-particle":"","family":"Mubarika","given":"Natatsa Rizqina","non-dropping-particle":"","parse-names":false,"suffix":""},{"dropping-particle":"","family":"Handayani","given":"Rr Sri","non-dropping-particle":"","parse-names":false,"suffix":""}],"container-title":"Jurnal Akuntansi dan Keuangan","id":"ITEM-1","issue":"1","issued":{"date-parts":[["2022"]]},"page":"1-9","title":"Value Relevance of Accounting Information from PSAK 72","type":"article-journal","volume":"24"},"uris":["http://www.mendeley.com/documents/?uuid=7a8ecf63-5f61-4519-8f5c-5aaa062518c7"]}],"mendeley":{"formattedCitation":"(Mubarika &amp; Handayani, 2022)","manualFormatting":"Mubarika &amp; Handayani (2022)","plainTextFormattedCitation":"(Mubarika &amp; Handayani, 2022)","previouslyFormattedCitation":"(Mubarika &amp; Handayani, 2022)"},"properties":{"noteIndex":0},"schema":"https://github.com/citation-style-language/schema/raw/master/csl-citation.json"}</w:instrText>
      </w:r>
      <w:r w:rsidR="00B41061">
        <w:fldChar w:fldCharType="separate"/>
      </w:r>
      <w:r w:rsidR="00B41061" w:rsidRPr="00B41061">
        <w:rPr>
          <w:noProof/>
        </w:rPr>
        <w:t xml:space="preserve">Mubarika &amp; Handayani </w:t>
      </w:r>
      <w:r w:rsidR="00B41061">
        <w:rPr>
          <w:noProof/>
        </w:rPr>
        <w:t>(</w:t>
      </w:r>
      <w:r w:rsidR="00B41061" w:rsidRPr="00B41061">
        <w:rPr>
          <w:noProof/>
        </w:rPr>
        <w:t>2022)</w:t>
      </w:r>
      <w:r w:rsidR="00B41061">
        <w:fldChar w:fldCharType="end"/>
      </w:r>
      <w:r w:rsidRPr="00E13359">
        <w:t xml:space="preserve"> that </w:t>
      </w:r>
      <w:r w:rsidR="002C129B">
        <w:t xml:space="preserve">results </w:t>
      </w:r>
      <w:r w:rsidRPr="00E13359">
        <w:t>the value of earnings per share</w:t>
      </w:r>
      <w:r w:rsidR="00BF671B">
        <w:t>,</w:t>
      </w:r>
      <w:r w:rsidRPr="00E13359">
        <w:t xml:space="preserve"> after </w:t>
      </w:r>
      <w:r w:rsidR="00F13772">
        <w:t xml:space="preserve">PSAK 72 </w:t>
      </w:r>
      <w:r w:rsidRPr="00E13359">
        <w:lastRenderedPageBreak/>
        <w:t>implementation has better value relevance, which means the information becomes more useful for investor</w:t>
      </w:r>
      <w:r w:rsidR="000413CA">
        <w:t>s’</w:t>
      </w:r>
      <w:r w:rsidRPr="00E13359">
        <w:t xml:space="preserve"> decision making.</w:t>
      </w:r>
    </w:p>
    <w:p w14:paraId="0611A1BA" w14:textId="0F6D2A38" w:rsidR="00F83D7E" w:rsidRDefault="000F1CA5">
      <w:pPr>
        <w:spacing w:after="0" w:line="240" w:lineRule="auto"/>
        <w:ind w:firstLine="270"/>
        <w:jc w:val="both"/>
      </w:pPr>
      <w:r w:rsidRPr="000F1CA5">
        <w:t>This research aim</w:t>
      </w:r>
      <w:r>
        <w:t>s</w:t>
      </w:r>
      <w:r w:rsidRPr="000F1CA5">
        <w:t xml:space="preserve"> to empirical testing the performance of real estate companies measured by financial performance and market performance prior to and after the implementation of PSAK 72. Previous studies only used one of those measurements, but this research used both measurements to explain the company performance. The company sector chosen is real estate companies because according to IAI, PSAK 72 </w:t>
      </w:r>
      <w:r w:rsidR="001A56E3" w:rsidRPr="000F1CA5">
        <w:t xml:space="preserve">implementation </w:t>
      </w:r>
      <w:r w:rsidRPr="000F1CA5">
        <w:t>will have the most significant impact on the company sector operating in the property, real estate and building construction sectors. The research period used was 2018-2021, namely two years prior to the implementation of PSAK 72 and two years after the implementation of PSAK 72. This period is longer than previous studies which are usually only two years which is expected to be able to show better and accurate results.</w:t>
      </w:r>
      <w:r>
        <w:t xml:space="preserve"> </w:t>
      </w:r>
    </w:p>
    <w:p w14:paraId="6D760690" w14:textId="77777777" w:rsidR="00F83D7E" w:rsidRDefault="00000000">
      <w:pPr>
        <w:spacing w:after="0" w:line="240" w:lineRule="auto"/>
      </w:pPr>
      <w:r>
        <w:tab/>
      </w:r>
    </w:p>
    <w:p w14:paraId="63E6B765" w14:textId="77777777" w:rsidR="00F83D7E" w:rsidRDefault="00000000">
      <w:pPr>
        <w:spacing w:after="0" w:line="240" w:lineRule="auto"/>
        <w:jc w:val="both"/>
        <w:rPr>
          <w:b/>
        </w:rPr>
      </w:pPr>
      <w:r>
        <w:rPr>
          <w:b/>
        </w:rPr>
        <w:t>LITERATURE REVIEW</w:t>
      </w:r>
    </w:p>
    <w:p w14:paraId="251692F5" w14:textId="27854430" w:rsidR="00F83D7E" w:rsidRDefault="00000000">
      <w:pPr>
        <w:spacing w:after="0" w:line="240" w:lineRule="auto"/>
        <w:ind w:firstLine="270"/>
        <w:jc w:val="both"/>
      </w:pPr>
      <w:r>
        <w:t xml:space="preserve">Positive Accounting Theory explain that there are various ways and purposes to explain how each accounting practice is carried out and consequences of this practice </w:t>
      </w:r>
      <w:r w:rsidR="00B41061">
        <w:fldChar w:fldCharType="begin" w:fldLock="1"/>
      </w:r>
      <w:r w:rsidR="00B41061">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B41061">
        <w:fldChar w:fldCharType="separate"/>
      </w:r>
      <w:r w:rsidR="00B41061" w:rsidRPr="00B41061">
        <w:rPr>
          <w:noProof/>
        </w:rPr>
        <w:t>(Watts &amp; Zimmerman, 1986)</w:t>
      </w:r>
      <w:r w:rsidR="00B41061">
        <w:fldChar w:fldCharType="end"/>
      </w:r>
      <w:r>
        <w:t xml:space="preserve">. The existence of new accounting policies will affect existing accounting practices. Positive accounting theory is a theory that tries to make an estimate of events that have occurred or will occur, or it could be said that this theory is used to predict the actions of a company manager in choosing accounting policies that will be appropriate to the company's situation due to the emergence of new accounting standards </w:t>
      </w:r>
      <w:r w:rsidR="00B41061">
        <w:fldChar w:fldCharType="begin" w:fldLock="1"/>
      </w:r>
      <w:r w:rsidR="00B41061">
        <w:instrText>ADDIN CSL_CITATION {"citationItems":[{"id":"ITEM-1","itemData":{"DOI":"https://doi.org/10.25134/logika.v12i2.5539","author":[{"dropping-particle":"","family":"Martika","given":"L D","non-dropping-particle":"","parse-names":false,"suffix":""},{"dropping-particle":"","family":"Rahmawati","given":"T","non-dropping-particle":"","parse-names":false,"suffix":""},{"dropping-particle":"","family":"Yunus","given":"S","non-dropping-particle":"","parse-names":false,"suffix":""}],"container-title":"Jurnal Penelitian Universitas Kuningan","id":"ITEM-1","issue":"2","issued":{"date-parts":[["2021"]]},"page":"119–129","title":"Konservatisme Akuntansi: Telaah Mendalam dalam Kerangka Teori Akuntansi Positif","type":"article-journal","volume":"12"},"uris":["http://www.mendeley.com/documents/?uuid=75d8b614-2d0f-4578-b4a4-8b1d050e108d"]}],"mendeley":{"formattedCitation":"(Martika et al., 2021)","plainTextFormattedCitation":"(Martika et al., 2021)","previouslyFormattedCitation":"(Martika et al., 2021)"},"properties":{"noteIndex":0},"schema":"https://github.com/citation-style-language/schema/raw/master/csl-citation.json"}</w:instrText>
      </w:r>
      <w:r w:rsidR="00B41061">
        <w:fldChar w:fldCharType="separate"/>
      </w:r>
      <w:r w:rsidR="00B41061" w:rsidRPr="00B41061">
        <w:rPr>
          <w:noProof/>
        </w:rPr>
        <w:t>(Martika et al., 2021)</w:t>
      </w:r>
      <w:r w:rsidR="00B41061">
        <w:fldChar w:fldCharType="end"/>
      </w:r>
      <w:r>
        <w:t>.</w:t>
      </w:r>
    </w:p>
    <w:p w14:paraId="09DB32A4" w14:textId="0DE6C2D3" w:rsidR="00F83D7E" w:rsidRDefault="00000000">
      <w:pPr>
        <w:spacing w:after="0" w:line="240" w:lineRule="auto"/>
        <w:ind w:firstLine="270"/>
        <w:jc w:val="both"/>
      </w:pPr>
      <w:r>
        <w:t xml:space="preserve">According to </w:t>
      </w:r>
      <w:r w:rsidR="00B41061">
        <w:fldChar w:fldCharType="begin" w:fldLock="1"/>
      </w:r>
      <w:r w:rsidR="00B41061">
        <w:instrText>ADDIN CSL_CITATION {"citationItems":[{"id":"ITEM-1","itemData":{"author":[{"dropping-particle":"","family":"Harnanto","given":"","non-dropping-particle":"","parse-names":false,"suffix":""}],"id":"ITEM-1","issued":{"date-parts":[["2019"]]},"publisher":"ANDI","publisher-place":"Yogyakarta","title":"Dasar-Dasar Akuntansi","type":"book"},"uris":["http://www.mendeley.com/documents/?uuid=2654a6fa-6e46-4e46-b371-aa97a469fd93"]}],"mendeley":{"formattedCitation":"(Harnanto, 2019)","manualFormatting":"Harnanto (2019)","plainTextFormattedCitation":"(Harnanto, 2019)","previouslyFormattedCitation":"(Harnanto, 2019)"},"properties":{"noteIndex":0},"schema":"https://github.com/citation-style-language/schema/raw/master/csl-citation.json"}</w:instrText>
      </w:r>
      <w:r w:rsidR="00B41061">
        <w:fldChar w:fldCharType="separate"/>
      </w:r>
      <w:r w:rsidR="00B41061" w:rsidRPr="00B41061">
        <w:rPr>
          <w:noProof/>
        </w:rPr>
        <w:t>Harnanto</w:t>
      </w:r>
      <w:r w:rsidR="00B41061">
        <w:rPr>
          <w:noProof/>
        </w:rPr>
        <w:t xml:space="preserve"> (</w:t>
      </w:r>
      <w:r w:rsidR="00B41061" w:rsidRPr="00B41061">
        <w:rPr>
          <w:noProof/>
        </w:rPr>
        <w:t>2019)</w:t>
      </w:r>
      <w:r w:rsidR="00B41061">
        <w:fldChar w:fldCharType="end"/>
      </w:r>
      <w:r>
        <w:t xml:space="preserve">, income is the event of </w:t>
      </w:r>
      <w:r w:rsidR="003F256D">
        <w:t xml:space="preserve">increasing </w:t>
      </w:r>
      <w:r>
        <w:t xml:space="preserve">assets </w:t>
      </w:r>
      <w:r w:rsidR="003F256D">
        <w:t xml:space="preserve">or </w:t>
      </w:r>
      <w:r>
        <w:t>decreas</w:t>
      </w:r>
      <w:r w:rsidR="003F256D">
        <w:t>ing</w:t>
      </w:r>
      <w:r>
        <w:t xml:space="preserve"> liabilities </w:t>
      </w:r>
      <w:r w:rsidR="00FD4BAF">
        <w:t>that</w:t>
      </w:r>
      <w:r>
        <w:t xml:space="preserve"> occurs due to operational activities </w:t>
      </w:r>
      <w:r w:rsidR="007709FD">
        <w:t>to</w:t>
      </w:r>
      <w:r>
        <w:t xml:space="preserve"> produce goods and services </w:t>
      </w:r>
      <w:r w:rsidR="007709FD">
        <w:t xml:space="preserve">for </w:t>
      </w:r>
      <w:r>
        <w:t xml:space="preserve">consumers. Revenue is the main benchmark for financial performance that the company will report in financial reports. Revenue </w:t>
      </w:r>
      <w:r w:rsidR="00877A75">
        <w:t>shows about the</w:t>
      </w:r>
      <w:r>
        <w:t xml:space="preserve"> company's past and future </w:t>
      </w:r>
      <w:r w:rsidR="002F2FFE">
        <w:t>information</w:t>
      </w:r>
      <w:r>
        <w:t xml:space="preserve"> which will significantly drive other performance measures, for example Earnings Before Interest and Taxes, net profit, also EPS </w:t>
      </w:r>
      <w:r w:rsidR="00B41061">
        <w:fldChar w:fldCharType="begin" w:fldLock="1"/>
      </w:r>
      <w:r w:rsidR="00B41061">
        <w:instrText>ADDIN CSL_CITATION {"citationItems":[{"id":"ITEM-1","itemData":{"author":[{"dropping-particle":"","family":"Kieso","given":"D.E.","non-dropping-particle":"","parse-names":false,"suffix":""},{"dropping-particle":"","family":"Weygandt","given":"J.J.","non-dropping-particle":"","parse-names":false,"suffix":""},{"dropping-particle":"","family":"Warfield","given":"T.D.","non-dropping-particle":"","parse-names":false,"suffix":""}],"edition":"IFRS Editi","id":"ITEM-1","issued":{"date-parts":[["2024"]]},"publisher":"John Wiley &amp; Sons, Inc.","publisher-place":"Hoboken, New Jersey","title":"Intermediate Accounting","type":"book"},"uris":["http://www.mendeley.com/documents/?uuid=83d590ee-3a17-4ee5-85df-87c920c43f91"]}],"mendeley":{"formattedCitation":"(Kieso et al., 2024)","plainTextFormattedCitation":"(Kieso et al., 2024)","previouslyFormattedCitation":"(Kieso et al., 2024)"},"properties":{"noteIndex":0},"schema":"https://github.com/citation-style-language/schema/raw/master/csl-citation.json"}</w:instrText>
      </w:r>
      <w:r w:rsidR="00B41061">
        <w:fldChar w:fldCharType="separate"/>
      </w:r>
      <w:r w:rsidR="00B41061" w:rsidRPr="00B41061">
        <w:rPr>
          <w:noProof/>
        </w:rPr>
        <w:t>(Kieso et al., 2024)</w:t>
      </w:r>
      <w:r w:rsidR="00B41061">
        <w:fldChar w:fldCharType="end"/>
      </w:r>
      <w:r w:rsidR="00B41061">
        <w:t xml:space="preserve">. </w:t>
      </w:r>
      <w:r>
        <w:t xml:space="preserve">Income measurement in PSAK 23 is based on gross income, or fair value of the amount received and then deducted trading rebates and volume that can be allowed by the company </w:t>
      </w:r>
      <w:r w:rsidR="00B41061">
        <w:fldChar w:fldCharType="begin" w:fldLock="1"/>
      </w:r>
      <w:r w:rsidR="00B41061">
        <w:instrText>ADDIN CSL_CITATION {"citationItems":[{"id":"ITEM-1","itemData":{"DOI":"https://doi.org/10.35794/emba.7.1.2019.22923","author":[{"dropping-particle":"","family":"Mokoginta","given":"P F","non-dropping-particle":"","parse-names":false,"suffix":""}],"container-title":"Jurnal EMBA","id":"ITEM-1","issue":"1","issued":{"date-parts":[["2019"]]},"page":"941-950","title":"Pengakuan dan Pengukuran Pendapatan Menurut PSAK 23 Pada CV. Nyiur Trans Kawanua","type":"article-journal","volume":"7"},"uris":["http://www.mendeley.com/documents/?uuid=6fca3ef1-e1bc-44b0-83d1-9f4a99a66878"]}],"mendeley":{"formattedCitation":"(Mokoginta, 2019)","plainTextFormattedCitation":"(Mokoginta, 2019)","previouslyFormattedCitation":"(Mokoginta, 2019)"},"properties":{"noteIndex":0},"schema":"https://github.com/citation-style-language/schema/raw/master/csl-citation.json"}</w:instrText>
      </w:r>
      <w:r w:rsidR="00B41061">
        <w:fldChar w:fldCharType="separate"/>
      </w:r>
      <w:r w:rsidR="00B41061" w:rsidRPr="00B41061">
        <w:rPr>
          <w:noProof/>
        </w:rPr>
        <w:t>(Mokoginta, 2019)</w:t>
      </w:r>
      <w:r w:rsidR="00B41061">
        <w:fldChar w:fldCharType="end"/>
      </w:r>
      <w:r>
        <w:t xml:space="preserve">. According to PSAK 23, revenue recognition can occur when the company is likely to obtain economic benefits in the future, and these benefits can be measured reliably. There are </w:t>
      </w:r>
      <w:r w:rsidR="00B41061">
        <w:t>three</w:t>
      </w:r>
      <w:r>
        <w:t xml:space="preserve"> classification for revenue recognition which are based on the nature of the transaction, which is regulated in PSAK 23 </w:t>
      </w:r>
      <w:r w:rsidR="00B41061">
        <w:fldChar w:fldCharType="begin" w:fldLock="1"/>
      </w:r>
      <w:r w:rsidR="00B41061">
        <w:instrText>ADDIN CSL_CITATION {"citationItems":[{"id":"ITEM-1","itemData":{"author":[{"dropping-particle":"","family":"Indonesian Accountants Association (IAI)","given":"","non-dropping-particle":"","parse-names":false,"suffix":""}],"id":"ITEM-1","issued":{"date-parts":[["2018"]]},"number-of-pages":"PSAK 23","publisher":"Ikatan Akuntan Indonesia","publisher-place":"Jakarta","title":"Pernyataan Standar Akuntansi Keuangan No 23 Pendapatan","type":"book"},"uris":["http://www.mendeley.com/documents/?uuid=5a3e9849-34f9-4e4e-8692-32fdd6f2a119"]}],"mendeley":{"formattedCitation":"(Indonesian Accountants Association (IAI), 2018)","plainTextFormattedCitation":"(Indonesian Accountants Association (IAI), 2018)","previouslyFormattedCitation":"(Indonesian Accountants Association (IAI), 2018)"},"properties":{"noteIndex":0},"schema":"https://github.com/citation-style-language/schema/raw/master/csl-citation.json"}</w:instrText>
      </w:r>
      <w:r w:rsidR="00B41061">
        <w:fldChar w:fldCharType="separate"/>
      </w:r>
      <w:r w:rsidR="00B41061" w:rsidRPr="00B41061">
        <w:rPr>
          <w:noProof/>
        </w:rPr>
        <w:t>(Indonesian Accountants Association (IAI), 2018)</w:t>
      </w:r>
      <w:r w:rsidR="00B41061">
        <w:fldChar w:fldCharType="end"/>
      </w:r>
      <w:r>
        <w:t>, namely: 1) income from goods; 2) service income, and 3) interest, rental and royalty income that arises from the use of company asset by other company.</w:t>
      </w:r>
    </w:p>
    <w:p w14:paraId="39327B8B" w14:textId="5A64A916" w:rsidR="00F83D7E" w:rsidRPr="003E5960" w:rsidRDefault="003E5960">
      <w:pPr>
        <w:spacing w:after="0" w:line="240" w:lineRule="auto"/>
        <w:ind w:firstLine="270"/>
        <w:jc w:val="both"/>
        <w:rPr>
          <w:bCs/>
        </w:rPr>
      </w:pPr>
      <w:r w:rsidRPr="003E5960">
        <w:rPr>
          <w:bCs/>
        </w:rPr>
        <w:t xml:space="preserve">PSAK 72 </w:t>
      </w:r>
      <w:r w:rsidR="00CF2494" w:rsidRPr="003E5960">
        <w:rPr>
          <w:bCs/>
        </w:rPr>
        <w:t xml:space="preserve">implementation </w:t>
      </w:r>
      <w:r w:rsidRPr="003E5960">
        <w:rPr>
          <w:bCs/>
        </w:rPr>
        <w:t xml:space="preserve">effective started from January </w:t>
      </w:r>
      <w:r w:rsidR="00B3502A">
        <w:rPr>
          <w:bCs/>
        </w:rPr>
        <w:t>first</w:t>
      </w:r>
      <w:r w:rsidRPr="003E5960">
        <w:rPr>
          <w:bCs/>
        </w:rPr>
        <w:t>, 2020</w:t>
      </w:r>
      <w:r w:rsidR="00391CFF">
        <w:rPr>
          <w:bCs/>
        </w:rPr>
        <w:t>,</w:t>
      </w:r>
      <w:r w:rsidRPr="003E5960">
        <w:rPr>
          <w:bCs/>
        </w:rPr>
        <w:t xml:space="preserve"> </w:t>
      </w:r>
      <w:r w:rsidR="00391CFF">
        <w:rPr>
          <w:bCs/>
        </w:rPr>
        <w:t xml:space="preserve">which </w:t>
      </w:r>
      <w:r w:rsidRPr="003E5960">
        <w:rPr>
          <w:bCs/>
        </w:rPr>
        <w:t xml:space="preserve">contains revenue derived from contracts with customers. This PSAK itself is the result of adopting IFRS 15 Revenue from Contracts with Customers. This standard contains guidelines that need to be implemented by entities in order to generate useful information for users of the financial statements regarding amount, timing, nature and uncertainty of revenue, and cash flows resulting from contracts with customers </w:t>
      </w:r>
      <w:r w:rsidR="00B41061">
        <w:rPr>
          <w:bCs/>
        </w:rPr>
        <w:fldChar w:fldCharType="begin" w:fldLock="1"/>
      </w:r>
      <w:r w:rsidR="00B41061">
        <w:rPr>
          <w:bCs/>
        </w:rPr>
        <w:instrText>ADDIN CSL_CITATION {"citationItems":[{"id":"ITEM-1","itemData":{"DOI":"https://doi.org/10.33508/rima.v4i2.3529","author":[{"dropping-particle":"","family":"Fransisca","given":"Juni","non-dropping-particle":"","parse-names":false,"suffix":""},{"dropping-particle":"","family":"Ahalik","given":"Ahalik","non-dropping-particle":"","parse-names":false,"suffix":""}],"container-title":"Research In Management and Accounting","id":"ITEM-1","issue":"2","issued":{"date-parts":[["2021"]]},"page":"106–117","title":"Effect Of PSAK 72 Implementation In Property And Real Estate’s Financial Health","type":"article-journal","volume":"4"},"uris":["http://www.mendeley.com/documents/?uuid=dbc3d544-e7ad-43a7-8aef-8e330ed1f64d"]}],"mendeley":{"formattedCitation":"(Fransisca &amp; Ahalik, 2021)","plainTextFormattedCitation":"(Fransisca &amp; Ahalik, 2021)","previouslyFormattedCitation":"(Fransisca &amp; Ahalik, 2021)"},"properties":{"noteIndex":0},"schema":"https://github.com/citation-style-language/schema/raw/master/csl-citation.json"}</w:instrText>
      </w:r>
      <w:r w:rsidR="00B41061">
        <w:rPr>
          <w:bCs/>
        </w:rPr>
        <w:fldChar w:fldCharType="separate"/>
      </w:r>
      <w:r w:rsidR="00B41061" w:rsidRPr="00B41061">
        <w:rPr>
          <w:bCs/>
          <w:noProof/>
        </w:rPr>
        <w:t>(Fransisca &amp; Ahalik, 2021)</w:t>
      </w:r>
      <w:r w:rsidR="00B41061">
        <w:rPr>
          <w:bCs/>
        </w:rPr>
        <w:fldChar w:fldCharType="end"/>
      </w:r>
      <w:r w:rsidRPr="003E5960">
        <w:rPr>
          <w:bCs/>
        </w:rPr>
        <w:t xml:space="preserve">. PSAK 72 is applied with the aim that revenue is recognized at the right time so that its value reflects the actual performance of the company. This is done to ensure that the financial information used in decision making is presented correctly. The criteria created must be met to be able to determine revenue recognition so that it can provide reliable and relevant financial information. PSAK 72 requires that entities need to conduct an analysis of transactions in accordance with the contract first in order to determine revenue recognition, which consists of the following five steps </w:t>
      </w:r>
      <w:r w:rsidR="00B41061">
        <w:rPr>
          <w:bCs/>
        </w:rPr>
        <w:fldChar w:fldCharType="begin" w:fldLock="1"/>
      </w:r>
      <w:r w:rsidR="00B41061">
        <w:rPr>
          <w:bCs/>
        </w:rPr>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B41061">
        <w:rPr>
          <w:bCs/>
        </w:rPr>
        <w:fldChar w:fldCharType="separate"/>
      </w:r>
      <w:r w:rsidR="00B41061" w:rsidRPr="00B41061">
        <w:rPr>
          <w:bCs/>
          <w:noProof/>
        </w:rPr>
        <w:t>(Indonesian Accountants Association (IAI), 2022)</w:t>
      </w:r>
      <w:r w:rsidR="00B41061">
        <w:rPr>
          <w:bCs/>
        </w:rPr>
        <w:fldChar w:fldCharType="end"/>
      </w:r>
      <w:r w:rsidRPr="003E5960">
        <w:rPr>
          <w:bCs/>
        </w:rPr>
        <w:t xml:space="preserve">. Revenue is </w:t>
      </w:r>
      <w:r w:rsidRPr="003E5960">
        <w:rPr>
          <w:bCs/>
        </w:rPr>
        <w:lastRenderedPageBreak/>
        <w:t xml:space="preserve">recognized when contractual obligations have been fulfilled in the form of delivering goods or providing services to customers. Revenue can be recognized based on two time principles, namely revenue recognized over the time, and revenue recognized at a certain point of time </w:t>
      </w:r>
      <w:r w:rsidR="00B41061">
        <w:rPr>
          <w:bCs/>
        </w:rPr>
        <w:fldChar w:fldCharType="begin" w:fldLock="1"/>
      </w:r>
      <w:r w:rsidR="00B41061">
        <w:rPr>
          <w:bCs/>
        </w:rPr>
        <w:instrText>ADDIN CSL_CITATION {"citationItems":[{"id":"ITEM-1","itemData":{"URL":"https://www.pwc.com/id/en/media-centre/pwc-in news/2020/indonesian/psak-72--perusahaan-real-estat-jual-barang-atau-jasa--ini-kata-p.html","author":[{"dropping-particle":"","family":"PriceWaterhouseCoopers","given":"","non-dropping-particle":"","parse-names":false,"suffix":""}],"id":"ITEM-1","issued":{"date-parts":[["2020"]]},"title":"PSAK 72, Perusahaan Real Estat Jual Barang atau Jasa? Ini kata PwC","type":"webpage"},"uris":["http://www.mendeley.com/documents/?uuid=1acf7d0c-c4e1-4f77-9216-1b8083c3f444"]}],"mendeley":{"formattedCitation":"(PriceWaterhouseCoopers, 2020)","plainTextFormattedCitation":"(PriceWaterhouseCoopers, 2020)","previouslyFormattedCitation":"(PriceWaterhouseCoopers, 2020)"},"properties":{"noteIndex":0},"schema":"https://github.com/citation-style-language/schema/raw/master/csl-citation.json"}</w:instrText>
      </w:r>
      <w:r w:rsidR="00B41061">
        <w:rPr>
          <w:bCs/>
        </w:rPr>
        <w:fldChar w:fldCharType="separate"/>
      </w:r>
      <w:r w:rsidR="00B41061" w:rsidRPr="00B41061">
        <w:rPr>
          <w:bCs/>
          <w:noProof/>
        </w:rPr>
        <w:t>(PriceWaterhouseCoopers, 2020)</w:t>
      </w:r>
      <w:r w:rsidR="00B41061">
        <w:rPr>
          <w:bCs/>
        </w:rPr>
        <w:fldChar w:fldCharType="end"/>
      </w:r>
      <w:r w:rsidRPr="003E5960">
        <w:rPr>
          <w:bCs/>
        </w:rPr>
        <w:t>.</w:t>
      </w:r>
    </w:p>
    <w:p w14:paraId="69DA8F8E" w14:textId="7A5A4913" w:rsidR="00F83D7E" w:rsidRDefault="00000000">
      <w:pPr>
        <w:spacing w:after="0" w:line="240" w:lineRule="auto"/>
        <w:ind w:firstLine="270"/>
        <w:jc w:val="both"/>
      </w:pPr>
      <w:r>
        <w:t xml:space="preserve">Company performance is an achievement or result obtained due to company operational activities by utilizing company resources within a certain period </w:t>
      </w:r>
      <w:r w:rsidR="00B41061">
        <w:fldChar w:fldCharType="begin" w:fldLock="1"/>
      </w:r>
      <w:r w:rsidR="00B41061">
        <w:instrText>ADDIN CSL_CITATION {"citationItems":[{"id":"ITEM-1","itemData":{"DOI":"https://doi.org/10.37531/sejaman.v2i1.345","author":[{"dropping-particle":"","family":"Galib","given":"M","non-dropping-particle":"","parse-names":false,"suffix":""},{"dropping-particle":"","family":"Hidayat","given":"M","non-dropping-particle":"","parse-names":false,"suffix":""}],"container-title":"SEIKO: Journal of Management &amp; Business","id":"ITEM-1","issue":"1","issued":{"date-parts":[["2018"]]},"page":"92-112","title":"Analisis Kinerja Perusahaan Dengan Menggunakan Pendekatan Balanced Scorecard Pada PT. Bosowa Propertindo","type":"article-journal","volume":"2"},"uris":["http://www.mendeley.com/documents/?uuid=89716b68-220c-4d31-96ce-e1ad0b39eef3"]}],"mendeley":{"formattedCitation":"(Galib &amp; Hidayat, 2018)","plainTextFormattedCitation":"(Galib &amp; Hidayat, 2018)","previouslyFormattedCitation":"(Galib &amp; Hidayat, 2018)"},"properties":{"noteIndex":0},"schema":"https://github.com/citation-style-language/schema/raw/master/csl-citation.json"}</w:instrText>
      </w:r>
      <w:r w:rsidR="00B41061">
        <w:fldChar w:fldCharType="separate"/>
      </w:r>
      <w:r w:rsidR="00B41061" w:rsidRPr="00B41061">
        <w:rPr>
          <w:noProof/>
        </w:rPr>
        <w:t>(Galib &amp; Hidayat, 2018)</w:t>
      </w:r>
      <w:r w:rsidR="00B41061">
        <w:fldChar w:fldCharType="end"/>
      </w:r>
      <w:r>
        <w:t xml:space="preserve">. </w:t>
      </w:r>
      <w:r w:rsidR="009004ED">
        <w:t>P</w:t>
      </w:r>
      <w:r>
        <w:t>erformance</w:t>
      </w:r>
      <w:r w:rsidR="009004ED">
        <w:t xml:space="preserve"> of a company</w:t>
      </w:r>
      <w:r>
        <w:t xml:space="preserve"> is the result of decisions taken based on unanimous consideration by managers in running the company </w:t>
      </w:r>
      <w:r w:rsidR="00B41061">
        <w:fldChar w:fldCharType="begin" w:fldLock="1"/>
      </w:r>
      <w:r w:rsidR="00B41061">
        <w:instrText>ADDIN CSL_CITATION {"citationItems":[{"id":"ITEM-1","itemData":{"author":[{"dropping-particle":"","family":"Sodikin","given":"S","non-dropping-particle":"","parse-names":false,"suffix":""},{"dropping-particle":"","family":"Sahroni","given":"N","non-dropping-particle":"","parse-names":false,"suffix":""}],"container-title":"Jurnal Ekonomi Manajemen","id":"ITEM-1","issue":"2","issued":{"date-parts":[["2016"]]},"page":"81-90","title":"Analisis Kinerja Keuangan dan Kinerja Pasar Sebelum dan Sesudah Akuisisi (Kasus pada Akuisisi PT. Agung Podomoro Land Tbk.)","type":"article-journal","volume":"2"},"uris":["http://www.mendeley.com/documents/?uuid=eefdea96-3397-4ed1-a1ed-3a145f4a06aa"]}],"mendeley":{"formattedCitation":"(Sodikin &amp; Sahroni, 2016)","plainTextFormattedCitation":"(Sodikin &amp; Sahroni, 2016)","previouslyFormattedCitation":"(Sodikin &amp; Sahroni, 2016)"},"properties":{"noteIndex":0},"schema":"https://github.com/citation-style-language/schema/raw/master/csl-citation.json"}</w:instrText>
      </w:r>
      <w:r w:rsidR="00B41061">
        <w:fldChar w:fldCharType="separate"/>
      </w:r>
      <w:r w:rsidR="00B41061" w:rsidRPr="00B41061">
        <w:rPr>
          <w:noProof/>
        </w:rPr>
        <w:t>(Sodikin &amp; Sahroni, 2016)</w:t>
      </w:r>
      <w:r w:rsidR="00B41061">
        <w:fldChar w:fldCharType="end"/>
      </w:r>
      <w:r>
        <w:t>. Company performance can be measure by financial performance also market performance.</w:t>
      </w:r>
      <w:r w:rsidR="00735401">
        <w:t xml:space="preserve"> </w:t>
      </w:r>
      <w:r>
        <w:t xml:space="preserve">Financial Performance is a form of performance achievement in managing company assets effectively carried out by company management </w:t>
      </w:r>
      <w:r w:rsidR="00B41061">
        <w:fldChar w:fldCharType="begin" w:fldLock="1"/>
      </w:r>
      <w:r w:rsidR="0029402C">
        <w:instrText>ADDIN CSL_CITATION {"citationItems":[{"id":"ITEM-1","itemData":{"author":[{"dropping-particle":"","family":"Hayat","given":"Atma","non-dropping-particle":"","parse-names":false,"suffix":""}],"id":"ITEM-1","issued":{"date-parts":[["2018"]]},"publisher":"Madenatera","publisher-place":"Medan","title":"Manajemen Keuangan","type":"book"},"uris":["http://www.mendeley.com/documents/?uuid=960fd1d8-acc1-4027-bb4a-4bb4400079e3"]}],"mendeley":{"formattedCitation":"(Hayat, 2018)","plainTextFormattedCitation":"(Hayat, 2018)","previouslyFormattedCitation":"(Hayat, 2018)"},"properties":{"noteIndex":0},"schema":"https://github.com/citation-style-language/schema/raw/master/csl-citation.json"}</w:instrText>
      </w:r>
      <w:r w:rsidR="00B41061">
        <w:fldChar w:fldCharType="separate"/>
      </w:r>
      <w:r w:rsidR="00B41061" w:rsidRPr="00B41061">
        <w:rPr>
          <w:noProof/>
        </w:rPr>
        <w:t>(Hayat, 2018)</w:t>
      </w:r>
      <w:r w:rsidR="00B41061">
        <w:fldChar w:fldCharType="end"/>
      </w:r>
      <w:r>
        <w:t xml:space="preserve">. </w:t>
      </w:r>
      <w:r w:rsidR="0029402C">
        <w:fldChar w:fldCharType="begin" w:fldLock="1"/>
      </w:r>
      <w:r w:rsidR="0029402C">
        <w:instrText>ADDIN CSL_CITATION {"citationItems":[{"id":"ITEM-1","itemData":{"author":[{"dropping-particle":"","family":"Sujarweni","given":"V Wiratna","non-dropping-particle":"","parse-names":false,"suffix":""}],"id":"ITEM-1","issued":{"date-parts":[["2017"]]},"publisher":"Pustaka Baru Press","publisher-place":"Yogyakarta","title":"Analisis Laporan Keuangan: Teori, Aplikasi, dan Hasil Penelitian","type":"book"},"uris":["http://www.mendeley.com/documents/?uuid=c14ca692-2bb2-4a49-8fb3-90f7061cf540"]}],"mendeley":{"formattedCitation":"(Sujarweni, 2017)","manualFormatting":"Sujarweni (2017)","plainTextFormattedCitation":"(Sujarweni, 2017)","previouslyFormattedCitation":"(Sujarweni, 2017)"},"properties":{"noteIndex":0},"schema":"https://github.com/citation-style-language/schema/raw/master/csl-citation.json"}</w:instrText>
      </w:r>
      <w:r w:rsidR="0029402C">
        <w:fldChar w:fldCharType="separate"/>
      </w:r>
      <w:r w:rsidR="0029402C" w:rsidRPr="0029402C">
        <w:rPr>
          <w:noProof/>
        </w:rPr>
        <w:t xml:space="preserve">Sujarweni </w:t>
      </w:r>
      <w:r w:rsidR="0029402C">
        <w:rPr>
          <w:noProof/>
        </w:rPr>
        <w:t>(</w:t>
      </w:r>
      <w:r w:rsidR="0029402C" w:rsidRPr="0029402C">
        <w:rPr>
          <w:noProof/>
        </w:rPr>
        <w:t>2017)</w:t>
      </w:r>
      <w:r w:rsidR="0029402C">
        <w:fldChar w:fldCharType="end"/>
      </w:r>
      <w:r>
        <w:t xml:space="preserve"> states that financial performance is an evaluation of the results of work that has been completed within a certain period. These results will then be assessed based on the criteria set by the company. Financial performance results can help a company to evaluate how effectively it uses its assets or company resources in achieving its goals, in this case profit </w:t>
      </w:r>
      <w:r w:rsidR="0029402C">
        <w:fldChar w:fldCharType="begin" w:fldLock="1"/>
      </w:r>
      <w:r w:rsidR="0029402C">
        <w:instrText>ADDIN CSL_CITATION {"citationItems":[{"id":"ITEM-1","itemData":{"URL":"https://www.jurnal.id/id/blog/2018-laporan-keuangan-tepat-untuk-penilaian-kinerja-keuangan-perusahaan/","author":[{"dropping-particle":"","family":"Amalia","given":"Dina","non-dropping-particle":"","parse-names":false,"suffix":""}],"container-title":"Jurnal.id","id":"ITEM-1","issued":{"date-parts":[["2022"]]},"title":"Cara Mengukur Kinerja Keuangan Sebuah Perusahaan","type":"webpage"},"uris":["http://www.mendeley.com/documents/?uuid=099feadc-0e59-47f1-a234-352d609284e0"]}],"mendeley":{"formattedCitation":"(Amalia, 2022)","plainTextFormattedCitation":"(Amalia, 2022)","previouslyFormattedCitation":"(Amalia, 2022)"},"properties":{"noteIndex":0},"schema":"https://github.com/citation-style-language/schema/raw/master/csl-citation.json"}</w:instrText>
      </w:r>
      <w:r w:rsidR="0029402C">
        <w:fldChar w:fldCharType="separate"/>
      </w:r>
      <w:r w:rsidR="0029402C" w:rsidRPr="0029402C">
        <w:rPr>
          <w:noProof/>
        </w:rPr>
        <w:t>(Amalia, 2022)</w:t>
      </w:r>
      <w:r w:rsidR="0029402C">
        <w:fldChar w:fldCharType="end"/>
      </w:r>
      <w:r>
        <w:t xml:space="preserve">. This performance is measured by analyzing financial reports </w:t>
      </w:r>
      <w:r w:rsidR="00A11067">
        <w:t xml:space="preserve">that </w:t>
      </w:r>
      <w:r>
        <w:t xml:space="preserve">carried out by assessing the liquidity, profitability, solvency and activities </w:t>
      </w:r>
      <w:r w:rsidR="00476390">
        <w:t xml:space="preserve">of a company </w:t>
      </w:r>
      <w:r w:rsidR="0029402C">
        <w:fldChar w:fldCharType="begin" w:fldLock="1"/>
      </w:r>
      <w:r w:rsidR="0029402C">
        <w:instrText>ADDIN CSL_CITATION {"citationItems":[{"id":"ITEM-1","itemData":{"DOI":"http://jurnaltsm.id/index.php/EJATSM","author":[{"dropping-particle":"","family":"Atul","given":"U","non-dropping-particle":"","parse-names":false,"suffix":""},{"dropping-particle":"","family":"Sari","given":"Y","non-dropping-particle":"","parse-names":false,"suffix":""},{"dropping-particle":"","family":"Lestari","given":"Y","non-dropping-particle":"","parse-names":false,"suffix":""}],"container-title":"E-Jurnal Akuntansi TSM","id":"ITEM-1","issue":"3","issued":{"date-parts":[["2022"]]},"page":"89-96","title":"Analisis Rasio Keuangan untuk Mengukur Kinerja Keuangan Perusahaan","type":"article-journal","volume":"2"},"uris":["http://www.mendeley.com/documents/?uuid=ef974e80-f3e5-4818-a569-c9728ffb83b3"]}],"mendeley":{"formattedCitation":"(Atul et al., 2022)","plainTextFormattedCitation":"(Atul et al., 2022)","previouslyFormattedCitation":"(Atul et al., 2022)"},"properties":{"noteIndex":0},"schema":"https://github.com/citation-style-language/schema/raw/master/csl-citation.json"}</w:instrText>
      </w:r>
      <w:r w:rsidR="0029402C">
        <w:fldChar w:fldCharType="separate"/>
      </w:r>
      <w:r w:rsidR="0029402C" w:rsidRPr="0029402C">
        <w:rPr>
          <w:noProof/>
        </w:rPr>
        <w:t>(Atul et al., 2022)</w:t>
      </w:r>
      <w:r w:rsidR="0029402C">
        <w:fldChar w:fldCharType="end"/>
      </w:r>
      <w:r>
        <w:t>.</w:t>
      </w:r>
    </w:p>
    <w:p w14:paraId="797FA9F9" w14:textId="67121F64" w:rsidR="00E534F8" w:rsidRDefault="00E534F8">
      <w:pPr>
        <w:spacing w:after="0" w:line="240" w:lineRule="auto"/>
        <w:ind w:firstLine="270"/>
        <w:jc w:val="both"/>
      </w:pPr>
      <w:r w:rsidRPr="00E534F8">
        <w:t xml:space="preserve">Liquidity is </w:t>
      </w:r>
      <w:r w:rsidR="008C4BC1">
        <w:t xml:space="preserve">a </w:t>
      </w:r>
      <w:r w:rsidRPr="00E534F8">
        <w:t xml:space="preserve">company </w:t>
      </w:r>
      <w:r w:rsidR="008C4BC1">
        <w:t xml:space="preserve">capability </w:t>
      </w:r>
      <w:r w:rsidRPr="00E534F8">
        <w:t xml:space="preserve">to fulfill the obligations when it is time to pay </w:t>
      </w:r>
      <w:r w:rsidR="0029402C">
        <w:fldChar w:fldCharType="begin" w:fldLock="1"/>
      </w:r>
      <w:r w:rsidR="0029402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29402C">
        <w:fldChar w:fldCharType="separate"/>
      </w:r>
      <w:r w:rsidR="0029402C" w:rsidRPr="0029402C">
        <w:rPr>
          <w:noProof/>
        </w:rPr>
        <w:t>(Kasmir, 2019)</w:t>
      </w:r>
      <w:r w:rsidR="0029402C">
        <w:fldChar w:fldCharType="end"/>
      </w:r>
      <w:r w:rsidRPr="00E534F8">
        <w:t xml:space="preserve">. The indicator </w:t>
      </w:r>
      <w:r w:rsidR="0080485F">
        <w:t xml:space="preserve">of </w:t>
      </w:r>
      <w:r w:rsidR="0080485F" w:rsidRPr="00E534F8">
        <w:t>liquidity</w:t>
      </w:r>
      <w:r w:rsidRPr="00E534F8">
        <w:t xml:space="preserve"> is current ratio (CR) because creditors can </w:t>
      </w:r>
      <w:r w:rsidR="00301588">
        <w:t>evaluate</w:t>
      </w:r>
      <w:r w:rsidRPr="00E534F8">
        <w:t xml:space="preserve"> the company's ability to </w:t>
      </w:r>
      <w:r w:rsidR="00F50EC3">
        <w:t xml:space="preserve">pay </w:t>
      </w:r>
      <w:r w:rsidRPr="00E534F8">
        <w:t xml:space="preserve">short-term liabilities with current assets. Profitability is an indicator to </w:t>
      </w:r>
      <w:r w:rsidR="00B97232">
        <w:t>evaluate</w:t>
      </w:r>
      <w:r w:rsidRPr="00E534F8">
        <w:t xml:space="preserve"> profits </w:t>
      </w:r>
      <w:r w:rsidR="00A8619C">
        <w:t xml:space="preserve">generated </w:t>
      </w:r>
      <w:r w:rsidRPr="00E534F8">
        <w:t xml:space="preserve">from sales, assets, and also equity through certain measurements </w:t>
      </w:r>
      <w:r w:rsidR="0029402C">
        <w:fldChar w:fldCharType="begin" w:fldLock="1"/>
      </w:r>
      <w:r w:rsidR="00D413F4">
        <w:instrText>ADDIN CSL_CITATION {"citationItems":[{"id":"ITEM-1","itemData":{"author":[{"dropping-particle":"","family":"Brigham","given":"E.F.","non-dropping-particle":"","parse-names":false,"suffix":""},{"dropping-particle":"","family":"Houston","given":"J.F.","non-dropping-particle":"","parse-names":false,"suffix":""}],"edition":"14","id":"ITEM-1","issued":{"date-parts":[["2019"]]},"publisher":"Jakarta: Salemba Empat","publisher-place":"Jakarta","title":"Dasar-Dasar Manajemen Keuangan","type":"book"},"uris":["http://www.mendeley.com/documents/?uuid=a7dd94a8-005a-3907-b6e2-5cb129b9b9da"]}],"mendeley":{"formattedCitation":"(Brigham &amp; Houston, 2019a)","plainTextFormattedCitation":"(Brigham &amp; Houston, 2019a)","previouslyFormattedCitation":"(Brigham &amp; Houston, 2019a)"},"properties":{"noteIndex":0},"schema":"https://github.com/citation-style-language/schema/raw/master/csl-citation.json"}</w:instrText>
      </w:r>
      <w:r w:rsidR="0029402C">
        <w:fldChar w:fldCharType="separate"/>
      </w:r>
      <w:r w:rsidR="00D413F4" w:rsidRPr="00D413F4">
        <w:rPr>
          <w:noProof/>
        </w:rPr>
        <w:t>(Brigham &amp; Houston, 2019a)</w:t>
      </w:r>
      <w:r w:rsidR="0029402C">
        <w:fldChar w:fldCharType="end"/>
      </w:r>
      <w:r w:rsidRPr="00E534F8">
        <w:t xml:space="preserve">. Profitability ratios that used are return on assets (ROA), return on equity (ROE), </w:t>
      </w:r>
      <w:r w:rsidR="00B43E31">
        <w:t>also</w:t>
      </w:r>
      <w:r w:rsidRPr="00E534F8">
        <w:t xml:space="preserve"> </w:t>
      </w:r>
      <w:r w:rsidR="00B43E31">
        <w:t>n</w:t>
      </w:r>
      <w:r w:rsidRPr="00E534F8">
        <w:t xml:space="preserve">et </w:t>
      </w:r>
      <w:r w:rsidR="00B43E31">
        <w:t>p</w:t>
      </w:r>
      <w:r w:rsidRPr="00E534F8">
        <w:t xml:space="preserve">rofit </w:t>
      </w:r>
      <w:r w:rsidR="00B43E31">
        <w:t>m</w:t>
      </w:r>
      <w:r w:rsidRPr="00E534F8">
        <w:t xml:space="preserve">argin (NPM). ROA and ROE are used because they can be a benchmark for effectiveness </w:t>
      </w:r>
      <w:r w:rsidR="00124480">
        <w:t xml:space="preserve">of a company </w:t>
      </w:r>
      <w:r w:rsidRPr="00E534F8">
        <w:t xml:space="preserve">in profits </w:t>
      </w:r>
      <w:r w:rsidR="005038E1" w:rsidRPr="00E534F8">
        <w:t xml:space="preserve">generating </w:t>
      </w:r>
      <w:r w:rsidRPr="00E534F8">
        <w:t xml:space="preserve">using all assets and equity to the maximum </w:t>
      </w:r>
      <w:r w:rsidR="0029402C">
        <w:fldChar w:fldCharType="begin" w:fldLock="1"/>
      </w:r>
      <w:r w:rsidR="0029402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29402C">
        <w:fldChar w:fldCharType="separate"/>
      </w:r>
      <w:r w:rsidR="0029402C" w:rsidRPr="0029402C">
        <w:rPr>
          <w:noProof/>
        </w:rPr>
        <w:t>(Kasmir, 2019)</w:t>
      </w:r>
      <w:r w:rsidR="0029402C">
        <w:fldChar w:fldCharType="end"/>
      </w:r>
      <w:r w:rsidRPr="00E534F8">
        <w:t xml:space="preserve">, while NPM was chosen because it is an index that can show the company's profit from sales after all costs and also income tax </w:t>
      </w:r>
      <w:r w:rsidR="0029402C">
        <w:fldChar w:fldCharType="begin" w:fldLock="1"/>
      </w:r>
      <w:r w:rsidR="0029402C">
        <w:instrText>ADDIN CSL_CITATION {"citationItems":[{"id":"ITEM-1","itemData":{"author":[{"dropping-particle":"","family":"Harjito","given":"A","non-dropping-particle":"","parse-names":false,"suffix":""},{"dropping-particle":"","family":"Martono","given":"","non-dropping-particle":"","parse-names":false,"suffix":""}],"edition":"second","id":"ITEM-1","issued":{"date-parts":[["2018"]]},"publisher":"EKONISIA","publisher-place":"Yogyakarta","title":"Manajemen Keuangan","type":"book"},"uris":["http://www.mendeley.com/documents/?uuid=568c17f7-1c5f-4455-96f7-b43e212bc76c"]}],"mendeley":{"formattedCitation":"(Harjito &amp; Martono, 2018)","plainTextFormattedCitation":"(Harjito &amp; Martono, 2018)","previouslyFormattedCitation":"(Harjito &amp; Martono, 2018)"},"properties":{"noteIndex":0},"schema":"https://github.com/citation-style-language/schema/raw/master/csl-citation.json"}</w:instrText>
      </w:r>
      <w:r w:rsidR="0029402C">
        <w:fldChar w:fldCharType="separate"/>
      </w:r>
      <w:r w:rsidR="0029402C" w:rsidRPr="0029402C">
        <w:rPr>
          <w:noProof/>
        </w:rPr>
        <w:t>(Harjito &amp; Martono, 2018)</w:t>
      </w:r>
      <w:r w:rsidR="0029402C">
        <w:fldChar w:fldCharType="end"/>
      </w:r>
      <w:r w:rsidRPr="00E534F8">
        <w:t>. Solvency is the company</w:t>
      </w:r>
      <w:r w:rsidR="00C71839">
        <w:t xml:space="preserve">’s </w:t>
      </w:r>
      <w:r w:rsidR="00C71839" w:rsidRPr="00E534F8">
        <w:t>ability</w:t>
      </w:r>
      <w:r w:rsidRPr="00E534F8">
        <w:t xml:space="preserve"> to fulfill liabilities using the assets and equity </w:t>
      </w:r>
      <w:r w:rsidR="0029402C">
        <w:fldChar w:fldCharType="begin" w:fldLock="1"/>
      </w:r>
      <w:r w:rsidR="0029402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29402C">
        <w:fldChar w:fldCharType="separate"/>
      </w:r>
      <w:r w:rsidR="0029402C" w:rsidRPr="0029402C">
        <w:rPr>
          <w:noProof/>
        </w:rPr>
        <w:t>(Kasmir, 2019)</w:t>
      </w:r>
      <w:r w:rsidR="0029402C">
        <w:fldChar w:fldCharType="end"/>
      </w:r>
      <w:r w:rsidRPr="00E534F8">
        <w:t xml:space="preserve">. Company solvency measured by debt to asset ratio (DAR) </w:t>
      </w:r>
      <w:r w:rsidR="00606444">
        <w:t>also</w:t>
      </w:r>
      <w:r w:rsidRPr="00E534F8">
        <w:t xml:space="preserve"> debt to equity ratio (DER). DAR used because it provides an overview of the </w:t>
      </w:r>
      <w:r w:rsidR="00A21D18">
        <w:t>percentage</w:t>
      </w:r>
      <w:r w:rsidRPr="00E534F8">
        <w:t xml:space="preserve"> of total liabilities </w:t>
      </w:r>
      <w:r w:rsidR="008A42C8">
        <w:t>to</w:t>
      </w:r>
      <w:r w:rsidRPr="00E534F8">
        <w:t xml:space="preserve"> assets. DER is the company </w:t>
      </w:r>
      <w:r w:rsidR="002055F9">
        <w:t xml:space="preserve">ability </w:t>
      </w:r>
      <w:r w:rsidRPr="00E534F8">
        <w:t xml:space="preserve">to pay liabilities with the total equity if the assets owned are insufficient </w:t>
      </w:r>
      <w:r w:rsidR="0029402C">
        <w:fldChar w:fldCharType="begin" w:fldLock="1"/>
      </w:r>
      <w:r w:rsidR="0029402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29402C">
        <w:fldChar w:fldCharType="separate"/>
      </w:r>
      <w:r w:rsidR="0029402C" w:rsidRPr="0029402C">
        <w:rPr>
          <w:noProof/>
        </w:rPr>
        <w:t>(Kasmir, 2019)</w:t>
      </w:r>
      <w:r w:rsidR="0029402C">
        <w:fldChar w:fldCharType="end"/>
      </w:r>
      <w:r w:rsidRPr="00E534F8">
        <w:t>. This ratio shows the composition of funding in the company which comes from liabilities and equity. Activity performance shows</w:t>
      </w:r>
      <w:r w:rsidR="00367035">
        <w:t xml:space="preserve"> the</w:t>
      </w:r>
      <w:r w:rsidRPr="00E534F8">
        <w:t xml:space="preserve"> ability </w:t>
      </w:r>
      <w:r w:rsidR="00367035">
        <w:t xml:space="preserve">of a company </w:t>
      </w:r>
      <w:r w:rsidRPr="00E534F8">
        <w:t xml:space="preserve">to </w:t>
      </w:r>
      <w:r w:rsidR="007D115F">
        <w:t>use</w:t>
      </w:r>
      <w:r w:rsidRPr="00E534F8">
        <w:t xml:space="preserve"> and allocate </w:t>
      </w:r>
      <w:r w:rsidR="00395BFD">
        <w:t xml:space="preserve">for </w:t>
      </w:r>
      <w:r w:rsidRPr="00E534F8">
        <w:t xml:space="preserve">profits </w:t>
      </w:r>
      <w:r w:rsidR="00395BFD">
        <w:t xml:space="preserve">generating </w:t>
      </w:r>
      <w:r w:rsidR="0029402C">
        <w:fldChar w:fldCharType="begin" w:fldLock="1"/>
      </w:r>
      <w:r w:rsidR="0029402C">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29402C">
        <w:fldChar w:fldCharType="separate"/>
      </w:r>
      <w:r w:rsidR="0029402C" w:rsidRPr="0029402C">
        <w:rPr>
          <w:noProof/>
        </w:rPr>
        <w:t>(Kasmir, 2019)</w:t>
      </w:r>
      <w:r w:rsidR="0029402C">
        <w:fldChar w:fldCharType="end"/>
      </w:r>
      <w:r w:rsidRPr="00E534F8">
        <w:t xml:space="preserve">. </w:t>
      </w:r>
      <w:r w:rsidR="001C159D">
        <w:t>A</w:t>
      </w:r>
      <w:r w:rsidRPr="00E534F8">
        <w:t>ctivity performance measure used in this research is total asset turnover (TAT) because it is an index that can describe how much sales volume a company can make using its total assets.</w:t>
      </w:r>
    </w:p>
    <w:p w14:paraId="36B504CA" w14:textId="76AFFCFE" w:rsidR="00F83D7E" w:rsidRDefault="00000000">
      <w:pPr>
        <w:spacing w:after="0" w:line="240" w:lineRule="auto"/>
        <w:ind w:firstLine="270"/>
        <w:jc w:val="both"/>
      </w:pPr>
      <w:r>
        <w:t xml:space="preserve">Market performance is performance that shows the extent to which the company is able to increase the value of company's shares which are currently traded on the capital market </w:t>
      </w:r>
      <w:r w:rsidR="0029402C">
        <w:fldChar w:fldCharType="begin" w:fldLock="1"/>
      </w:r>
      <w:r w:rsidR="0029402C">
        <w:instrText>ADDIN CSL_CITATION {"citationItems":[{"id":"ITEM-1","itemData":{"author":[{"dropping-particle":"","family":"Sudana","given":"I Made","non-dropping-particle":"","parse-names":false,"suffix":""}],"id":"ITEM-1","issued":{"date-parts":[["2018"]]},"publisher":"Airlangga University Press","publisher-place":"Surabaya","title":"Manajemen Keuangan Teori dan Praktik","type":"book"},"uris":["http://www.mendeley.com/documents/?uuid=052e4c7a-c360-4e9b-bf6b-72ac33fdba47"]}],"mendeley":{"formattedCitation":"(Sudana, 2018)","plainTextFormattedCitation":"(Sudana, 2018)","previouslyFormattedCitation":"(Sudana, 2018)"},"properties":{"noteIndex":0},"schema":"https://github.com/citation-style-language/schema/raw/master/csl-citation.json"}</w:instrText>
      </w:r>
      <w:r w:rsidR="0029402C">
        <w:fldChar w:fldCharType="separate"/>
      </w:r>
      <w:r w:rsidR="0029402C" w:rsidRPr="0029402C">
        <w:rPr>
          <w:noProof/>
        </w:rPr>
        <w:t>(Sudana, 2018)</w:t>
      </w:r>
      <w:r w:rsidR="0029402C">
        <w:fldChar w:fldCharType="end"/>
      </w:r>
      <w:r>
        <w:t xml:space="preserve">. When investors invest in shares of a company, they definitely aim to get big profits. Investors will respond well to useful information </w:t>
      </w:r>
      <w:r w:rsidR="0029402C">
        <w:fldChar w:fldCharType="begin" w:fldLock="1"/>
      </w:r>
      <w:r w:rsidR="0029402C">
        <w:instrText>ADDIN CSL_CITATION {"citationItems":[{"id":"ITEM-1","itemData":{"DOI":"10.33508/jako.v11i2.2080","author":[{"dropping-particle":"","family":"Wibowo","given":"Oktavia Velicia Cindy","non-dropping-particle":"","parse-names":false,"suffix":""},{"dropping-particle":"","family":"Lindrawati","given":"","non-dropping-particle":"","parse-names":false,"suffix":""}],"container-title":"Jurnal Akuntansi Kontemporer (JAKO)","id":"ITEM-1","issue":"2","issued":{"date-parts":[["2019"]]},"page":"93-106","title":"Pengaruh Kontrak Utang, Biaya Politik, dan Asimetri Informasi terhadap Keputusan Revaluasi Aset Tetap","type":"article-journal","volume":"11"},"uris":["http://www.mendeley.com/documents/?uuid=b24c5b0e-baec-4238-b41a-d21bba45896a"]}],"mendeley":{"formattedCitation":"(Wibowo &amp; Lindrawati, 2019)","plainTextFormattedCitation":"(Wibowo &amp; Lindrawati, 2019)","previouslyFormattedCitation":"(Wibowo &amp; Lindrawati, 2019)"},"properties":{"noteIndex":0},"schema":"https://github.com/citation-style-language/schema/raw/master/csl-citation.json"}</w:instrText>
      </w:r>
      <w:r w:rsidR="0029402C">
        <w:fldChar w:fldCharType="separate"/>
      </w:r>
      <w:r w:rsidR="0029402C" w:rsidRPr="0029402C">
        <w:rPr>
          <w:noProof/>
        </w:rPr>
        <w:t>(Wibowo &amp; Lindrawati, 2019)</w:t>
      </w:r>
      <w:r w:rsidR="0029402C">
        <w:fldChar w:fldCharType="end"/>
      </w:r>
      <w:r>
        <w:t>. The company's market performance will reflect about how good company's prospects are in the eyes of the investors. Investors will assess performance of the company shares with profit and cash flow as parameters. Market performance could be measure using price earning ratio (PER)</w:t>
      </w:r>
      <w:r w:rsidR="00814936">
        <w:t>,</w:t>
      </w:r>
      <w:r>
        <w:t xml:space="preserve"> also price book value (PBV). </w:t>
      </w:r>
      <w:r w:rsidR="009F7D7C">
        <w:t>PER</w:t>
      </w:r>
      <w:r>
        <w:t xml:space="preserve"> will show company's growth prospects which will be seen from company's share profits when compared with company's share price at the future. </w:t>
      </w:r>
      <w:r w:rsidR="00DA6ED3">
        <w:t>While PBV</w:t>
      </w:r>
      <w:r>
        <w:t xml:space="preserve"> used </w:t>
      </w:r>
      <w:r w:rsidR="0083245F">
        <w:t>for evaluate the</w:t>
      </w:r>
      <w:r>
        <w:t xml:space="preserve"> market value compared to book value which is manager of shareholder wealth.</w:t>
      </w:r>
    </w:p>
    <w:p w14:paraId="7C2A3219" w14:textId="77777777" w:rsidR="0029402C" w:rsidRDefault="0029402C">
      <w:pPr>
        <w:spacing w:after="0" w:line="240" w:lineRule="auto"/>
        <w:ind w:firstLine="270"/>
        <w:jc w:val="both"/>
      </w:pPr>
    </w:p>
    <w:p w14:paraId="59857DDE" w14:textId="77777777" w:rsidR="00F83D7E" w:rsidRDefault="00F83D7E">
      <w:pPr>
        <w:spacing w:after="0" w:line="240" w:lineRule="auto"/>
        <w:ind w:firstLine="539"/>
        <w:jc w:val="both"/>
      </w:pPr>
    </w:p>
    <w:p w14:paraId="713A93B3" w14:textId="77777777" w:rsidR="00F83D7E" w:rsidRDefault="00000000">
      <w:pPr>
        <w:widowControl w:val="0"/>
        <w:spacing w:after="0" w:line="240" w:lineRule="auto"/>
        <w:rPr>
          <w:b/>
          <w:color w:val="000000"/>
        </w:rPr>
      </w:pPr>
      <w:r>
        <w:rPr>
          <w:b/>
          <w:color w:val="000000"/>
        </w:rPr>
        <w:lastRenderedPageBreak/>
        <w:t xml:space="preserve">HYPOTHESIS </w:t>
      </w:r>
    </w:p>
    <w:p w14:paraId="6F412300" w14:textId="32F014F3" w:rsidR="00F83D7E" w:rsidRDefault="00885E46">
      <w:pPr>
        <w:spacing w:after="0" w:line="240" w:lineRule="auto"/>
        <w:ind w:firstLine="540"/>
        <w:jc w:val="both"/>
      </w:pPr>
      <w:r>
        <w:t xml:space="preserve">For a company, revenue can be said to be something crucial which the greater the income is able to generate in a certain period, it indicates that a company has ability to develop itself also finance any expenses that become its expenses. Therefore, strong guidelines are needed to set standards in revenue recognition so that there is no inaccuracy in revenue measurement and recognition when presented in income items. Income was initially regulated in PSAK 23 and then replaced by a new PSAK, namely PSAK 72 </w:t>
      </w:r>
      <w:r w:rsidR="0029402C">
        <w:fldChar w:fldCharType="begin" w:fldLock="1"/>
      </w:r>
      <w:r w:rsidR="0029402C">
        <w:instrText>ADDIN CSL_CITATION {"citationItems":[{"id":"ITEM-1","itemData":{"DOI":"https://doi.org/10.55606/jumbiku.v2i2.258","author":[{"dropping-particle":"","family":"Febriandhani","given":"Ferry","non-dropping-particle":"","parse-names":false,"suffix":""},{"dropping-particle":"","family":"Akbar","given":"Firas Satria","non-dropping-particle":"","parse-names":false,"suffix":""},{"dropping-particle":"","family":"Bagus","given":"Gregorius W P","non-dropping-particle":"","parse-names":false,"suffix":""},{"dropping-particle":"","family":"Syahputra","given":"Ryan","non-dropping-particle":"","parse-names":false,"suffix":""}],"container-title":"Jurnal Manajemen, Bisnis, dan Kewirausahaan","id":"ITEM-1","issue":"2","issued":{"date-parts":[["2022"]]},"page":"11-15","title":"Revenue from Contracts with Customer (Studi pada Perusahaan Sektor Property, Real Estate and Building Construction yang Terdaftar di Bursa Efek Indonesia tahun 2018-2020)","type":"article-journal","volume":"2"},"uris":["http://www.mendeley.com/documents/?uuid=7b9de175-0e99-4afd-850d-8b7507960880"]}],"mendeley":{"formattedCitation":"(Febriandhani et al., 2022)","plainTextFormattedCitation":"(Febriandhani et al., 2022)","previouslyFormattedCitation":"(Febriandhani et al., 2022)"},"properties":{"noteIndex":0},"schema":"https://github.com/citation-style-language/schema/raw/master/csl-citation.json"}</w:instrText>
      </w:r>
      <w:r w:rsidR="0029402C">
        <w:fldChar w:fldCharType="separate"/>
      </w:r>
      <w:r w:rsidR="0029402C" w:rsidRPr="0029402C">
        <w:rPr>
          <w:noProof/>
        </w:rPr>
        <w:t>(Febriandhani et al., 2022)</w:t>
      </w:r>
      <w:r w:rsidR="0029402C">
        <w:fldChar w:fldCharType="end"/>
      </w:r>
      <w:r>
        <w:t xml:space="preserve">. The difference in how income is recognized between PSAK 23 and PSAK 72 will cause the income value to change. This will affect the company's financial performance because recognition must be made at the right time and in accordance with standards, namely PSAK 72. This is supported by positive accounting theory which explains that every accounting policy implemented will have consequences that can be explained logically </w:t>
      </w:r>
      <w:r w:rsidR="0029402C">
        <w:fldChar w:fldCharType="begin" w:fldLock="1"/>
      </w:r>
      <w:r w:rsidR="0029402C">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29402C">
        <w:fldChar w:fldCharType="separate"/>
      </w:r>
      <w:r w:rsidR="0029402C" w:rsidRPr="0029402C">
        <w:rPr>
          <w:noProof/>
        </w:rPr>
        <w:t>(Watts &amp; Zimmerman, 1986)</w:t>
      </w:r>
      <w:r w:rsidR="0029402C">
        <w:fldChar w:fldCharType="end"/>
      </w:r>
      <w:r>
        <w:t xml:space="preserve">. If management in a company makes a mistake in determining the appropriate time for revenue recognition, it can cause the revenues and profits presented in the financial statements to </w:t>
      </w:r>
      <w:r w:rsidRPr="003241B5">
        <w:t xml:space="preserve">be overstated or understated. </w:t>
      </w:r>
      <w:r>
        <w:t>F</w:t>
      </w:r>
      <w:r w:rsidRPr="003241B5">
        <w:t xml:space="preserve">inancial performance </w:t>
      </w:r>
      <w:r>
        <w:t xml:space="preserve">of a company, </w:t>
      </w:r>
      <w:r w:rsidR="003241B5">
        <w:t xml:space="preserve">before </w:t>
      </w:r>
      <w:r w:rsidRPr="003241B5">
        <w:t>and</w:t>
      </w:r>
      <w:r>
        <w:t xml:space="preserve"> after PSAK 72 implementation shows that has an effect to profitability </w:t>
      </w:r>
      <w:r w:rsidR="0029402C">
        <w:fldChar w:fldCharType="begin" w:fldLock="1"/>
      </w:r>
      <w:r w:rsidR="0029402C">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2022)","plainTextFormattedCitation":"(Atho &amp; Rahayu, 2022)","previouslyFormattedCitation":"(Atho &amp; Rahayu, 2022)"},"properties":{"noteIndex":0},"schema":"https://github.com/citation-style-language/schema/raw/master/csl-citation.json"}</w:instrText>
      </w:r>
      <w:r w:rsidR="0029402C">
        <w:fldChar w:fldCharType="separate"/>
      </w:r>
      <w:r w:rsidR="0029402C" w:rsidRPr="0029402C">
        <w:rPr>
          <w:noProof/>
        </w:rPr>
        <w:t>(Atho &amp; Rahayu, 2022)</w:t>
      </w:r>
      <w:r w:rsidR="0029402C">
        <w:fldChar w:fldCharType="end"/>
      </w:r>
      <w:r>
        <w:t xml:space="preserve">. Also, </w:t>
      </w:r>
      <w:r w:rsidR="0029402C">
        <w:fldChar w:fldCharType="begin" w:fldLock="1"/>
      </w:r>
      <w:r w:rsidR="0029402C">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29402C">
        <w:fldChar w:fldCharType="separate"/>
      </w:r>
      <w:r w:rsidR="0029402C" w:rsidRPr="0029402C">
        <w:rPr>
          <w:noProof/>
        </w:rPr>
        <w:t xml:space="preserve">Casnila &amp; Nurfitriana </w:t>
      </w:r>
      <w:r w:rsidR="0029402C">
        <w:rPr>
          <w:noProof/>
        </w:rPr>
        <w:t>(</w:t>
      </w:r>
      <w:r w:rsidR="0029402C" w:rsidRPr="0029402C">
        <w:rPr>
          <w:noProof/>
        </w:rPr>
        <w:t>2020)</w:t>
      </w:r>
      <w:r w:rsidR="0029402C">
        <w:fldChar w:fldCharType="end"/>
      </w:r>
      <w:r>
        <w:t xml:space="preserve"> research shows PSAK 72 implementation has an effect to company liquidity.</w:t>
      </w:r>
    </w:p>
    <w:p w14:paraId="30E8A346" w14:textId="191D2D04" w:rsidR="00F83D7E" w:rsidRDefault="00000000">
      <w:pPr>
        <w:spacing w:after="0" w:line="240" w:lineRule="auto"/>
        <w:jc w:val="both"/>
      </w:pPr>
      <w:r>
        <w:t>H1: There is a difference in financial performance before and after PSAK 72</w:t>
      </w:r>
      <w:r w:rsidR="00885E46">
        <w:t xml:space="preserve"> implementation</w:t>
      </w:r>
    </w:p>
    <w:p w14:paraId="67CC7A09" w14:textId="7D67B8D2" w:rsidR="00F83D7E" w:rsidRDefault="00000000">
      <w:pPr>
        <w:spacing w:after="0" w:line="240" w:lineRule="auto"/>
        <w:ind w:firstLine="540"/>
        <w:jc w:val="both"/>
      </w:pPr>
      <w:r>
        <w:t>Market performance is a</w:t>
      </w:r>
      <w:r w:rsidR="00885E46">
        <w:t xml:space="preserve">n </w:t>
      </w:r>
      <w:r>
        <w:t xml:space="preserve">ability </w:t>
      </w:r>
      <w:r w:rsidR="00885E46">
        <w:t xml:space="preserve">of company </w:t>
      </w:r>
      <w:r>
        <w:t xml:space="preserve">to increase </w:t>
      </w:r>
      <w:r w:rsidR="00885E46">
        <w:t xml:space="preserve">also </w:t>
      </w:r>
      <w:r>
        <w:t xml:space="preserve">maintain company's shares </w:t>
      </w:r>
      <w:r w:rsidR="00885E46">
        <w:t xml:space="preserve">value </w:t>
      </w:r>
      <w:r>
        <w:t xml:space="preserve">which are currently traded on the capital market </w:t>
      </w:r>
      <w:r w:rsidR="0029402C">
        <w:fldChar w:fldCharType="begin" w:fldLock="1"/>
      </w:r>
      <w:r w:rsidR="0029402C">
        <w:instrText>ADDIN CSL_CITATION {"citationItems":[{"id":"ITEM-1","itemData":{"author":[{"dropping-particle":"","family":"Sudana","given":"I Made","non-dropping-particle":"","parse-names":false,"suffix":""}],"id":"ITEM-1","issued":{"date-parts":[["2018"]]},"publisher":"Airlangga University Press","publisher-place":"Surabaya","title":"Manajemen Keuangan Teori dan Praktik","type":"book"},"uris":["http://www.mendeley.com/documents/?uuid=052e4c7a-c360-4e9b-bf6b-72ac33fdba47"]}],"mendeley":{"formattedCitation":"(Sudana, 2018)","plainTextFormattedCitation":"(Sudana, 2018)","previouslyFormattedCitation":"(Sudana, 2018)"},"properties":{"noteIndex":0},"schema":"https://github.com/citation-style-language/schema/raw/master/csl-citation.json"}</w:instrText>
      </w:r>
      <w:r w:rsidR="0029402C">
        <w:fldChar w:fldCharType="separate"/>
      </w:r>
      <w:r w:rsidR="0029402C" w:rsidRPr="0029402C">
        <w:rPr>
          <w:noProof/>
        </w:rPr>
        <w:t>(Sudana, 2018)</w:t>
      </w:r>
      <w:r w:rsidR="0029402C">
        <w:fldChar w:fldCharType="end"/>
      </w:r>
      <w:r>
        <w:t xml:space="preserve">. Investors when investing will compare the value of the shares they will invest with the profits that the company can generate to analyze the feasibility of their investment. This is because when the company's profits are achieved high, it will have an impact on the increase in the company's share price. PSAK 72 is basically implemented to make income disclosure to investors better and more transparent. The form of investor confidence in a company can be seen in financial information. According to </w:t>
      </w:r>
      <w:r w:rsidR="0029402C">
        <w:fldChar w:fldCharType="begin" w:fldLock="1"/>
      </w:r>
      <w:r w:rsidR="00A44A42">
        <w:instrText>ADDIN CSL_CITATION {"citationItems":[{"id":"ITEM-1","itemData":{"DOI":"10.1016/j.intaccaudtax.2018.08.001","author":[{"dropping-particle":"","family":"Aboud","given":"Ahmed","non-dropping-particle":"","parse-names":false,"suffix":""},{"dropping-particle":"","family":"Roberts","given":"Clare","non-dropping-particle":"","parse-names":false,"suffix":""},{"dropping-particle":"","family":"Zalata","given":"Alaa Mansour","non-dropping-particle":"","parse-names":false,"suffix":""}],"container-title":"Journal of International Accounting, Auditing and Taxation","id":"ITEM-1","issued":{"date-parts":[["2018"]]},"page":"2-17","title":"The Impact of IFRS 8 on Financial Analysts’ Earnings Forecast Errors: EU Evidence","type":"article-journal","volume":"33"},"uris":["http://www.mendeley.com/documents/?uuid=6ca21aed-3eb3-4d0b-82e4-9fa626e3965f"]}],"mendeley":{"formattedCitation":"(Aboud et al., 2018)","manualFormatting":"Aboud et al. (2018)","plainTextFormattedCitation":"(Aboud et al., 2018)","previouslyFormattedCitation":"(Aboud et al., 2018)"},"properties":{"noteIndex":0},"schema":"https://github.com/citation-style-language/schema/raw/master/csl-citation.json"}</w:instrText>
      </w:r>
      <w:r w:rsidR="0029402C">
        <w:fldChar w:fldCharType="separate"/>
      </w:r>
      <w:r w:rsidR="0029402C" w:rsidRPr="0029402C">
        <w:rPr>
          <w:noProof/>
        </w:rPr>
        <w:t xml:space="preserve">Aboud et al. </w:t>
      </w:r>
      <w:r w:rsidR="0029402C">
        <w:rPr>
          <w:noProof/>
        </w:rPr>
        <w:t>(</w:t>
      </w:r>
      <w:r w:rsidR="0029402C" w:rsidRPr="0029402C">
        <w:rPr>
          <w:noProof/>
        </w:rPr>
        <w:t>2018)</w:t>
      </w:r>
      <w:r w:rsidR="0029402C">
        <w:fldChar w:fldCharType="end"/>
      </w:r>
      <w:r>
        <w:t xml:space="preserve"> argue that new standards or revisions of old standards will be able to increase the information content in financial reports so that they can provide a positive signal to potential investors who want to invest in the company. If market performance is poor, it will reduce the trust of financial statement users in the company. On the other hand, if market performance results have good indications, it will increase the trust of users of financial reports in the company.</w:t>
      </w:r>
    </w:p>
    <w:p w14:paraId="2A72A1A8" w14:textId="1B9D0164" w:rsidR="00F83D7E" w:rsidRDefault="00000000">
      <w:pPr>
        <w:spacing w:after="0" w:line="240" w:lineRule="auto"/>
        <w:jc w:val="both"/>
      </w:pPr>
      <w:r>
        <w:t>H2: There is a difference in market performance before and after PSAK 72</w:t>
      </w:r>
      <w:r w:rsidR="00885E46">
        <w:t xml:space="preserve"> implementation</w:t>
      </w:r>
    </w:p>
    <w:p w14:paraId="5C61E069" w14:textId="77777777" w:rsidR="0029402C" w:rsidRDefault="0029402C">
      <w:pPr>
        <w:spacing w:after="0" w:line="240" w:lineRule="auto"/>
        <w:jc w:val="both"/>
      </w:pPr>
    </w:p>
    <w:p w14:paraId="1FA943AE" w14:textId="77777777" w:rsidR="00885E46" w:rsidRDefault="00885E46">
      <w:pPr>
        <w:spacing w:after="0" w:line="240" w:lineRule="auto"/>
        <w:jc w:val="both"/>
      </w:pPr>
    </w:p>
    <w:p w14:paraId="0AB08393" w14:textId="77777777" w:rsidR="00F83D7E" w:rsidRDefault="00000000">
      <w:pPr>
        <w:spacing w:after="0" w:line="240" w:lineRule="auto"/>
        <w:jc w:val="both"/>
      </w:pPr>
      <w:r>
        <w:rPr>
          <w:noProof/>
        </w:rPr>
        <w:drawing>
          <wp:inline distT="0" distB="0" distL="0" distR="0" wp14:anchorId="7FF24EF7" wp14:editId="0DCC4FBF">
            <wp:extent cx="5264193" cy="201225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2504" t="16498"/>
                    <a:stretch>
                      <a:fillRect/>
                    </a:stretch>
                  </pic:blipFill>
                  <pic:spPr>
                    <a:xfrm>
                      <a:off x="0" y="0"/>
                      <a:ext cx="5264193" cy="2012259"/>
                    </a:xfrm>
                    <a:prstGeom prst="rect">
                      <a:avLst/>
                    </a:prstGeom>
                    <a:ln/>
                  </pic:spPr>
                </pic:pic>
              </a:graphicData>
            </a:graphic>
          </wp:inline>
        </w:drawing>
      </w:r>
    </w:p>
    <w:p w14:paraId="30B45434" w14:textId="77777777" w:rsidR="00F83D7E" w:rsidRDefault="00000000">
      <w:pPr>
        <w:spacing w:after="0" w:line="240" w:lineRule="auto"/>
      </w:pPr>
      <w:r>
        <w:rPr>
          <w:b/>
          <w:highlight w:val="white"/>
        </w:rPr>
        <w:t xml:space="preserve">                                                Figure 1</w:t>
      </w:r>
      <w:r>
        <w:rPr>
          <w:highlight w:val="white"/>
        </w:rPr>
        <w:t>. Research’s Model</w:t>
      </w:r>
    </w:p>
    <w:p w14:paraId="110F1267" w14:textId="77777777" w:rsidR="00F83D7E" w:rsidRDefault="00F83D7E">
      <w:pPr>
        <w:spacing w:after="0" w:line="240" w:lineRule="auto"/>
        <w:jc w:val="both"/>
      </w:pPr>
    </w:p>
    <w:p w14:paraId="0A41C626" w14:textId="77777777" w:rsidR="00F83D7E" w:rsidRDefault="00000000">
      <w:pPr>
        <w:spacing w:after="0" w:line="240" w:lineRule="auto"/>
        <w:jc w:val="both"/>
        <w:rPr>
          <w:b/>
        </w:rPr>
      </w:pPr>
      <w:r>
        <w:rPr>
          <w:b/>
        </w:rPr>
        <w:lastRenderedPageBreak/>
        <w:t>2. METHODOLOGY</w:t>
      </w:r>
    </w:p>
    <w:p w14:paraId="185B5348" w14:textId="77777777" w:rsidR="00F83D7E" w:rsidRDefault="00F83D7E">
      <w:pPr>
        <w:spacing w:after="0" w:line="240" w:lineRule="auto"/>
        <w:jc w:val="both"/>
        <w:rPr>
          <w:b/>
        </w:rPr>
      </w:pPr>
    </w:p>
    <w:p w14:paraId="0296C2D5" w14:textId="3B52EF8D" w:rsidR="00F83D7E" w:rsidRDefault="00000000">
      <w:pPr>
        <w:spacing w:after="0" w:line="240" w:lineRule="auto"/>
        <w:ind w:firstLine="270"/>
        <w:jc w:val="both"/>
      </w:pPr>
      <w:r>
        <w:t>This research design is quantitative research in the form of an event study by conducting hypothesis testing to examine differences in company performance as measured by financial performance and market performance</w:t>
      </w:r>
      <w:r w:rsidR="00885E46">
        <w:t>,</w:t>
      </w:r>
      <w:r w:rsidR="003241B5">
        <w:t xml:space="preserve"> before</w:t>
      </w:r>
      <w:r>
        <w:t xml:space="preserve"> and after PSAK 72 </w:t>
      </w:r>
      <w:r w:rsidR="00885E46">
        <w:t>implementation</w:t>
      </w:r>
      <w:r>
        <w:t xml:space="preserve">. The research period is 2018-2021, namely 2 years </w:t>
      </w:r>
      <w:r w:rsidR="003241B5">
        <w:t>before</w:t>
      </w:r>
      <w:r>
        <w:t xml:space="preserve"> PSAK 72 </w:t>
      </w:r>
      <w:r w:rsidR="00885E46">
        <w:t xml:space="preserve">implementation, </w:t>
      </w:r>
      <w:r>
        <w:t>and 2 years after PSAK 72</w:t>
      </w:r>
      <w:r w:rsidR="00885E46">
        <w:t xml:space="preserve"> implementation</w:t>
      </w:r>
      <w:r>
        <w:t>. This research used quantitative data</w:t>
      </w:r>
      <w:r w:rsidR="000B33EC">
        <w:t>,</w:t>
      </w:r>
      <w:r>
        <w:t xml:space="preserve"> in the form of financial reports and share prices. This data obtained from </w:t>
      </w:r>
      <w:r w:rsidR="000B33EC">
        <w:t xml:space="preserve">IDX </w:t>
      </w:r>
      <w:r>
        <w:t xml:space="preserve">website for financial performance data and </w:t>
      </w:r>
      <w:hyperlink r:id="rId25">
        <w:r w:rsidR="00F83D7E">
          <w:rPr>
            <w:color w:val="0000FF"/>
            <w:u w:val="single"/>
          </w:rPr>
          <w:t>https://finance.yahoo.com/</w:t>
        </w:r>
      </w:hyperlink>
      <w:r>
        <w:t xml:space="preserve"> for market performance data. The data test tool used is SPSS version 23. The data analysis technique used is a difference test using the Wilcoxon</w:t>
      </w:r>
      <w:r w:rsidR="000B33EC">
        <w:t>-</w:t>
      </w:r>
      <w:r>
        <w:t>Signed Test</w:t>
      </w:r>
      <w:r w:rsidR="007C72BB">
        <w:t xml:space="preserve"> </w:t>
      </w:r>
      <w:r w:rsidR="007C72BB">
        <w:fldChar w:fldCharType="begin" w:fldLock="1"/>
      </w:r>
      <w:r w:rsidR="007C72BB">
        <w:instrText>ADDIN CSL_CITATION {"citationItems":[{"id":"ITEM-1","itemData":{"author":[{"dropping-particle":"","family":"Ferdinand","given":"Augusty","non-dropping-particle":"","parse-names":false,"suffix":""}],"edition":"kelima","id":"ITEM-1","issued":{"date-parts":[["2014"]]},"publisher":"Badan Penerbit Universitas Diponegoro","publisher-place":"Semarang","title":"Metode Penelitian Manajemen","type":"book"},"uris":["http://www.mendeley.com/documents/?uuid=1eb200f3-1d29-43b7-ad06-cb90bd8594ba"]}],"mendeley":{"formattedCitation":"(Ferdinand, 2014)","plainTextFormattedCitation":"(Ferdinand, 2014)","previouslyFormattedCitation":"(Ferdinand, 2014)"},"properties":{"noteIndex":0},"schema":"https://github.com/citation-style-language/schema/raw/master/csl-citation.json"}</w:instrText>
      </w:r>
      <w:r w:rsidR="007C72BB">
        <w:fldChar w:fldCharType="separate"/>
      </w:r>
      <w:r w:rsidR="007C72BB" w:rsidRPr="007C72BB">
        <w:rPr>
          <w:noProof/>
        </w:rPr>
        <w:t>(Ferdinand, 2014)</w:t>
      </w:r>
      <w:r w:rsidR="007C72BB">
        <w:fldChar w:fldCharType="end"/>
      </w:r>
      <w:r>
        <w:t xml:space="preserve">. The sampling technique uses a purposive sampling method with criterias consecutively listed on IDX for </w:t>
      </w:r>
      <w:r w:rsidR="000B33EC">
        <w:t xml:space="preserve">the year of </w:t>
      </w:r>
      <w:r>
        <w:t xml:space="preserve">2018-2021, and apply PSAK 72 according to the effective date January 1, 2020, and the results obtained were 118 samples. </w:t>
      </w:r>
      <w:r w:rsidR="000B33EC">
        <w:t>V</w:t>
      </w:r>
      <w:r>
        <w:t>ariables used in this research</w:t>
      </w:r>
      <w:r w:rsidR="000B33EC">
        <w:t xml:space="preserve"> are </w:t>
      </w:r>
      <w:r>
        <w:t xml:space="preserve">presented </w:t>
      </w:r>
      <w:r w:rsidR="000B33EC">
        <w:t>below</w:t>
      </w:r>
      <w:r>
        <w:t>.</w:t>
      </w:r>
    </w:p>
    <w:p w14:paraId="6CBD1867" w14:textId="77777777" w:rsidR="00F83D7E" w:rsidRDefault="00000000">
      <w:pPr>
        <w:spacing w:after="0" w:line="240" w:lineRule="auto"/>
        <w:jc w:val="center"/>
      </w:pPr>
      <w:r>
        <w:rPr>
          <w:b/>
        </w:rPr>
        <w:t>Table 1</w:t>
      </w:r>
      <w:r>
        <w:t>. Operational Variable</w:t>
      </w:r>
    </w:p>
    <w:tbl>
      <w:tblPr>
        <w:tblStyle w:val="a0"/>
        <w:tblW w:w="0" w:type="auto"/>
        <w:jc w:val="center"/>
        <w:tblLayout w:type="fixed"/>
        <w:tblLook w:val="0400" w:firstRow="0" w:lastRow="0" w:firstColumn="0" w:lastColumn="0" w:noHBand="0" w:noVBand="1"/>
      </w:tblPr>
      <w:tblGrid>
        <w:gridCol w:w="1943"/>
        <w:gridCol w:w="4712"/>
        <w:gridCol w:w="2392"/>
      </w:tblGrid>
      <w:tr w:rsidR="00F83D7E" w14:paraId="1188109B" w14:textId="77777777" w:rsidTr="00B64D03">
        <w:trPr>
          <w:trHeight w:val="20"/>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E1C03" w14:textId="77777777" w:rsidR="00F83D7E" w:rsidRDefault="00000000" w:rsidP="00B64D03">
            <w:pPr>
              <w:spacing w:after="0" w:line="240" w:lineRule="auto"/>
              <w:jc w:val="center"/>
              <w:rPr>
                <w:color w:val="000000"/>
              </w:rPr>
            </w:pPr>
            <w:r>
              <w:rPr>
                <w:color w:val="000000"/>
              </w:rPr>
              <w:t>Variabel</w:t>
            </w:r>
          </w:p>
        </w:tc>
        <w:tc>
          <w:tcPr>
            <w:tcW w:w="4712" w:type="dxa"/>
            <w:tcBorders>
              <w:top w:val="single" w:sz="4" w:space="0" w:color="000000"/>
              <w:left w:val="nil"/>
              <w:bottom w:val="single" w:sz="4" w:space="0" w:color="000000"/>
              <w:right w:val="single" w:sz="4" w:space="0" w:color="000000"/>
            </w:tcBorders>
            <w:shd w:val="clear" w:color="auto" w:fill="auto"/>
            <w:vAlign w:val="bottom"/>
          </w:tcPr>
          <w:p w14:paraId="0E655B8F" w14:textId="77777777" w:rsidR="00F83D7E" w:rsidRDefault="00000000" w:rsidP="00B64D03">
            <w:pPr>
              <w:spacing w:after="0" w:line="240" w:lineRule="auto"/>
              <w:jc w:val="center"/>
              <w:rPr>
                <w:color w:val="000000"/>
              </w:rPr>
            </w:pPr>
            <w:r>
              <w:rPr>
                <w:color w:val="000000"/>
              </w:rPr>
              <w:t>Operational Definition</w:t>
            </w:r>
          </w:p>
        </w:tc>
        <w:tc>
          <w:tcPr>
            <w:tcW w:w="2392" w:type="dxa"/>
            <w:tcBorders>
              <w:top w:val="single" w:sz="4" w:space="0" w:color="000000"/>
              <w:left w:val="nil"/>
              <w:bottom w:val="single" w:sz="4" w:space="0" w:color="000000"/>
              <w:right w:val="single" w:sz="4" w:space="0" w:color="000000"/>
            </w:tcBorders>
            <w:shd w:val="clear" w:color="auto" w:fill="auto"/>
            <w:vAlign w:val="bottom"/>
          </w:tcPr>
          <w:p w14:paraId="617646D4" w14:textId="77777777" w:rsidR="00F83D7E" w:rsidRDefault="00000000" w:rsidP="00B64D03">
            <w:pPr>
              <w:spacing w:after="0" w:line="240" w:lineRule="auto"/>
              <w:jc w:val="center"/>
              <w:rPr>
                <w:color w:val="000000"/>
              </w:rPr>
            </w:pPr>
            <w:r>
              <w:rPr>
                <w:color w:val="000000"/>
              </w:rPr>
              <w:t>Indicator</w:t>
            </w:r>
          </w:p>
        </w:tc>
      </w:tr>
      <w:tr w:rsidR="00F83D7E" w14:paraId="7D9980E3" w14:textId="77777777" w:rsidTr="00D45F79">
        <w:trPr>
          <w:cantSplit/>
          <w:trHeight w:val="293"/>
          <w:jc w:val="center"/>
        </w:trPr>
        <w:tc>
          <w:tcPr>
            <w:tcW w:w="1943" w:type="dxa"/>
            <w:vMerge w:val="restart"/>
            <w:tcBorders>
              <w:top w:val="nil"/>
              <w:left w:val="single" w:sz="4" w:space="0" w:color="000000"/>
              <w:bottom w:val="single" w:sz="4" w:space="0" w:color="000000"/>
              <w:right w:val="single" w:sz="4" w:space="0" w:color="000000"/>
            </w:tcBorders>
            <w:shd w:val="clear" w:color="auto" w:fill="auto"/>
            <w:vAlign w:val="center"/>
          </w:tcPr>
          <w:p w14:paraId="2BF1B8C4"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Current Ratio</w:t>
            </w:r>
          </w:p>
          <w:p w14:paraId="734A025A"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(CR)</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493E03" w14:textId="14258167"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CR</w:t>
            </w:r>
            <w:r w:rsidR="000B33EC" w:rsidRPr="00D45F79">
              <w:rPr>
                <w:rFonts w:asciiTheme="majorHAnsi" w:hAnsiTheme="majorHAnsi" w:cstheme="majorHAnsi"/>
                <w:color w:val="000000"/>
              </w:rPr>
              <w:t>:</w:t>
            </w:r>
            <w:r w:rsidRPr="00D45F79">
              <w:rPr>
                <w:rFonts w:asciiTheme="majorHAnsi" w:hAnsiTheme="majorHAnsi" w:cstheme="majorHAnsi"/>
                <w:color w:val="000000"/>
              </w:rPr>
              <w:t xml:space="preserve"> </w:t>
            </w:r>
            <w:r w:rsidR="003241B5" w:rsidRPr="00D45F79">
              <w:rPr>
                <w:rFonts w:asciiTheme="majorHAnsi" w:hAnsiTheme="majorHAnsi" w:cstheme="majorHAnsi"/>
                <w:color w:val="000000"/>
              </w:rPr>
              <w:t xml:space="preserve">ability of company </w:t>
            </w:r>
            <w:r w:rsidRPr="00D45F79">
              <w:rPr>
                <w:rFonts w:asciiTheme="majorHAnsi" w:hAnsiTheme="majorHAnsi" w:cstheme="majorHAnsi"/>
                <w:color w:val="000000"/>
              </w:rPr>
              <w:t>to pay off its current liabilities using current assets</w:t>
            </w:r>
            <w:r w:rsidR="00A44A42" w:rsidRPr="00D45F79">
              <w:rPr>
                <w:rFonts w:asciiTheme="majorHAnsi" w:hAnsiTheme="majorHAnsi" w:cstheme="majorHAnsi"/>
                <w:color w:val="000000"/>
              </w:rPr>
              <w:t xml:space="preserve"> </w:t>
            </w:r>
            <w:r w:rsidR="00A44A42"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A44A42" w:rsidRPr="00D45F79">
              <w:rPr>
                <w:rFonts w:asciiTheme="majorHAnsi" w:hAnsiTheme="majorHAnsi" w:cstheme="majorHAnsi"/>
                <w:color w:val="000000"/>
              </w:rPr>
              <w:fldChar w:fldCharType="separate"/>
            </w:r>
            <w:r w:rsidR="00A44A42" w:rsidRPr="00D45F79">
              <w:rPr>
                <w:rFonts w:asciiTheme="majorHAnsi" w:hAnsiTheme="majorHAnsi" w:cstheme="majorHAnsi"/>
                <w:noProof/>
                <w:color w:val="000000"/>
              </w:rPr>
              <w:t>(Kasmir, 2019)</w:t>
            </w:r>
            <w:r w:rsidR="00A44A42" w:rsidRPr="00D45F79">
              <w:rPr>
                <w:rFonts w:asciiTheme="majorHAnsi" w:hAnsiTheme="majorHAnsi" w:cstheme="majorHAnsi"/>
                <w:color w:val="000000"/>
              </w:rPr>
              <w:fldChar w:fldCharType="end"/>
            </w:r>
          </w:p>
        </w:tc>
        <w:tc>
          <w:tcPr>
            <w:tcW w:w="2392" w:type="dxa"/>
            <w:vMerge w:val="restart"/>
            <w:tcBorders>
              <w:top w:val="nil"/>
              <w:left w:val="single" w:sz="4" w:space="0" w:color="000000"/>
              <w:bottom w:val="single" w:sz="4" w:space="0" w:color="000000"/>
              <w:right w:val="single" w:sz="4" w:space="0" w:color="000000"/>
            </w:tcBorders>
            <w:shd w:val="clear" w:color="auto" w:fill="auto"/>
            <w:vAlign w:val="center"/>
          </w:tcPr>
          <w:p w14:paraId="09DCFB18" w14:textId="2F237EFE"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CR = Current Asset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Current Liabilites</w:t>
            </w:r>
          </w:p>
        </w:tc>
      </w:tr>
      <w:tr w:rsidR="00F83D7E" w14:paraId="6EBFC457" w14:textId="77777777" w:rsidTr="00B64D03">
        <w:trPr>
          <w:trHeight w:val="337"/>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04F27503"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7FA0F8"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0F4F42BB"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7FA327CF" w14:textId="77777777" w:rsidTr="00D45F79">
        <w:trPr>
          <w:trHeight w:val="293"/>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4DDC3797"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4D6A9C"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78FF927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5E11C9DC" w14:textId="77777777" w:rsidTr="00B64D03">
        <w:trPr>
          <w:trHeight w:val="293"/>
          <w:jc w:val="center"/>
        </w:trPr>
        <w:tc>
          <w:tcPr>
            <w:tcW w:w="1943" w:type="dxa"/>
            <w:vMerge w:val="restart"/>
            <w:tcBorders>
              <w:top w:val="nil"/>
              <w:left w:val="single" w:sz="4" w:space="0" w:color="000000"/>
              <w:bottom w:val="single" w:sz="4" w:space="0" w:color="000000"/>
              <w:right w:val="single" w:sz="4" w:space="0" w:color="000000"/>
            </w:tcBorders>
            <w:shd w:val="clear" w:color="auto" w:fill="auto"/>
            <w:vAlign w:val="center"/>
          </w:tcPr>
          <w:p w14:paraId="313B3A25"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Return On Asset (ROA)</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32605A" w14:textId="510F9337"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ROA</w:t>
            </w:r>
            <w:r w:rsidR="000B33EC" w:rsidRPr="00D45F79">
              <w:rPr>
                <w:rFonts w:asciiTheme="majorHAnsi" w:hAnsiTheme="majorHAnsi" w:cstheme="majorHAnsi"/>
                <w:color w:val="000000"/>
              </w:rPr>
              <w:t>:</w:t>
            </w:r>
            <w:r w:rsidRPr="00D45F79">
              <w:rPr>
                <w:rFonts w:asciiTheme="majorHAnsi" w:hAnsiTheme="majorHAnsi" w:cstheme="majorHAnsi"/>
                <w:color w:val="000000"/>
              </w:rPr>
              <w:t xml:space="preserve"> ratio that will show results in the form of profits from the use of assets owned by the company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nil"/>
              <w:left w:val="single" w:sz="4" w:space="0" w:color="000000"/>
              <w:bottom w:val="single" w:sz="4" w:space="0" w:color="000000"/>
              <w:right w:val="single" w:sz="4" w:space="0" w:color="000000"/>
            </w:tcBorders>
            <w:shd w:val="clear" w:color="auto" w:fill="auto"/>
            <w:vAlign w:val="center"/>
          </w:tcPr>
          <w:p w14:paraId="4FA73E67" w14:textId="6D867CA7"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ROA = Net Profit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Asset</w:t>
            </w:r>
          </w:p>
        </w:tc>
      </w:tr>
      <w:tr w:rsidR="00F83D7E" w14:paraId="73485EE1" w14:textId="77777777" w:rsidTr="00B64D03">
        <w:trPr>
          <w:trHeight w:val="337"/>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6B79F1F5"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43991"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1461495E"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069BD870" w14:textId="77777777" w:rsidTr="00B64D03">
        <w:trPr>
          <w:trHeight w:val="337"/>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3A6CE5BC"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62AD8"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2D96A09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55907012" w14:textId="77777777" w:rsidTr="00B64D03">
        <w:trPr>
          <w:trHeight w:val="293"/>
          <w:jc w:val="center"/>
        </w:trPr>
        <w:tc>
          <w:tcPr>
            <w:tcW w:w="1943" w:type="dxa"/>
            <w:vMerge w:val="restart"/>
            <w:tcBorders>
              <w:top w:val="nil"/>
              <w:left w:val="single" w:sz="4" w:space="0" w:color="000000"/>
              <w:bottom w:val="single" w:sz="4" w:space="0" w:color="000000"/>
              <w:right w:val="single" w:sz="4" w:space="0" w:color="000000"/>
            </w:tcBorders>
            <w:shd w:val="clear" w:color="auto" w:fill="auto"/>
            <w:vAlign w:val="center"/>
          </w:tcPr>
          <w:p w14:paraId="23CB05C6"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Return On Equity (ROE)</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A9428A" w14:textId="76A4EAAE"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ROE</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 xml:space="preserve">ratio that shows net profit as a form of return on equity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nil"/>
              <w:left w:val="single" w:sz="4" w:space="0" w:color="000000"/>
              <w:bottom w:val="single" w:sz="4" w:space="0" w:color="000000"/>
              <w:right w:val="single" w:sz="4" w:space="0" w:color="000000"/>
            </w:tcBorders>
            <w:shd w:val="clear" w:color="auto" w:fill="auto"/>
            <w:vAlign w:val="center"/>
          </w:tcPr>
          <w:p w14:paraId="7E6A7827" w14:textId="72B6E545"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ROE = Net Profit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Equity</w:t>
            </w:r>
          </w:p>
        </w:tc>
      </w:tr>
      <w:tr w:rsidR="00F83D7E" w14:paraId="249F37FC" w14:textId="77777777" w:rsidTr="00B64D03">
        <w:trPr>
          <w:trHeight w:val="337"/>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21283EC7"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FD22C6"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4D2BCE8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1854ADE8" w14:textId="77777777" w:rsidTr="00B64D03">
        <w:trPr>
          <w:trHeight w:val="337"/>
          <w:jc w:val="center"/>
        </w:trPr>
        <w:tc>
          <w:tcPr>
            <w:tcW w:w="1943" w:type="dxa"/>
            <w:vMerge/>
            <w:tcBorders>
              <w:top w:val="nil"/>
              <w:left w:val="single" w:sz="4" w:space="0" w:color="000000"/>
              <w:bottom w:val="single" w:sz="4" w:space="0" w:color="000000"/>
              <w:right w:val="single" w:sz="4" w:space="0" w:color="000000"/>
            </w:tcBorders>
            <w:shd w:val="clear" w:color="auto" w:fill="auto"/>
            <w:vAlign w:val="center"/>
          </w:tcPr>
          <w:p w14:paraId="0B338CB3"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A973D0"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nil"/>
              <w:left w:val="single" w:sz="4" w:space="0" w:color="000000"/>
              <w:bottom w:val="single" w:sz="4" w:space="0" w:color="000000"/>
              <w:right w:val="single" w:sz="4" w:space="0" w:color="000000"/>
            </w:tcBorders>
            <w:shd w:val="clear" w:color="auto" w:fill="auto"/>
            <w:vAlign w:val="center"/>
          </w:tcPr>
          <w:p w14:paraId="26CCC2AA"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0024DA87" w14:textId="77777777" w:rsidTr="00B64D03">
        <w:trPr>
          <w:trHeight w:val="293"/>
          <w:jc w:val="center"/>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A04EF6"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Net Profit Margin (NPM)</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01F741" w14:textId="070A7BDA"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NPM</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 xml:space="preserve">profit measure that compares the profit generated after interest and tax with the company's sales value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7741D2" w14:textId="60429696"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NPM = Net Profit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 xml:space="preserve">Sales </w:t>
            </w:r>
          </w:p>
        </w:tc>
      </w:tr>
      <w:tr w:rsidR="00F83D7E" w14:paraId="0AB25C57"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E01A3A"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AEADA"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095DF"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716F13A0"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8D1E4A"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FEEEC"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0DBF41"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6FE0D979" w14:textId="77777777" w:rsidTr="00B64D03">
        <w:trPr>
          <w:trHeight w:val="293"/>
          <w:jc w:val="center"/>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50DA6F"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Debt to Asset Ratio (DAR)</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D8B129" w14:textId="284E31DB"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DAR</w:t>
            </w:r>
            <w:r w:rsidR="000B33EC" w:rsidRPr="00D45F79">
              <w:rPr>
                <w:rFonts w:asciiTheme="majorHAnsi" w:hAnsiTheme="majorHAnsi" w:cstheme="majorHAnsi"/>
                <w:color w:val="000000"/>
              </w:rPr>
              <w:t>:</w:t>
            </w:r>
            <w:r w:rsidRPr="00D45F79">
              <w:rPr>
                <w:rFonts w:asciiTheme="majorHAnsi" w:hAnsiTheme="majorHAnsi" w:cstheme="majorHAnsi"/>
                <w:color w:val="000000"/>
              </w:rPr>
              <w:t xml:space="preserve"> comparison of total debt with total assets owned by a company to show how much the company's assets are financed by liabilities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14DC1" w14:textId="70F583C3"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DAR = Debt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 xml:space="preserve"> Asset</w:t>
            </w:r>
          </w:p>
        </w:tc>
      </w:tr>
      <w:tr w:rsidR="00F83D7E" w14:paraId="468E3086"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3FA8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AF0BBF"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627E24"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0E16D084"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871D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6484A0"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40AC18"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7A773F79"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A097C"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A8FFE"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52FB16"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2938E952" w14:textId="77777777" w:rsidTr="00B64D03">
        <w:trPr>
          <w:trHeight w:val="293"/>
          <w:jc w:val="center"/>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CB05E9"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Debt to Equity Ratio (DER)</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AE8659" w14:textId="61B95918"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DER</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assess the composition of a company's funding which comes from debt and equity</w:t>
            </w:r>
            <w:r w:rsidR="00D413F4" w:rsidRPr="00D45F79">
              <w:rPr>
                <w:rFonts w:asciiTheme="majorHAnsi" w:hAnsiTheme="majorHAnsi" w:cstheme="majorHAnsi"/>
                <w:color w:val="000000"/>
              </w:rPr>
              <w:t>,</w:t>
            </w:r>
            <w:r w:rsidRPr="00D45F79">
              <w:rPr>
                <w:rFonts w:asciiTheme="majorHAnsi" w:hAnsiTheme="majorHAnsi" w:cstheme="majorHAnsi"/>
                <w:color w:val="000000"/>
              </w:rPr>
              <w:t xml:space="preserve"> </w:t>
            </w:r>
            <w:r w:rsidR="00D413F4" w:rsidRPr="00D45F79">
              <w:rPr>
                <w:rFonts w:asciiTheme="majorHAnsi" w:hAnsiTheme="majorHAnsi" w:cstheme="majorHAnsi"/>
                <w:color w:val="000000"/>
              </w:rPr>
              <w:t xml:space="preserve">also </w:t>
            </w:r>
            <w:r w:rsidRPr="00D45F79">
              <w:rPr>
                <w:rFonts w:asciiTheme="majorHAnsi" w:hAnsiTheme="majorHAnsi" w:cstheme="majorHAnsi"/>
                <w:color w:val="000000"/>
              </w:rPr>
              <w:t xml:space="preserve">the ability of the company's capital to pay off its debt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64E1D8" w14:textId="710F0BB8"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DER = Debt</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Equity</w:t>
            </w:r>
          </w:p>
        </w:tc>
      </w:tr>
      <w:tr w:rsidR="00F83D7E" w14:paraId="4760C228"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BBE11"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74C65"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5A9DB3"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0C8B63BD"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5422F"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8F41D"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A0415"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74B2302D" w14:textId="77777777" w:rsidTr="00B64D03">
        <w:trPr>
          <w:trHeight w:val="293"/>
          <w:jc w:val="center"/>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7DEF6C"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Total Asset Turnover (TAT)</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6F10E" w14:textId="0D4805A8"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 xml:space="preserve">TAT is used to see the company's level of productivity in allocating its assets owned within the company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{"citationItems":[{"id":"ITEM-1","itemData":{"author":[{"dropping-particle":"","family":"Kasmir","given":"","non-dropping-particle":"","parse-names":false,"suffix":""}],"edition":"Pertama","id":"ITEM-1","issued":{"date-parts":[["2019"]]},"publisher":"PT Raja Grafindo Persada","publisher-place":"Jakarta","title":"Analisis Laporan Keuangan","type":"book"},"uris":["http://www.mendeley.com/documents/?uuid=ab83b9dc-f128-47ee-bc00-d3c12c617f12"]}],"mendeley":{"formattedCitation":"(Kasmir, 2019)","plainTextFormattedCitation":"(Kasmir, 2019)","previouslyFormattedCitation":"(Kasmir, 2019)"},"properties":{"noteIndex":0},"schema":"https://github.com/citation-style-language/schema/raw/master/csl-citation.json"}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(Kasmir, 2019)</w:t>
            </w:r>
            <w:r w:rsidR="00D413F4" w:rsidRPr="00D45F79">
              <w:rPr>
                <w:rFonts w:asciiTheme="majorHAnsi" w:hAnsiTheme="majorHAnsi" w:cstheme="majorHAnsi"/>
                <w:color w:val="000000"/>
              </w:rPr>
              <w:fldChar w:fldCharType="end"/>
            </w:r>
          </w:p>
        </w:tc>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6A725E" w14:textId="15837AFD"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TAT = Sales</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 xml:space="preserve"> Asset</w:t>
            </w:r>
          </w:p>
        </w:tc>
      </w:tr>
      <w:tr w:rsidR="00F83D7E" w14:paraId="2BB20139"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F18BE"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52E87"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26D47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68013441"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5A452"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DDDBF9"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C8E6F"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09A1D1E2" w14:textId="77777777" w:rsidTr="00B64D03">
        <w:trPr>
          <w:trHeight w:val="293"/>
          <w:jc w:val="center"/>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3E8C17"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t>Price Earning Ratio (PER)</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1061B" w14:textId="27B9B79E"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PER</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 xml:space="preserve">assess the appropriateness of a company's share price which measures its current share price relative to its earnings per share </w:t>
            </w:r>
            <w:r w:rsidR="00D413F4" w:rsidRPr="00D45F79">
              <w:rPr>
                <w:rFonts w:asciiTheme="majorHAnsi" w:hAnsiTheme="majorHAnsi" w:cstheme="majorHAnsi"/>
                <w:color w:val="000000"/>
              </w:rPr>
              <w:fldChar w:fldCharType="begin" w:fldLock="1"/>
            </w:r>
            <w:r w:rsidR="00D413F4" w:rsidRPr="00D45F79">
              <w:rPr>
                <w:rFonts w:asciiTheme="majorHAnsi" w:hAnsiTheme="majorHAnsi" w:cstheme="majorHAnsi"/>
                <w:color w:val="000000"/>
              </w:rPr>
              <w:instrText>ADDIN CSL_CITATION {"citationItems":[{"id":"ITEM-1","itemData":{"author":[{"dropping-particle":"","family":"Brigham","given":"E F","non-dropping-particle":"","parse-names":false,"suffix":""},{"dropping-particle":"","family":"Houston","given":"J F","non-dropping-particle":"","parse-names":false,"suffix":""}],"edition":"15","id":"ITEM-1","issued":{"date-parts":[["2019"]]},"publisher":"Cengage","publisher-place":"Boston","title":"Fundamentals of Financial Management","type":"book"},"uris":["http://www.mendeley.com/documents/?uuid=552c2f61-d6f3-48f3-a34a-9a2fc35b2649"]}],"mendeley":{"formattedCitation":"(Brigham &amp; Houston, 2019b)","plainTextFormattedCitation":"(Brigham &amp; Houston, 2019b)","previouslyFormattedCitation":"(Brigham &amp; Houston, 2019b)"},"properties":{"noteIndex":0},"schema":"https://github.com/citation-style-language/schema/raw/master/csl-citation.json"}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(Brigham &amp; Houston, 2019b)</w:t>
            </w:r>
            <w:r w:rsidR="00D413F4" w:rsidRPr="00D45F79">
              <w:rPr>
                <w:rFonts w:asciiTheme="majorHAnsi" w:hAnsiTheme="majorHAnsi" w:cstheme="majorHAnsi"/>
                <w:color w:val="000000"/>
              </w:rPr>
              <w:fldChar w:fldCharType="end"/>
            </w:r>
          </w:p>
        </w:tc>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A3F2AF" w14:textId="6369675C"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PER = Market Share Price</w:t>
            </w:r>
            <w:r w:rsidR="000B33EC" w:rsidRPr="00D45F79">
              <w:rPr>
                <w:rFonts w:asciiTheme="majorHAnsi" w:hAnsiTheme="majorHAnsi" w:cstheme="majorHAnsi"/>
                <w:color w:val="000000"/>
              </w:rPr>
              <w:t xml:space="preserve"> : EPS</w:t>
            </w:r>
          </w:p>
        </w:tc>
      </w:tr>
      <w:tr w:rsidR="00F83D7E" w14:paraId="10F98D1C"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FD8852"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38020"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73502"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2002AEF2" w14:textId="77777777" w:rsidTr="00B64D03">
        <w:trPr>
          <w:trHeight w:val="337"/>
          <w:jc w:val="center"/>
        </w:trPr>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A7168E"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1925F2"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c>
          <w:tcPr>
            <w:tcW w:w="2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D17F05" w14:textId="77777777" w:rsidR="00F83D7E" w:rsidRPr="00D45F79" w:rsidRDefault="00F83D7E" w:rsidP="00D45F79">
            <w:pPr>
              <w:widowControl w:val="0"/>
              <w:pBdr>
                <w:top w:val="nil"/>
                <w:left w:val="nil"/>
                <w:bottom w:val="nil"/>
                <w:right w:val="nil"/>
                <w:between w:val="nil"/>
              </w:pBdr>
              <w:spacing w:after="0" w:line="240" w:lineRule="auto"/>
              <w:rPr>
                <w:rFonts w:asciiTheme="majorHAnsi" w:hAnsiTheme="majorHAnsi" w:cstheme="majorHAnsi"/>
                <w:color w:val="000000"/>
              </w:rPr>
            </w:pPr>
          </w:p>
        </w:tc>
      </w:tr>
      <w:tr w:rsidR="00F83D7E" w14:paraId="487DF754" w14:textId="77777777" w:rsidTr="00B64D03">
        <w:trPr>
          <w:trHeight w:val="293"/>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425F" w14:textId="77777777" w:rsidR="00F83D7E" w:rsidRPr="00D45F79" w:rsidRDefault="00000000" w:rsidP="00D45F79">
            <w:pPr>
              <w:spacing w:after="0" w:line="240" w:lineRule="auto"/>
              <w:jc w:val="center"/>
              <w:rPr>
                <w:rFonts w:asciiTheme="majorHAnsi" w:hAnsiTheme="majorHAnsi" w:cstheme="majorHAnsi"/>
                <w:color w:val="000000"/>
              </w:rPr>
            </w:pPr>
            <w:r w:rsidRPr="00D45F79">
              <w:rPr>
                <w:rFonts w:asciiTheme="majorHAnsi" w:hAnsiTheme="majorHAnsi" w:cstheme="majorHAnsi"/>
                <w:color w:val="000000"/>
              </w:rPr>
              <w:lastRenderedPageBreak/>
              <w:t>Price Book Value (PBV)</w:t>
            </w:r>
          </w:p>
        </w:tc>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502CA" w14:textId="654A4D19"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PBV</w:t>
            </w:r>
            <w:r w:rsidR="000B33EC" w:rsidRPr="00D45F79">
              <w:rPr>
                <w:rFonts w:asciiTheme="majorHAnsi" w:hAnsiTheme="majorHAnsi" w:cstheme="majorHAnsi"/>
                <w:color w:val="000000"/>
              </w:rPr>
              <w:t xml:space="preserve">: </w:t>
            </w:r>
            <w:r w:rsidRPr="00D45F79">
              <w:rPr>
                <w:rFonts w:asciiTheme="majorHAnsi" w:hAnsiTheme="majorHAnsi" w:cstheme="majorHAnsi"/>
                <w:color w:val="000000"/>
              </w:rPr>
              <w:t xml:space="preserve">ratio of the market value of a company's shares price to book value per share </w:t>
            </w:r>
            <w:r w:rsidR="00D413F4" w:rsidRPr="00D45F79">
              <w:rPr>
                <w:rFonts w:asciiTheme="majorHAnsi" w:hAnsiTheme="majorHAnsi" w:cstheme="majorHAnsi"/>
                <w:color w:val="000000"/>
              </w:rPr>
              <w:fldChar w:fldCharType="begin" w:fldLock="1"/>
            </w:r>
            <w:r w:rsidR="007C72BB">
              <w:rPr>
                <w:rFonts w:asciiTheme="majorHAnsi" w:hAnsiTheme="majorHAnsi" w:cstheme="majorHAnsi"/>
                <w:color w:val="000000"/>
              </w:rPr>
              <w:instrText>ADDIN CSL_CITATION {"citationItems":[{"id":"ITEM-1","itemData":{"author":[{"dropping-particle":"","family":"Brigham","given":"E F","non-dropping-particle":"","parse-names":false,"suffix":""},{"dropping-particle":"","family":"Houston","given":"J F","non-dropping-particle":"","parse-names":false,"suffix":""}],"edition":"15","id":"ITEM-1","issued":{"date-parts":[["2019"]]},"publisher":"Cengage","publisher-place":"Boston","title":"Fundamentals of Financial Management","type":"book"},"uris":["http://www.mendeley.com/documents/?uuid=552c2f61-d6f3-48f3-a34a-9a2fc35b2649"]}],"mendeley":{"formattedCitation":"(Brigham &amp; Houston, 2019b)","plainTextFormattedCitation":"(Brigham &amp; Houston, 2019b)","previouslyFormattedCitation":"(Brigham &amp; Houston, 2019b)"},"properties":{"noteIndex":0},"schema":"https://github.com/citation-style-language/schema/raw/master/csl-citation.json"}</w:instrText>
            </w:r>
            <w:r w:rsidR="00D413F4" w:rsidRPr="00D45F79">
              <w:rPr>
                <w:rFonts w:asciiTheme="majorHAnsi" w:hAnsiTheme="majorHAnsi" w:cstheme="majorHAnsi"/>
                <w:color w:val="000000"/>
              </w:rPr>
              <w:fldChar w:fldCharType="separate"/>
            </w:r>
            <w:r w:rsidR="00D413F4" w:rsidRPr="00D45F79">
              <w:rPr>
                <w:rFonts w:asciiTheme="majorHAnsi" w:hAnsiTheme="majorHAnsi" w:cstheme="majorHAnsi"/>
                <w:noProof/>
                <w:color w:val="000000"/>
              </w:rPr>
              <w:t>(Brigham &amp; Houston, 2019b)</w:t>
            </w:r>
            <w:r w:rsidR="00D413F4" w:rsidRPr="00D45F79">
              <w:rPr>
                <w:rFonts w:asciiTheme="majorHAnsi" w:hAnsiTheme="majorHAnsi" w:cstheme="majorHAnsi"/>
                <w:color w:val="000000"/>
              </w:rPr>
              <w:fldChar w:fldCharType="end"/>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8D5C7" w14:textId="71E51C8C" w:rsidR="00F83D7E" w:rsidRPr="00D45F79" w:rsidRDefault="00000000" w:rsidP="00D45F79">
            <w:pPr>
              <w:spacing w:after="0" w:line="240" w:lineRule="auto"/>
              <w:jc w:val="both"/>
              <w:rPr>
                <w:rFonts w:asciiTheme="majorHAnsi" w:hAnsiTheme="majorHAnsi" w:cstheme="majorHAnsi"/>
                <w:color w:val="000000"/>
              </w:rPr>
            </w:pPr>
            <w:r w:rsidRPr="00D45F79">
              <w:rPr>
                <w:rFonts w:asciiTheme="majorHAnsi" w:hAnsiTheme="majorHAnsi" w:cstheme="majorHAnsi"/>
                <w:color w:val="000000"/>
              </w:rPr>
              <w:t>PBV = Market Share Price</w:t>
            </w:r>
            <w:r w:rsidR="000B33EC" w:rsidRPr="00D45F79">
              <w:rPr>
                <w:rFonts w:asciiTheme="majorHAnsi" w:hAnsiTheme="majorHAnsi" w:cstheme="majorHAnsi"/>
                <w:color w:val="000000"/>
              </w:rPr>
              <w:t xml:space="preserve"> : </w:t>
            </w:r>
            <w:r w:rsidRPr="00D45F79">
              <w:rPr>
                <w:rFonts w:asciiTheme="majorHAnsi" w:hAnsiTheme="majorHAnsi" w:cstheme="majorHAnsi"/>
                <w:color w:val="000000"/>
              </w:rPr>
              <w:t>Book value per share</w:t>
            </w:r>
          </w:p>
        </w:tc>
      </w:tr>
    </w:tbl>
    <w:p w14:paraId="238628A9" w14:textId="77777777" w:rsidR="00F83D7E" w:rsidRDefault="00F83D7E">
      <w:pPr>
        <w:spacing w:after="0" w:line="240" w:lineRule="auto"/>
        <w:jc w:val="both"/>
        <w:rPr>
          <w:b/>
        </w:rPr>
      </w:pPr>
    </w:p>
    <w:p w14:paraId="6CD29862" w14:textId="77777777" w:rsidR="00F83D7E" w:rsidRDefault="00000000">
      <w:pPr>
        <w:spacing w:after="0" w:line="240" w:lineRule="auto"/>
        <w:jc w:val="both"/>
        <w:rPr>
          <w:b/>
        </w:rPr>
      </w:pPr>
      <w:bookmarkStart w:id="3" w:name="_30j0zll" w:colFirst="0" w:colLast="0"/>
      <w:bookmarkEnd w:id="3"/>
      <w:r>
        <w:rPr>
          <w:b/>
        </w:rPr>
        <w:t>3. RESULT AND DISCUSSION</w:t>
      </w:r>
    </w:p>
    <w:p w14:paraId="662CE242" w14:textId="77777777" w:rsidR="00F83D7E" w:rsidRDefault="00F83D7E">
      <w:pPr>
        <w:spacing w:after="0" w:line="240" w:lineRule="auto"/>
        <w:rPr>
          <w:b/>
        </w:rPr>
      </w:pPr>
    </w:p>
    <w:p w14:paraId="62F0E527" w14:textId="77777777" w:rsidR="00F83D7E" w:rsidRDefault="00000000">
      <w:pPr>
        <w:spacing w:after="0" w:line="240" w:lineRule="auto"/>
        <w:jc w:val="center"/>
        <w:rPr>
          <w:b/>
        </w:rPr>
      </w:pPr>
      <w:r>
        <w:rPr>
          <w:b/>
          <w:highlight w:val="white"/>
        </w:rPr>
        <w:t>Table 2</w:t>
      </w:r>
      <w:r>
        <w:rPr>
          <w:highlight w:val="white"/>
        </w:rPr>
        <w:t>. Descriptive Statistics</w:t>
      </w:r>
    </w:p>
    <w:tbl>
      <w:tblPr>
        <w:tblStyle w:val="a1"/>
        <w:tblW w:w="8637" w:type="dxa"/>
        <w:jc w:val="center"/>
        <w:tblLayout w:type="fixed"/>
        <w:tblLook w:val="0400" w:firstRow="0" w:lastRow="0" w:firstColumn="0" w:lastColumn="0" w:noHBand="0" w:noVBand="1"/>
      </w:tblPr>
      <w:tblGrid>
        <w:gridCol w:w="2825"/>
        <w:gridCol w:w="709"/>
        <w:gridCol w:w="1418"/>
        <w:gridCol w:w="1417"/>
        <w:gridCol w:w="1091"/>
        <w:gridCol w:w="1177"/>
      </w:tblGrid>
      <w:tr w:rsidR="00F83D7E" w14:paraId="5CB19CF0" w14:textId="77777777">
        <w:trPr>
          <w:trHeight w:val="645"/>
          <w:jc w:val="center"/>
        </w:trPr>
        <w:tc>
          <w:tcPr>
            <w:tcW w:w="2825" w:type="dxa"/>
            <w:tcBorders>
              <w:top w:val="single" w:sz="4" w:space="0" w:color="000000"/>
              <w:bottom w:val="single" w:sz="4" w:space="0" w:color="000000"/>
            </w:tcBorders>
            <w:shd w:val="clear" w:color="auto" w:fill="auto"/>
            <w:vAlign w:val="center"/>
          </w:tcPr>
          <w:p w14:paraId="4E93E794" w14:textId="77777777" w:rsidR="00F83D7E" w:rsidRDefault="00000000">
            <w:pPr>
              <w:spacing w:after="0" w:line="240" w:lineRule="auto"/>
              <w:jc w:val="both"/>
              <w:rPr>
                <w:color w:val="000000"/>
              </w:rPr>
            </w:pPr>
            <w:r>
              <w:rPr>
                <w:color w:val="000000"/>
              </w:rPr>
              <w:t> </w:t>
            </w:r>
          </w:p>
        </w:tc>
        <w:tc>
          <w:tcPr>
            <w:tcW w:w="709" w:type="dxa"/>
            <w:tcBorders>
              <w:top w:val="single" w:sz="4" w:space="0" w:color="000000"/>
              <w:bottom w:val="single" w:sz="4" w:space="0" w:color="000000"/>
            </w:tcBorders>
            <w:shd w:val="clear" w:color="auto" w:fill="auto"/>
            <w:vAlign w:val="center"/>
          </w:tcPr>
          <w:p w14:paraId="1B27ED83" w14:textId="77777777" w:rsidR="00F83D7E" w:rsidRDefault="00000000">
            <w:pPr>
              <w:spacing w:after="0" w:line="240" w:lineRule="auto"/>
              <w:jc w:val="both"/>
              <w:rPr>
                <w:color w:val="000000"/>
              </w:rPr>
            </w:pPr>
            <w:r>
              <w:rPr>
                <w:color w:val="000000"/>
              </w:rPr>
              <w:t>N</w:t>
            </w:r>
          </w:p>
        </w:tc>
        <w:tc>
          <w:tcPr>
            <w:tcW w:w="1418" w:type="dxa"/>
            <w:tcBorders>
              <w:top w:val="single" w:sz="4" w:space="0" w:color="000000"/>
              <w:bottom w:val="single" w:sz="4" w:space="0" w:color="000000"/>
            </w:tcBorders>
            <w:shd w:val="clear" w:color="auto" w:fill="auto"/>
            <w:vAlign w:val="center"/>
          </w:tcPr>
          <w:p w14:paraId="65CF7EC6" w14:textId="77777777" w:rsidR="00F83D7E" w:rsidRDefault="00000000">
            <w:pPr>
              <w:spacing w:after="0" w:line="240" w:lineRule="auto"/>
              <w:jc w:val="both"/>
              <w:rPr>
                <w:color w:val="000000"/>
              </w:rPr>
            </w:pPr>
            <w:r>
              <w:rPr>
                <w:color w:val="000000"/>
              </w:rPr>
              <w:t>Minimum</w:t>
            </w:r>
          </w:p>
        </w:tc>
        <w:tc>
          <w:tcPr>
            <w:tcW w:w="1417" w:type="dxa"/>
            <w:tcBorders>
              <w:top w:val="single" w:sz="4" w:space="0" w:color="000000"/>
              <w:bottom w:val="single" w:sz="4" w:space="0" w:color="000000"/>
            </w:tcBorders>
            <w:shd w:val="clear" w:color="auto" w:fill="auto"/>
            <w:vAlign w:val="center"/>
          </w:tcPr>
          <w:p w14:paraId="643F5702" w14:textId="77777777" w:rsidR="00F83D7E" w:rsidRDefault="00000000">
            <w:pPr>
              <w:spacing w:after="0" w:line="240" w:lineRule="auto"/>
              <w:jc w:val="both"/>
              <w:rPr>
                <w:color w:val="000000"/>
              </w:rPr>
            </w:pPr>
            <w:r>
              <w:rPr>
                <w:color w:val="000000"/>
              </w:rPr>
              <w:t>Maximum</w:t>
            </w:r>
          </w:p>
        </w:tc>
        <w:tc>
          <w:tcPr>
            <w:tcW w:w="1091" w:type="dxa"/>
            <w:tcBorders>
              <w:top w:val="single" w:sz="4" w:space="0" w:color="000000"/>
              <w:bottom w:val="single" w:sz="4" w:space="0" w:color="000000"/>
            </w:tcBorders>
            <w:shd w:val="clear" w:color="auto" w:fill="auto"/>
            <w:vAlign w:val="center"/>
          </w:tcPr>
          <w:p w14:paraId="6CF9C2D6" w14:textId="77777777" w:rsidR="00F83D7E" w:rsidRDefault="00000000">
            <w:pPr>
              <w:spacing w:after="0" w:line="240" w:lineRule="auto"/>
              <w:jc w:val="both"/>
              <w:rPr>
                <w:color w:val="000000"/>
              </w:rPr>
            </w:pPr>
            <w:r>
              <w:rPr>
                <w:color w:val="000000"/>
              </w:rPr>
              <w:t>Mean</w:t>
            </w:r>
          </w:p>
        </w:tc>
        <w:tc>
          <w:tcPr>
            <w:tcW w:w="1177" w:type="dxa"/>
            <w:tcBorders>
              <w:top w:val="single" w:sz="4" w:space="0" w:color="000000"/>
              <w:bottom w:val="single" w:sz="4" w:space="0" w:color="000000"/>
            </w:tcBorders>
            <w:shd w:val="clear" w:color="auto" w:fill="auto"/>
            <w:vAlign w:val="center"/>
          </w:tcPr>
          <w:p w14:paraId="44B48726" w14:textId="77777777" w:rsidR="00F83D7E" w:rsidRDefault="00000000">
            <w:pPr>
              <w:spacing w:after="0" w:line="240" w:lineRule="auto"/>
              <w:jc w:val="both"/>
              <w:rPr>
                <w:color w:val="000000"/>
              </w:rPr>
            </w:pPr>
            <w:r>
              <w:rPr>
                <w:color w:val="000000"/>
              </w:rPr>
              <w:t>Std. Deviation</w:t>
            </w:r>
          </w:p>
        </w:tc>
      </w:tr>
      <w:tr w:rsidR="00F83D7E" w14:paraId="22A3317C" w14:textId="77777777">
        <w:trPr>
          <w:trHeight w:val="330"/>
          <w:jc w:val="center"/>
        </w:trPr>
        <w:tc>
          <w:tcPr>
            <w:tcW w:w="2825" w:type="dxa"/>
            <w:tcBorders>
              <w:top w:val="single" w:sz="4" w:space="0" w:color="000000"/>
            </w:tcBorders>
            <w:shd w:val="clear" w:color="auto" w:fill="auto"/>
            <w:vAlign w:val="center"/>
          </w:tcPr>
          <w:p w14:paraId="24DE7EC0" w14:textId="56887D1A" w:rsidR="00F83D7E" w:rsidRDefault="00000000">
            <w:pPr>
              <w:spacing w:after="0" w:line="240" w:lineRule="auto"/>
              <w:jc w:val="center"/>
              <w:rPr>
                <w:color w:val="000000"/>
              </w:rPr>
            </w:pPr>
            <w:r>
              <w:rPr>
                <w:color w:val="000000"/>
              </w:rPr>
              <w:t>CR</w:t>
            </w:r>
            <w:r w:rsidR="00C1644C">
              <w:rPr>
                <w:color w:val="000000"/>
              </w:rPr>
              <w:t>_</w:t>
            </w:r>
            <w:r>
              <w:rPr>
                <w:color w:val="000000"/>
              </w:rPr>
              <w:t>before PSAK 72</w:t>
            </w:r>
          </w:p>
        </w:tc>
        <w:tc>
          <w:tcPr>
            <w:tcW w:w="709" w:type="dxa"/>
            <w:tcBorders>
              <w:top w:val="single" w:sz="4" w:space="0" w:color="000000"/>
            </w:tcBorders>
            <w:shd w:val="clear" w:color="auto" w:fill="auto"/>
            <w:vAlign w:val="center"/>
          </w:tcPr>
          <w:p w14:paraId="06B1643E" w14:textId="77777777" w:rsidR="00F83D7E" w:rsidRDefault="00000000">
            <w:pPr>
              <w:spacing w:after="0" w:line="240" w:lineRule="auto"/>
              <w:jc w:val="both"/>
              <w:rPr>
                <w:color w:val="000000"/>
              </w:rPr>
            </w:pPr>
            <w:r>
              <w:rPr>
                <w:color w:val="000000"/>
              </w:rPr>
              <w:t>118</w:t>
            </w:r>
          </w:p>
        </w:tc>
        <w:tc>
          <w:tcPr>
            <w:tcW w:w="1418" w:type="dxa"/>
            <w:tcBorders>
              <w:top w:val="single" w:sz="4" w:space="0" w:color="000000"/>
            </w:tcBorders>
            <w:shd w:val="clear" w:color="auto" w:fill="auto"/>
            <w:vAlign w:val="center"/>
          </w:tcPr>
          <w:p w14:paraId="5E5F65DB" w14:textId="77777777" w:rsidR="00F83D7E" w:rsidRDefault="00000000">
            <w:pPr>
              <w:spacing w:after="0" w:line="240" w:lineRule="auto"/>
              <w:jc w:val="both"/>
              <w:rPr>
                <w:color w:val="000000"/>
              </w:rPr>
            </w:pPr>
            <w:r>
              <w:rPr>
                <w:color w:val="000000"/>
              </w:rPr>
              <w:t>0.1786</w:t>
            </w:r>
          </w:p>
        </w:tc>
        <w:tc>
          <w:tcPr>
            <w:tcW w:w="1417" w:type="dxa"/>
            <w:tcBorders>
              <w:top w:val="single" w:sz="4" w:space="0" w:color="000000"/>
            </w:tcBorders>
            <w:shd w:val="clear" w:color="auto" w:fill="auto"/>
            <w:vAlign w:val="center"/>
          </w:tcPr>
          <w:p w14:paraId="0CD35967" w14:textId="77777777" w:rsidR="00F83D7E" w:rsidRDefault="00000000">
            <w:pPr>
              <w:spacing w:after="0" w:line="240" w:lineRule="auto"/>
              <w:jc w:val="both"/>
              <w:rPr>
                <w:color w:val="000000"/>
              </w:rPr>
            </w:pPr>
            <w:r>
              <w:rPr>
                <w:color w:val="000000"/>
              </w:rPr>
              <w:t>24.8819</w:t>
            </w:r>
          </w:p>
        </w:tc>
        <w:tc>
          <w:tcPr>
            <w:tcW w:w="1091" w:type="dxa"/>
            <w:tcBorders>
              <w:top w:val="single" w:sz="4" w:space="0" w:color="000000"/>
            </w:tcBorders>
            <w:shd w:val="clear" w:color="auto" w:fill="auto"/>
            <w:vAlign w:val="center"/>
          </w:tcPr>
          <w:p w14:paraId="23198BE7" w14:textId="77777777" w:rsidR="00F83D7E" w:rsidRDefault="00000000">
            <w:pPr>
              <w:spacing w:after="0" w:line="240" w:lineRule="auto"/>
              <w:jc w:val="both"/>
              <w:rPr>
                <w:color w:val="000000"/>
              </w:rPr>
            </w:pPr>
            <w:r>
              <w:rPr>
                <w:color w:val="000000"/>
              </w:rPr>
              <w:t>2.9894</w:t>
            </w:r>
          </w:p>
        </w:tc>
        <w:tc>
          <w:tcPr>
            <w:tcW w:w="1177" w:type="dxa"/>
            <w:tcBorders>
              <w:top w:val="single" w:sz="4" w:space="0" w:color="000000"/>
            </w:tcBorders>
            <w:shd w:val="clear" w:color="auto" w:fill="auto"/>
            <w:vAlign w:val="center"/>
          </w:tcPr>
          <w:p w14:paraId="2618DB56" w14:textId="77777777" w:rsidR="00F83D7E" w:rsidRDefault="00000000">
            <w:pPr>
              <w:spacing w:after="0" w:line="240" w:lineRule="auto"/>
              <w:jc w:val="both"/>
              <w:rPr>
                <w:color w:val="000000"/>
              </w:rPr>
            </w:pPr>
            <w:r>
              <w:rPr>
                <w:color w:val="000000"/>
              </w:rPr>
              <w:t>3.0592</w:t>
            </w:r>
          </w:p>
        </w:tc>
      </w:tr>
      <w:tr w:rsidR="00F83D7E" w14:paraId="6695FA5F" w14:textId="77777777">
        <w:trPr>
          <w:trHeight w:val="330"/>
          <w:jc w:val="center"/>
        </w:trPr>
        <w:tc>
          <w:tcPr>
            <w:tcW w:w="2825" w:type="dxa"/>
            <w:shd w:val="clear" w:color="auto" w:fill="auto"/>
            <w:vAlign w:val="center"/>
          </w:tcPr>
          <w:p w14:paraId="69AE2136" w14:textId="641CF426" w:rsidR="00F83D7E" w:rsidRDefault="00000000">
            <w:pPr>
              <w:spacing w:after="0" w:line="240" w:lineRule="auto"/>
              <w:jc w:val="center"/>
              <w:rPr>
                <w:color w:val="000000"/>
              </w:rPr>
            </w:pPr>
            <w:r>
              <w:rPr>
                <w:color w:val="000000"/>
              </w:rPr>
              <w:t>CR</w:t>
            </w:r>
            <w:r w:rsidR="00C1644C">
              <w:rPr>
                <w:color w:val="000000"/>
              </w:rPr>
              <w:t>_</w:t>
            </w:r>
            <w:r>
              <w:rPr>
                <w:color w:val="000000"/>
              </w:rPr>
              <w:t>after PSAK 72</w:t>
            </w:r>
          </w:p>
        </w:tc>
        <w:tc>
          <w:tcPr>
            <w:tcW w:w="709" w:type="dxa"/>
            <w:shd w:val="clear" w:color="auto" w:fill="auto"/>
            <w:vAlign w:val="center"/>
          </w:tcPr>
          <w:p w14:paraId="583CF32D"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3549E807" w14:textId="77777777" w:rsidR="00F83D7E" w:rsidRDefault="00000000">
            <w:pPr>
              <w:spacing w:after="0" w:line="240" w:lineRule="auto"/>
              <w:jc w:val="both"/>
              <w:rPr>
                <w:color w:val="000000"/>
              </w:rPr>
            </w:pPr>
            <w:r>
              <w:rPr>
                <w:color w:val="000000"/>
              </w:rPr>
              <w:t>0.1468</w:t>
            </w:r>
          </w:p>
        </w:tc>
        <w:tc>
          <w:tcPr>
            <w:tcW w:w="1417" w:type="dxa"/>
            <w:shd w:val="clear" w:color="auto" w:fill="auto"/>
            <w:vAlign w:val="center"/>
          </w:tcPr>
          <w:p w14:paraId="6F5736D9" w14:textId="77777777" w:rsidR="00F83D7E" w:rsidRDefault="00000000">
            <w:pPr>
              <w:spacing w:after="0" w:line="240" w:lineRule="auto"/>
              <w:jc w:val="both"/>
              <w:rPr>
                <w:color w:val="000000"/>
              </w:rPr>
            </w:pPr>
            <w:r>
              <w:rPr>
                <w:color w:val="000000"/>
              </w:rPr>
              <w:t>24.7973</w:t>
            </w:r>
          </w:p>
        </w:tc>
        <w:tc>
          <w:tcPr>
            <w:tcW w:w="1091" w:type="dxa"/>
            <w:shd w:val="clear" w:color="auto" w:fill="auto"/>
            <w:vAlign w:val="center"/>
          </w:tcPr>
          <w:p w14:paraId="7FE008A8" w14:textId="77777777" w:rsidR="00F83D7E" w:rsidRDefault="00000000">
            <w:pPr>
              <w:spacing w:after="0" w:line="240" w:lineRule="auto"/>
              <w:jc w:val="both"/>
              <w:rPr>
                <w:color w:val="000000"/>
              </w:rPr>
            </w:pPr>
            <w:r>
              <w:rPr>
                <w:color w:val="000000"/>
              </w:rPr>
              <w:t>2.8960</w:t>
            </w:r>
          </w:p>
        </w:tc>
        <w:tc>
          <w:tcPr>
            <w:tcW w:w="1177" w:type="dxa"/>
            <w:shd w:val="clear" w:color="auto" w:fill="auto"/>
            <w:vAlign w:val="center"/>
          </w:tcPr>
          <w:p w14:paraId="50B90F8A" w14:textId="77777777" w:rsidR="00F83D7E" w:rsidRDefault="00000000">
            <w:pPr>
              <w:spacing w:after="0" w:line="240" w:lineRule="auto"/>
              <w:jc w:val="both"/>
              <w:rPr>
                <w:color w:val="000000"/>
              </w:rPr>
            </w:pPr>
            <w:r>
              <w:rPr>
                <w:color w:val="000000"/>
              </w:rPr>
              <w:t>3.4156</w:t>
            </w:r>
          </w:p>
        </w:tc>
      </w:tr>
      <w:tr w:rsidR="00F83D7E" w14:paraId="7FF99D55" w14:textId="77777777">
        <w:trPr>
          <w:trHeight w:val="333"/>
          <w:jc w:val="center"/>
        </w:trPr>
        <w:tc>
          <w:tcPr>
            <w:tcW w:w="2825" w:type="dxa"/>
            <w:shd w:val="clear" w:color="auto" w:fill="auto"/>
            <w:vAlign w:val="center"/>
          </w:tcPr>
          <w:p w14:paraId="22B2F52A" w14:textId="39E1ED6A" w:rsidR="00F83D7E" w:rsidRDefault="00000000">
            <w:pPr>
              <w:spacing w:after="0" w:line="240" w:lineRule="auto"/>
              <w:jc w:val="center"/>
              <w:rPr>
                <w:color w:val="000000"/>
              </w:rPr>
            </w:pPr>
            <w:r>
              <w:rPr>
                <w:color w:val="000000"/>
              </w:rPr>
              <w:t>ROA</w:t>
            </w:r>
            <w:r w:rsidR="00C1644C">
              <w:rPr>
                <w:color w:val="000000"/>
              </w:rPr>
              <w:t>_</w:t>
            </w:r>
            <w:r>
              <w:rPr>
                <w:color w:val="000000"/>
              </w:rPr>
              <w:t>before PSAK 72</w:t>
            </w:r>
          </w:p>
        </w:tc>
        <w:tc>
          <w:tcPr>
            <w:tcW w:w="709" w:type="dxa"/>
            <w:shd w:val="clear" w:color="auto" w:fill="auto"/>
            <w:vAlign w:val="center"/>
          </w:tcPr>
          <w:p w14:paraId="46742041"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700628D7" w14:textId="77777777" w:rsidR="00F83D7E" w:rsidRDefault="00000000">
            <w:pPr>
              <w:spacing w:after="0" w:line="240" w:lineRule="auto"/>
              <w:jc w:val="both"/>
              <w:rPr>
                <w:color w:val="000000"/>
              </w:rPr>
            </w:pPr>
            <w:r>
              <w:rPr>
                <w:color w:val="000000"/>
              </w:rPr>
              <w:t>-0.1088</w:t>
            </w:r>
          </w:p>
        </w:tc>
        <w:tc>
          <w:tcPr>
            <w:tcW w:w="1417" w:type="dxa"/>
            <w:shd w:val="clear" w:color="auto" w:fill="auto"/>
            <w:vAlign w:val="center"/>
          </w:tcPr>
          <w:p w14:paraId="3759A808" w14:textId="77777777" w:rsidR="00F83D7E" w:rsidRDefault="00000000">
            <w:pPr>
              <w:spacing w:after="0" w:line="240" w:lineRule="auto"/>
              <w:jc w:val="both"/>
              <w:rPr>
                <w:color w:val="000000"/>
              </w:rPr>
            </w:pPr>
            <w:r>
              <w:rPr>
                <w:color w:val="000000"/>
              </w:rPr>
              <w:t>0.2509</w:t>
            </w:r>
          </w:p>
        </w:tc>
        <w:tc>
          <w:tcPr>
            <w:tcW w:w="1091" w:type="dxa"/>
            <w:shd w:val="clear" w:color="auto" w:fill="auto"/>
            <w:vAlign w:val="center"/>
          </w:tcPr>
          <w:p w14:paraId="0590125A" w14:textId="77777777" w:rsidR="00F83D7E" w:rsidRDefault="00000000">
            <w:pPr>
              <w:spacing w:after="0" w:line="240" w:lineRule="auto"/>
              <w:jc w:val="both"/>
              <w:rPr>
                <w:color w:val="000000"/>
              </w:rPr>
            </w:pPr>
            <w:r>
              <w:rPr>
                <w:color w:val="000000"/>
              </w:rPr>
              <w:t>0.025</w:t>
            </w:r>
          </w:p>
        </w:tc>
        <w:tc>
          <w:tcPr>
            <w:tcW w:w="1177" w:type="dxa"/>
            <w:shd w:val="clear" w:color="auto" w:fill="auto"/>
            <w:vAlign w:val="center"/>
          </w:tcPr>
          <w:p w14:paraId="031CB933" w14:textId="77777777" w:rsidR="00F83D7E" w:rsidRDefault="00000000">
            <w:pPr>
              <w:spacing w:after="0" w:line="240" w:lineRule="auto"/>
              <w:jc w:val="both"/>
              <w:rPr>
                <w:color w:val="000000"/>
              </w:rPr>
            </w:pPr>
            <w:r>
              <w:rPr>
                <w:color w:val="000000"/>
              </w:rPr>
              <w:t>0.0505</w:t>
            </w:r>
          </w:p>
        </w:tc>
      </w:tr>
      <w:tr w:rsidR="00F83D7E" w14:paraId="0BCDCDE9" w14:textId="77777777">
        <w:trPr>
          <w:trHeight w:val="330"/>
          <w:jc w:val="center"/>
        </w:trPr>
        <w:tc>
          <w:tcPr>
            <w:tcW w:w="2825" w:type="dxa"/>
            <w:shd w:val="clear" w:color="auto" w:fill="auto"/>
            <w:vAlign w:val="center"/>
          </w:tcPr>
          <w:p w14:paraId="2615D4D9" w14:textId="4816BCCA" w:rsidR="00F83D7E" w:rsidRDefault="00000000">
            <w:pPr>
              <w:spacing w:after="0" w:line="240" w:lineRule="auto"/>
              <w:jc w:val="center"/>
              <w:rPr>
                <w:color w:val="000000"/>
              </w:rPr>
            </w:pPr>
            <w:r>
              <w:rPr>
                <w:color w:val="000000"/>
              </w:rPr>
              <w:t>ROA</w:t>
            </w:r>
            <w:r w:rsidR="00C1644C">
              <w:rPr>
                <w:color w:val="000000"/>
              </w:rPr>
              <w:t>_</w:t>
            </w:r>
            <w:r>
              <w:rPr>
                <w:color w:val="000000"/>
              </w:rPr>
              <w:t>after PSAK 72</w:t>
            </w:r>
          </w:p>
        </w:tc>
        <w:tc>
          <w:tcPr>
            <w:tcW w:w="709" w:type="dxa"/>
            <w:shd w:val="clear" w:color="auto" w:fill="auto"/>
            <w:vAlign w:val="center"/>
          </w:tcPr>
          <w:p w14:paraId="2E9342E7"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627A68FD" w14:textId="77777777" w:rsidR="00F83D7E" w:rsidRDefault="00000000">
            <w:pPr>
              <w:spacing w:after="0" w:line="240" w:lineRule="auto"/>
              <w:jc w:val="both"/>
              <w:rPr>
                <w:color w:val="000000"/>
              </w:rPr>
            </w:pPr>
            <w:r>
              <w:rPr>
                <w:color w:val="000000"/>
              </w:rPr>
              <w:t>-0.4331</w:t>
            </w:r>
          </w:p>
        </w:tc>
        <w:tc>
          <w:tcPr>
            <w:tcW w:w="1417" w:type="dxa"/>
            <w:shd w:val="clear" w:color="auto" w:fill="auto"/>
            <w:vAlign w:val="center"/>
          </w:tcPr>
          <w:p w14:paraId="0D1AA048" w14:textId="77777777" w:rsidR="00F83D7E" w:rsidRDefault="00000000">
            <w:pPr>
              <w:spacing w:after="0" w:line="240" w:lineRule="auto"/>
              <w:jc w:val="both"/>
              <w:rPr>
                <w:color w:val="000000"/>
              </w:rPr>
            </w:pPr>
            <w:r>
              <w:rPr>
                <w:color w:val="000000"/>
              </w:rPr>
              <w:t>0.2756</w:t>
            </w:r>
          </w:p>
        </w:tc>
        <w:tc>
          <w:tcPr>
            <w:tcW w:w="1091" w:type="dxa"/>
            <w:shd w:val="clear" w:color="auto" w:fill="auto"/>
            <w:vAlign w:val="center"/>
          </w:tcPr>
          <w:p w14:paraId="5183B2FC" w14:textId="77777777" w:rsidR="00F83D7E" w:rsidRDefault="00000000">
            <w:pPr>
              <w:spacing w:after="0" w:line="240" w:lineRule="auto"/>
              <w:jc w:val="both"/>
              <w:rPr>
                <w:color w:val="000000"/>
              </w:rPr>
            </w:pPr>
            <w:r>
              <w:rPr>
                <w:color w:val="000000"/>
              </w:rPr>
              <w:t>-0.0080</w:t>
            </w:r>
          </w:p>
        </w:tc>
        <w:tc>
          <w:tcPr>
            <w:tcW w:w="1177" w:type="dxa"/>
            <w:shd w:val="clear" w:color="auto" w:fill="auto"/>
            <w:vAlign w:val="center"/>
          </w:tcPr>
          <w:p w14:paraId="44765CAA" w14:textId="77777777" w:rsidR="00F83D7E" w:rsidRDefault="00000000">
            <w:pPr>
              <w:spacing w:after="0" w:line="240" w:lineRule="auto"/>
              <w:jc w:val="both"/>
              <w:rPr>
                <w:color w:val="000000"/>
              </w:rPr>
            </w:pPr>
            <w:r>
              <w:rPr>
                <w:color w:val="000000"/>
              </w:rPr>
              <w:t>0.0825</w:t>
            </w:r>
          </w:p>
        </w:tc>
      </w:tr>
      <w:tr w:rsidR="00F83D7E" w14:paraId="1E232046" w14:textId="77777777">
        <w:trPr>
          <w:trHeight w:val="330"/>
          <w:jc w:val="center"/>
        </w:trPr>
        <w:tc>
          <w:tcPr>
            <w:tcW w:w="2825" w:type="dxa"/>
            <w:shd w:val="clear" w:color="auto" w:fill="auto"/>
            <w:vAlign w:val="center"/>
          </w:tcPr>
          <w:p w14:paraId="7161298D" w14:textId="096EFF52" w:rsidR="00F83D7E" w:rsidRDefault="00000000">
            <w:pPr>
              <w:spacing w:after="0" w:line="240" w:lineRule="auto"/>
              <w:jc w:val="center"/>
              <w:rPr>
                <w:color w:val="000000"/>
              </w:rPr>
            </w:pPr>
            <w:r>
              <w:rPr>
                <w:color w:val="000000"/>
              </w:rPr>
              <w:t>ROE</w:t>
            </w:r>
            <w:r w:rsidR="00C1644C">
              <w:rPr>
                <w:color w:val="000000"/>
              </w:rPr>
              <w:t>_</w:t>
            </w:r>
            <w:r>
              <w:rPr>
                <w:color w:val="000000"/>
              </w:rPr>
              <w:t>before PSAK 72</w:t>
            </w:r>
          </w:p>
        </w:tc>
        <w:tc>
          <w:tcPr>
            <w:tcW w:w="709" w:type="dxa"/>
            <w:shd w:val="clear" w:color="auto" w:fill="auto"/>
            <w:vAlign w:val="center"/>
          </w:tcPr>
          <w:p w14:paraId="3783F21F"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5BEC5851" w14:textId="77777777" w:rsidR="00F83D7E" w:rsidRDefault="00000000">
            <w:pPr>
              <w:spacing w:after="0" w:line="240" w:lineRule="auto"/>
              <w:jc w:val="both"/>
              <w:rPr>
                <w:color w:val="000000"/>
              </w:rPr>
            </w:pPr>
            <w:r>
              <w:rPr>
                <w:color w:val="000000"/>
              </w:rPr>
              <w:t>-3.9663</w:t>
            </w:r>
          </w:p>
        </w:tc>
        <w:tc>
          <w:tcPr>
            <w:tcW w:w="1417" w:type="dxa"/>
            <w:shd w:val="clear" w:color="auto" w:fill="auto"/>
            <w:vAlign w:val="center"/>
          </w:tcPr>
          <w:p w14:paraId="1504F917" w14:textId="77777777" w:rsidR="00F83D7E" w:rsidRDefault="00000000">
            <w:pPr>
              <w:spacing w:after="0" w:line="240" w:lineRule="auto"/>
              <w:jc w:val="both"/>
              <w:rPr>
                <w:color w:val="000000"/>
              </w:rPr>
            </w:pPr>
            <w:r>
              <w:rPr>
                <w:color w:val="000000"/>
              </w:rPr>
              <w:t>0.3126</w:t>
            </w:r>
          </w:p>
        </w:tc>
        <w:tc>
          <w:tcPr>
            <w:tcW w:w="1091" w:type="dxa"/>
            <w:shd w:val="clear" w:color="auto" w:fill="auto"/>
            <w:vAlign w:val="center"/>
          </w:tcPr>
          <w:p w14:paraId="7AD49CC7" w14:textId="77777777" w:rsidR="00F83D7E" w:rsidRDefault="00000000">
            <w:pPr>
              <w:spacing w:after="0" w:line="240" w:lineRule="auto"/>
              <w:jc w:val="both"/>
              <w:rPr>
                <w:color w:val="000000"/>
              </w:rPr>
            </w:pPr>
            <w:r>
              <w:rPr>
                <w:color w:val="000000"/>
              </w:rPr>
              <w:t>0.0106</w:t>
            </w:r>
          </w:p>
        </w:tc>
        <w:tc>
          <w:tcPr>
            <w:tcW w:w="1177" w:type="dxa"/>
            <w:shd w:val="clear" w:color="auto" w:fill="auto"/>
            <w:vAlign w:val="center"/>
          </w:tcPr>
          <w:p w14:paraId="498F6BB0" w14:textId="77777777" w:rsidR="00F83D7E" w:rsidRDefault="00000000">
            <w:pPr>
              <w:spacing w:after="0" w:line="240" w:lineRule="auto"/>
              <w:jc w:val="both"/>
              <w:rPr>
                <w:color w:val="000000"/>
              </w:rPr>
            </w:pPr>
            <w:r>
              <w:rPr>
                <w:color w:val="000000"/>
              </w:rPr>
              <w:t>0.3783</w:t>
            </w:r>
          </w:p>
        </w:tc>
      </w:tr>
      <w:tr w:rsidR="00F83D7E" w14:paraId="3C162B0A" w14:textId="77777777">
        <w:trPr>
          <w:trHeight w:val="330"/>
          <w:jc w:val="center"/>
        </w:trPr>
        <w:tc>
          <w:tcPr>
            <w:tcW w:w="2825" w:type="dxa"/>
            <w:shd w:val="clear" w:color="auto" w:fill="auto"/>
            <w:vAlign w:val="center"/>
          </w:tcPr>
          <w:p w14:paraId="4499CF08" w14:textId="4247D7B7" w:rsidR="00F83D7E" w:rsidRDefault="00000000">
            <w:pPr>
              <w:spacing w:after="0" w:line="240" w:lineRule="auto"/>
              <w:jc w:val="center"/>
              <w:rPr>
                <w:color w:val="000000"/>
              </w:rPr>
            </w:pPr>
            <w:r>
              <w:rPr>
                <w:color w:val="000000"/>
              </w:rPr>
              <w:t>ROE</w:t>
            </w:r>
            <w:r w:rsidR="00C1644C">
              <w:rPr>
                <w:color w:val="000000"/>
              </w:rPr>
              <w:t>_</w:t>
            </w:r>
            <w:r>
              <w:rPr>
                <w:color w:val="000000"/>
              </w:rPr>
              <w:t>after PSAK 72</w:t>
            </w:r>
          </w:p>
        </w:tc>
        <w:tc>
          <w:tcPr>
            <w:tcW w:w="709" w:type="dxa"/>
            <w:shd w:val="clear" w:color="auto" w:fill="auto"/>
            <w:vAlign w:val="center"/>
          </w:tcPr>
          <w:p w14:paraId="5BA8492F"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620C83C3" w14:textId="77777777" w:rsidR="00F83D7E" w:rsidRDefault="00000000">
            <w:pPr>
              <w:spacing w:after="0" w:line="240" w:lineRule="auto"/>
              <w:jc w:val="both"/>
              <w:rPr>
                <w:color w:val="000000"/>
              </w:rPr>
            </w:pPr>
            <w:r>
              <w:rPr>
                <w:color w:val="000000"/>
              </w:rPr>
              <w:t>-4.0836</w:t>
            </w:r>
          </w:p>
        </w:tc>
        <w:tc>
          <w:tcPr>
            <w:tcW w:w="1417" w:type="dxa"/>
            <w:shd w:val="clear" w:color="auto" w:fill="auto"/>
            <w:vAlign w:val="center"/>
          </w:tcPr>
          <w:p w14:paraId="1527BB11" w14:textId="77777777" w:rsidR="00F83D7E" w:rsidRDefault="00000000">
            <w:pPr>
              <w:spacing w:after="0" w:line="240" w:lineRule="auto"/>
              <w:jc w:val="both"/>
              <w:rPr>
                <w:color w:val="000000"/>
              </w:rPr>
            </w:pPr>
            <w:r>
              <w:rPr>
                <w:color w:val="000000"/>
              </w:rPr>
              <w:t>0.6064</w:t>
            </w:r>
          </w:p>
        </w:tc>
        <w:tc>
          <w:tcPr>
            <w:tcW w:w="1091" w:type="dxa"/>
            <w:shd w:val="clear" w:color="auto" w:fill="auto"/>
            <w:vAlign w:val="center"/>
          </w:tcPr>
          <w:p w14:paraId="30402BE1" w14:textId="77777777" w:rsidR="00F83D7E" w:rsidRDefault="00000000">
            <w:pPr>
              <w:spacing w:after="0" w:line="240" w:lineRule="auto"/>
              <w:jc w:val="both"/>
              <w:rPr>
                <w:color w:val="000000"/>
              </w:rPr>
            </w:pPr>
            <w:r>
              <w:rPr>
                <w:color w:val="000000"/>
              </w:rPr>
              <w:t>-0.0576</w:t>
            </w:r>
          </w:p>
        </w:tc>
        <w:tc>
          <w:tcPr>
            <w:tcW w:w="1177" w:type="dxa"/>
            <w:shd w:val="clear" w:color="auto" w:fill="auto"/>
            <w:vAlign w:val="center"/>
          </w:tcPr>
          <w:p w14:paraId="28E03320" w14:textId="77777777" w:rsidR="00F83D7E" w:rsidRDefault="00000000">
            <w:pPr>
              <w:spacing w:after="0" w:line="240" w:lineRule="auto"/>
              <w:jc w:val="both"/>
              <w:rPr>
                <w:color w:val="000000"/>
              </w:rPr>
            </w:pPr>
            <w:r>
              <w:rPr>
                <w:color w:val="000000"/>
              </w:rPr>
              <w:t>0.4020</w:t>
            </w:r>
          </w:p>
        </w:tc>
      </w:tr>
      <w:tr w:rsidR="00F83D7E" w14:paraId="57D0B6A1" w14:textId="77777777">
        <w:trPr>
          <w:trHeight w:val="330"/>
          <w:jc w:val="center"/>
        </w:trPr>
        <w:tc>
          <w:tcPr>
            <w:tcW w:w="2825" w:type="dxa"/>
            <w:shd w:val="clear" w:color="auto" w:fill="auto"/>
            <w:vAlign w:val="center"/>
          </w:tcPr>
          <w:p w14:paraId="397E055C" w14:textId="6E9AE279" w:rsidR="00F83D7E" w:rsidRDefault="00000000">
            <w:pPr>
              <w:spacing w:after="0" w:line="240" w:lineRule="auto"/>
              <w:jc w:val="center"/>
              <w:rPr>
                <w:color w:val="000000"/>
              </w:rPr>
            </w:pPr>
            <w:r>
              <w:rPr>
                <w:color w:val="000000"/>
              </w:rPr>
              <w:t>NPM</w:t>
            </w:r>
            <w:r w:rsidR="00C1644C">
              <w:rPr>
                <w:color w:val="000000"/>
              </w:rPr>
              <w:t>_</w:t>
            </w:r>
            <w:r>
              <w:rPr>
                <w:color w:val="000000"/>
              </w:rPr>
              <w:t>before PSAK 72</w:t>
            </w:r>
          </w:p>
        </w:tc>
        <w:tc>
          <w:tcPr>
            <w:tcW w:w="709" w:type="dxa"/>
            <w:shd w:val="clear" w:color="auto" w:fill="auto"/>
            <w:vAlign w:val="center"/>
          </w:tcPr>
          <w:p w14:paraId="32A07563"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50C41E12" w14:textId="77777777" w:rsidR="00F83D7E" w:rsidRDefault="00000000">
            <w:pPr>
              <w:spacing w:after="0" w:line="240" w:lineRule="auto"/>
              <w:jc w:val="both"/>
              <w:rPr>
                <w:color w:val="000000"/>
              </w:rPr>
            </w:pPr>
            <w:r>
              <w:rPr>
                <w:color w:val="000000"/>
              </w:rPr>
              <w:t>-0.9482</w:t>
            </w:r>
          </w:p>
        </w:tc>
        <w:tc>
          <w:tcPr>
            <w:tcW w:w="1417" w:type="dxa"/>
            <w:shd w:val="clear" w:color="auto" w:fill="auto"/>
            <w:vAlign w:val="center"/>
          </w:tcPr>
          <w:p w14:paraId="0EC280D8" w14:textId="77777777" w:rsidR="00F83D7E" w:rsidRDefault="00000000">
            <w:pPr>
              <w:spacing w:after="0" w:line="240" w:lineRule="auto"/>
              <w:jc w:val="both"/>
              <w:rPr>
                <w:color w:val="000000"/>
              </w:rPr>
            </w:pPr>
            <w:r>
              <w:rPr>
                <w:color w:val="000000"/>
              </w:rPr>
              <w:t>1.5791</w:t>
            </w:r>
          </w:p>
        </w:tc>
        <w:tc>
          <w:tcPr>
            <w:tcW w:w="1091" w:type="dxa"/>
            <w:shd w:val="clear" w:color="auto" w:fill="auto"/>
            <w:vAlign w:val="center"/>
          </w:tcPr>
          <w:p w14:paraId="56D58BF3" w14:textId="77777777" w:rsidR="00F83D7E" w:rsidRDefault="00000000">
            <w:pPr>
              <w:spacing w:after="0" w:line="240" w:lineRule="auto"/>
              <w:jc w:val="both"/>
              <w:rPr>
                <w:color w:val="000000"/>
              </w:rPr>
            </w:pPr>
            <w:r>
              <w:rPr>
                <w:color w:val="000000"/>
              </w:rPr>
              <w:t>0.1302</w:t>
            </w:r>
          </w:p>
        </w:tc>
        <w:tc>
          <w:tcPr>
            <w:tcW w:w="1177" w:type="dxa"/>
            <w:shd w:val="clear" w:color="auto" w:fill="auto"/>
            <w:vAlign w:val="center"/>
          </w:tcPr>
          <w:p w14:paraId="5966CCEE" w14:textId="77777777" w:rsidR="00F83D7E" w:rsidRDefault="00000000">
            <w:pPr>
              <w:spacing w:after="0" w:line="240" w:lineRule="auto"/>
              <w:jc w:val="both"/>
              <w:rPr>
                <w:color w:val="000000"/>
              </w:rPr>
            </w:pPr>
            <w:r>
              <w:rPr>
                <w:color w:val="000000"/>
              </w:rPr>
              <w:t>0.3265</w:t>
            </w:r>
          </w:p>
        </w:tc>
      </w:tr>
      <w:tr w:rsidR="00F83D7E" w14:paraId="51E5392D" w14:textId="77777777">
        <w:trPr>
          <w:trHeight w:val="330"/>
          <w:jc w:val="center"/>
        </w:trPr>
        <w:tc>
          <w:tcPr>
            <w:tcW w:w="2825" w:type="dxa"/>
            <w:shd w:val="clear" w:color="auto" w:fill="auto"/>
            <w:vAlign w:val="center"/>
          </w:tcPr>
          <w:p w14:paraId="7CFB151A" w14:textId="604320E7" w:rsidR="00F83D7E" w:rsidRDefault="00000000">
            <w:pPr>
              <w:spacing w:after="0" w:line="240" w:lineRule="auto"/>
              <w:jc w:val="center"/>
              <w:rPr>
                <w:color w:val="000000"/>
              </w:rPr>
            </w:pPr>
            <w:r>
              <w:rPr>
                <w:color w:val="000000"/>
              </w:rPr>
              <w:t>NPM</w:t>
            </w:r>
            <w:r w:rsidR="00C1644C">
              <w:rPr>
                <w:color w:val="000000"/>
              </w:rPr>
              <w:t>_</w:t>
            </w:r>
            <w:r>
              <w:rPr>
                <w:color w:val="000000"/>
              </w:rPr>
              <w:t>after PSAK 72</w:t>
            </w:r>
          </w:p>
        </w:tc>
        <w:tc>
          <w:tcPr>
            <w:tcW w:w="709" w:type="dxa"/>
            <w:shd w:val="clear" w:color="auto" w:fill="auto"/>
            <w:vAlign w:val="center"/>
          </w:tcPr>
          <w:p w14:paraId="476585C0"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1CC8E19B" w14:textId="77777777" w:rsidR="00F83D7E" w:rsidRDefault="00000000">
            <w:pPr>
              <w:spacing w:after="0" w:line="240" w:lineRule="auto"/>
              <w:jc w:val="both"/>
              <w:rPr>
                <w:color w:val="000000"/>
              </w:rPr>
            </w:pPr>
            <w:r>
              <w:rPr>
                <w:color w:val="000000"/>
              </w:rPr>
              <w:t>-3.0751</w:t>
            </w:r>
          </w:p>
        </w:tc>
        <w:tc>
          <w:tcPr>
            <w:tcW w:w="1417" w:type="dxa"/>
            <w:shd w:val="clear" w:color="auto" w:fill="auto"/>
            <w:vAlign w:val="center"/>
          </w:tcPr>
          <w:p w14:paraId="6183BC64" w14:textId="77777777" w:rsidR="00F83D7E" w:rsidRDefault="00000000">
            <w:pPr>
              <w:spacing w:after="0" w:line="240" w:lineRule="auto"/>
              <w:jc w:val="both"/>
              <w:rPr>
                <w:color w:val="000000"/>
              </w:rPr>
            </w:pPr>
            <w:r>
              <w:rPr>
                <w:color w:val="000000"/>
              </w:rPr>
              <w:t>5.9235</w:t>
            </w:r>
          </w:p>
        </w:tc>
        <w:tc>
          <w:tcPr>
            <w:tcW w:w="1091" w:type="dxa"/>
            <w:shd w:val="clear" w:color="auto" w:fill="auto"/>
            <w:vAlign w:val="center"/>
          </w:tcPr>
          <w:p w14:paraId="15DF344D" w14:textId="77777777" w:rsidR="00F83D7E" w:rsidRDefault="00000000">
            <w:pPr>
              <w:spacing w:after="0" w:line="240" w:lineRule="auto"/>
              <w:jc w:val="both"/>
              <w:rPr>
                <w:color w:val="000000"/>
              </w:rPr>
            </w:pPr>
            <w:r>
              <w:rPr>
                <w:color w:val="000000"/>
              </w:rPr>
              <w:t>-0.1156</w:t>
            </w:r>
          </w:p>
        </w:tc>
        <w:tc>
          <w:tcPr>
            <w:tcW w:w="1177" w:type="dxa"/>
            <w:shd w:val="clear" w:color="auto" w:fill="auto"/>
            <w:vAlign w:val="center"/>
          </w:tcPr>
          <w:p w14:paraId="2EE63DFF" w14:textId="77777777" w:rsidR="00F83D7E" w:rsidRDefault="00000000">
            <w:pPr>
              <w:spacing w:after="0" w:line="240" w:lineRule="auto"/>
              <w:jc w:val="both"/>
              <w:rPr>
                <w:color w:val="000000"/>
              </w:rPr>
            </w:pPr>
            <w:r>
              <w:rPr>
                <w:color w:val="000000"/>
              </w:rPr>
              <w:t>0.8329</w:t>
            </w:r>
          </w:p>
        </w:tc>
      </w:tr>
      <w:tr w:rsidR="00F83D7E" w14:paraId="69419689" w14:textId="77777777">
        <w:trPr>
          <w:trHeight w:val="330"/>
          <w:jc w:val="center"/>
        </w:trPr>
        <w:tc>
          <w:tcPr>
            <w:tcW w:w="2825" w:type="dxa"/>
            <w:shd w:val="clear" w:color="auto" w:fill="auto"/>
            <w:vAlign w:val="center"/>
          </w:tcPr>
          <w:p w14:paraId="61CF4F82" w14:textId="0C298AD9" w:rsidR="00F83D7E" w:rsidRDefault="00000000">
            <w:pPr>
              <w:spacing w:after="0" w:line="240" w:lineRule="auto"/>
              <w:jc w:val="center"/>
              <w:rPr>
                <w:color w:val="000000"/>
              </w:rPr>
            </w:pPr>
            <w:r>
              <w:rPr>
                <w:color w:val="000000"/>
              </w:rPr>
              <w:t>DAR</w:t>
            </w:r>
            <w:r w:rsidR="00C1644C">
              <w:rPr>
                <w:color w:val="000000"/>
              </w:rPr>
              <w:t>_</w:t>
            </w:r>
            <w:r>
              <w:rPr>
                <w:color w:val="000000"/>
              </w:rPr>
              <w:t>before PSAK 72</w:t>
            </w:r>
          </w:p>
        </w:tc>
        <w:tc>
          <w:tcPr>
            <w:tcW w:w="709" w:type="dxa"/>
            <w:shd w:val="clear" w:color="auto" w:fill="auto"/>
            <w:vAlign w:val="center"/>
          </w:tcPr>
          <w:p w14:paraId="692A1819"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0EEB6A2D" w14:textId="77777777" w:rsidR="00F83D7E" w:rsidRDefault="00000000">
            <w:pPr>
              <w:spacing w:after="0" w:line="240" w:lineRule="auto"/>
              <w:jc w:val="both"/>
              <w:rPr>
                <w:color w:val="000000"/>
              </w:rPr>
            </w:pPr>
            <w:r>
              <w:rPr>
                <w:color w:val="000000"/>
              </w:rPr>
              <w:t>0.0415</w:t>
            </w:r>
          </w:p>
        </w:tc>
        <w:tc>
          <w:tcPr>
            <w:tcW w:w="1417" w:type="dxa"/>
            <w:shd w:val="clear" w:color="auto" w:fill="auto"/>
            <w:vAlign w:val="center"/>
          </w:tcPr>
          <w:p w14:paraId="7854F3D2" w14:textId="77777777" w:rsidR="00F83D7E" w:rsidRDefault="00000000">
            <w:pPr>
              <w:spacing w:after="0" w:line="240" w:lineRule="auto"/>
              <w:jc w:val="both"/>
              <w:rPr>
                <w:color w:val="000000"/>
              </w:rPr>
            </w:pPr>
            <w:r>
              <w:rPr>
                <w:color w:val="000000"/>
              </w:rPr>
              <w:t>0.9726</w:t>
            </w:r>
          </w:p>
        </w:tc>
        <w:tc>
          <w:tcPr>
            <w:tcW w:w="1091" w:type="dxa"/>
            <w:shd w:val="clear" w:color="auto" w:fill="auto"/>
            <w:vAlign w:val="center"/>
          </w:tcPr>
          <w:p w14:paraId="6E1AB752" w14:textId="77777777" w:rsidR="00F83D7E" w:rsidRDefault="00000000">
            <w:pPr>
              <w:spacing w:after="0" w:line="240" w:lineRule="auto"/>
              <w:jc w:val="both"/>
              <w:rPr>
                <w:color w:val="000000"/>
              </w:rPr>
            </w:pPr>
            <w:r>
              <w:rPr>
                <w:color w:val="000000"/>
              </w:rPr>
              <w:t>0.4215</w:t>
            </w:r>
          </w:p>
        </w:tc>
        <w:tc>
          <w:tcPr>
            <w:tcW w:w="1177" w:type="dxa"/>
            <w:shd w:val="clear" w:color="auto" w:fill="auto"/>
            <w:vAlign w:val="center"/>
          </w:tcPr>
          <w:p w14:paraId="11F7C4B2" w14:textId="77777777" w:rsidR="00F83D7E" w:rsidRDefault="00000000">
            <w:pPr>
              <w:spacing w:after="0" w:line="240" w:lineRule="auto"/>
              <w:jc w:val="both"/>
              <w:rPr>
                <w:color w:val="000000"/>
              </w:rPr>
            </w:pPr>
            <w:r>
              <w:rPr>
                <w:color w:val="000000"/>
              </w:rPr>
              <w:t>0.2081</w:t>
            </w:r>
          </w:p>
        </w:tc>
      </w:tr>
      <w:tr w:rsidR="00F83D7E" w14:paraId="70FE0DE5" w14:textId="77777777">
        <w:trPr>
          <w:trHeight w:val="330"/>
          <w:jc w:val="center"/>
        </w:trPr>
        <w:tc>
          <w:tcPr>
            <w:tcW w:w="2825" w:type="dxa"/>
            <w:shd w:val="clear" w:color="auto" w:fill="auto"/>
            <w:vAlign w:val="center"/>
          </w:tcPr>
          <w:p w14:paraId="1438F69D" w14:textId="5F0A7239" w:rsidR="00F83D7E" w:rsidRDefault="00000000">
            <w:pPr>
              <w:spacing w:after="0" w:line="240" w:lineRule="auto"/>
              <w:jc w:val="center"/>
              <w:rPr>
                <w:color w:val="000000"/>
              </w:rPr>
            </w:pPr>
            <w:r>
              <w:rPr>
                <w:color w:val="000000"/>
              </w:rPr>
              <w:t>DAR</w:t>
            </w:r>
            <w:r w:rsidR="00C1644C">
              <w:rPr>
                <w:color w:val="000000"/>
              </w:rPr>
              <w:t>_</w:t>
            </w:r>
            <w:r>
              <w:rPr>
                <w:color w:val="000000"/>
              </w:rPr>
              <w:t>after PSAK 72</w:t>
            </w:r>
          </w:p>
        </w:tc>
        <w:tc>
          <w:tcPr>
            <w:tcW w:w="709" w:type="dxa"/>
            <w:shd w:val="clear" w:color="auto" w:fill="auto"/>
            <w:vAlign w:val="center"/>
          </w:tcPr>
          <w:p w14:paraId="6859ADA3"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536746CA" w14:textId="77777777" w:rsidR="00F83D7E" w:rsidRDefault="00000000">
            <w:pPr>
              <w:spacing w:after="0" w:line="240" w:lineRule="auto"/>
              <w:jc w:val="both"/>
              <w:rPr>
                <w:color w:val="000000"/>
              </w:rPr>
            </w:pPr>
            <w:r>
              <w:rPr>
                <w:color w:val="000000"/>
              </w:rPr>
              <w:t>0.0005</w:t>
            </w:r>
          </w:p>
        </w:tc>
        <w:tc>
          <w:tcPr>
            <w:tcW w:w="1417" w:type="dxa"/>
            <w:shd w:val="clear" w:color="auto" w:fill="auto"/>
            <w:vAlign w:val="center"/>
          </w:tcPr>
          <w:p w14:paraId="3C13A7E6" w14:textId="77777777" w:rsidR="00F83D7E" w:rsidRDefault="00000000">
            <w:pPr>
              <w:spacing w:after="0" w:line="240" w:lineRule="auto"/>
              <w:jc w:val="both"/>
              <w:rPr>
                <w:color w:val="000000"/>
              </w:rPr>
            </w:pPr>
            <w:r>
              <w:rPr>
                <w:color w:val="000000"/>
              </w:rPr>
              <w:t>1.1080</w:t>
            </w:r>
          </w:p>
        </w:tc>
        <w:tc>
          <w:tcPr>
            <w:tcW w:w="1091" w:type="dxa"/>
            <w:shd w:val="clear" w:color="auto" w:fill="auto"/>
            <w:vAlign w:val="center"/>
          </w:tcPr>
          <w:p w14:paraId="591CE756" w14:textId="77777777" w:rsidR="00F83D7E" w:rsidRDefault="00000000">
            <w:pPr>
              <w:spacing w:after="0" w:line="240" w:lineRule="auto"/>
              <w:jc w:val="both"/>
              <w:rPr>
                <w:color w:val="000000"/>
              </w:rPr>
            </w:pPr>
            <w:r>
              <w:rPr>
                <w:color w:val="000000"/>
              </w:rPr>
              <w:t>0.4373</w:t>
            </w:r>
          </w:p>
        </w:tc>
        <w:tc>
          <w:tcPr>
            <w:tcW w:w="1177" w:type="dxa"/>
            <w:shd w:val="clear" w:color="auto" w:fill="auto"/>
            <w:vAlign w:val="center"/>
          </w:tcPr>
          <w:p w14:paraId="44E3C4B4" w14:textId="77777777" w:rsidR="00F83D7E" w:rsidRDefault="00000000">
            <w:pPr>
              <w:spacing w:after="0" w:line="240" w:lineRule="auto"/>
              <w:jc w:val="both"/>
              <w:rPr>
                <w:color w:val="000000"/>
              </w:rPr>
            </w:pPr>
            <w:r>
              <w:rPr>
                <w:color w:val="000000"/>
              </w:rPr>
              <w:t>0.2392</w:t>
            </w:r>
          </w:p>
        </w:tc>
      </w:tr>
      <w:tr w:rsidR="00F83D7E" w14:paraId="7AF3FBB6" w14:textId="77777777">
        <w:trPr>
          <w:trHeight w:val="330"/>
          <w:jc w:val="center"/>
        </w:trPr>
        <w:tc>
          <w:tcPr>
            <w:tcW w:w="2825" w:type="dxa"/>
            <w:shd w:val="clear" w:color="auto" w:fill="auto"/>
            <w:vAlign w:val="center"/>
          </w:tcPr>
          <w:p w14:paraId="5D680898" w14:textId="036173EC" w:rsidR="00F83D7E" w:rsidRDefault="00000000">
            <w:pPr>
              <w:spacing w:after="0" w:line="240" w:lineRule="auto"/>
              <w:jc w:val="center"/>
              <w:rPr>
                <w:color w:val="000000"/>
              </w:rPr>
            </w:pPr>
            <w:r>
              <w:rPr>
                <w:color w:val="000000"/>
              </w:rPr>
              <w:t>DER</w:t>
            </w:r>
            <w:r w:rsidR="00C1644C">
              <w:rPr>
                <w:color w:val="000000"/>
              </w:rPr>
              <w:t>_</w:t>
            </w:r>
            <w:r>
              <w:rPr>
                <w:color w:val="000000"/>
              </w:rPr>
              <w:t>before PSAK 72</w:t>
            </w:r>
          </w:p>
        </w:tc>
        <w:tc>
          <w:tcPr>
            <w:tcW w:w="709" w:type="dxa"/>
            <w:shd w:val="clear" w:color="auto" w:fill="auto"/>
            <w:vAlign w:val="center"/>
          </w:tcPr>
          <w:p w14:paraId="7B1E998A"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5FF539AB" w14:textId="77777777" w:rsidR="00F83D7E" w:rsidRDefault="00000000">
            <w:pPr>
              <w:spacing w:after="0" w:line="240" w:lineRule="auto"/>
              <w:jc w:val="both"/>
              <w:rPr>
                <w:color w:val="000000"/>
              </w:rPr>
            </w:pPr>
            <w:r>
              <w:rPr>
                <w:color w:val="000000"/>
              </w:rPr>
              <w:t>0.0433</w:t>
            </w:r>
          </w:p>
        </w:tc>
        <w:tc>
          <w:tcPr>
            <w:tcW w:w="1417" w:type="dxa"/>
            <w:shd w:val="clear" w:color="auto" w:fill="auto"/>
            <w:vAlign w:val="center"/>
          </w:tcPr>
          <w:p w14:paraId="5DB23CBF" w14:textId="77777777" w:rsidR="00F83D7E" w:rsidRDefault="00000000">
            <w:pPr>
              <w:spacing w:after="0" w:line="240" w:lineRule="auto"/>
              <w:jc w:val="both"/>
              <w:rPr>
                <w:color w:val="000000"/>
              </w:rPr>
            </w:pPr>
            <w:r>
              <w:rPr>
                <w:color w:val="000000"/>
              </w:rPr>
              <w:t>35.4656</w:t>
            </w:r>
          </w:p>
        </w:tc>
        <w:tc>
          <w:tcPr>
            <w:tcW w:w="1091" w:type="dxa"/>
            <w:shd w:val="clear" w:color="auto" w:fill="auto"/>
            <w:vAlign w:val="center"/>
          </w:tcPr>
          <w:p w14:paraId="19D14D3F" w14:textId="77777777" w:rsidR="00F83D7E" w:rsidRDefault="00000000">
            <w:pPr>
              <w:spacing w:after="0" w:line="240" w:lineRule="auto"/>
              <w:jc w:val="both"/>
              <w:rPr>
                <w:color w:val="000000"/>
              </w:rPr>
            </w:pPr>
            <w:r>
              <w:rPr>
                <w:color w:val="000000"/>
              </w:rPr>
              <w:t>1.2934</w:t>
            </w:r>
          </w:p>
        </w:tc>
        <w:tc>
          <w:tcPr>
            <w:tcW w:w="1177" w:type="dxa"/>
            <w:shd w:val="clear" w:color="auto" w:fill="auto"/>
            <w:vAlign w:val="center"/>
          </w:tcPr>
          <w:p w14:paraId="0D8D25E8" w14:textId="77777777" w:rsidR="00F83D7E" w:rsidRDefault="00000000">
            <w:pPr>
              <w:spacing w:after="0" w:line="240" w:lineRule="auto"/>
              <w:jc w:val="both"/>
              <w:rPr>
                <w:color w:val="000000"/>
              </w:rPr>
            </w:pPr>
            <w:r>
              <w:rPr>
                <w:color w:val="000000"/>
              </w:rPr>
              <w:t>3.3063</w:t>
            </w:r>
          </w:p>
        </w:tc>
      </w:tr>
      <w:tr w:rsidR="00F83D7E" w14:paraId="01D7F6ED" w14:textId="77777777">
        <w:trPr>
          <w:trHeight w:val="330"/>
          <w:jc w:val="center"/>
        </w:trPr>
        <w:tc>
          <w:tcPr>
            <w:tcW w:w="2825" w:type="dxa"/>
            <w:shd w:val="clear" w:color="auto" w:fill="auto"/>
            <w:vAlign w:val="center"/>
          </w:tcPr>
          <w:p w14:paraId="7D0C6B6D" w14:textId="039E0B40" w:rsidR="00F83D7E" w:rsidRDefault="00000000">
            <w:pPr>
              <w:spacing w:after="0" w:line="240" w:lineRule="auto"/>
              <w:jc w:val="center"/>
              <w:rPr>
                <w:color w:val="000000"/>
              </w:rPr>
            </w:pPr>
            <w:r>
              <w:rPr>
                <w:color w:val="000000"/>
              </w:rPr>
              <w:t>DER</w:t>
            </w:r>
            <w:r w:rsidR="00C1644C">
              <w:rPr>
                <w:color w:val="000000"/>
              </w:rPr>
              <w:t>_</w:t>
            </w:r>
            <w:r>
              <w:rPr>
                <w:color w:val="000000"/>
              </w:rPr>
              <w:t>after PSAK 72</w:t>
            </w:r>
          </w:p>
        </w:tc>
        <w:tc>
          <w:tcPr>
            <w:tcW w:w="709" w:type="dxa"/>
            <w:shd w:val="clear" w:color="auto" w:fill="auto"/>
            <w:vAlign w:val="center"/>
          </w:tcPr>
          <w:p w14:paraId="60822D9B"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7D1C7AA2" w14:textId="77777777" w:rsidR="00F83D7E" w:rsidRDefault="00000000">
            <w:pPr>
              <w:spacing w:after="0" w:line="240" w:lineRule="auto"/>
              <w:jc w:val="both"/>
              <w:rPr>
                <w:color w:val="000000"/>
              </w:rPr>
            </w:pPr>
            <w:r>
              <w:rPr>
                <w:color w:val="000000"/>
              </w:rPr>
              <w:t>-21.0575</w:t>
            </w:r>
          </w:p>
        </w:tc>
        <w:tc>
          <w:tcPr>
            <w:tcW w:w="1417" w:type="dxa"/>
            <w:shd w:val="clear" w:color="auto" w:fill="auto"/>
            <w:vAlign w:val="center"/>
          </w:tcPr>
          <w:p w14:paraId="48998533" w14:textId="77777777" w:rsidR="00F83D7E" w:rsidRDefault="00000000">
            <w:pPr>
              <w:spacing w:after="0" w:line="240" w:lineRule="auto"/>
              <w:jc w:val="both"/>
              <w:rPr>
                <w:color w:val="000000"/>
              </w:rPr>
            </w:pPr>
            <w:r>
              <w:rPr>
                <w:color w:val="000000"/>
              </w:rPr>
              <w:t>8.4284</w:t>
            </w:r>
          </w:p>
        </w:tc>
        <w:tc>
          <w:tcPr>
            <w:tcW w:w="1091" w:type="dxa"/>
            <w:shd w:val="clear" w:color="auto" w:fill="auto"/>
            <w:vAlign w:val="center"/>
          </w:tcPr>
          <w:p w14:paraId="4497C22E" w14:textId="77777777" w:rsidR="00F83D7E" w:rsidRDefault="00000000">
            <w:pPr>
              <w:spacing w:after="0" w:line="240" w:lineRule="auto"/>
              <w:jc w:val="both"/>
              <w:rPr>
                <w:color w:val="000000"/>
              </w:rPr>
            </w:pPr>
            <w:r>
              <w:rPr>
                <w:color w:val="000000"/>
              </w:rPr>
              <w:t>0.9118</w:t>
            </w:r>
          </w:p>
        </w:tc>
        <w:tc>
          <w:tcPr>
            <w:tcW w:w="1177" w:type="dxa"/>
            <w:shd w:val="clear" w:color="auto" w:fill="auto"/>
            <w:vAlign w:val="center"/>
          </w:tcPr>
          <w:p w14:paraId="0D013196" w14:textId="77777777" w:rsidR="00F83D7E" w:rsidRDefault="00000000">
            <w:pPr>
              <w:spacing w:after="0" w:line="240" w:lineRule="auto"/>
              <w:jc w:val="both"/>
              <w:rPr>
                <w:color w:val="000000"/>
              </w:rPr>
            </w:pPr>
            <w:r>
              <w:rPr>
                <w:color w:val="000000"/>
              </w:rPr>
              <w:t>2.6841</w:t>
            </w:r>
          </w:p>
        </w:tc>
      </w:tr>
      <w:tr w:rsidR="00F83D7E" w14:paraId="78AE182E" w14:textId="77777777">
        <w:trPr>
          <w:trHeight w:val="330"/>
          <w:jc w:val="center"/>
        </w:trPr>
        <w:tc>
          <w:tcPr>
            <w:tcW w:w="2825" w:type="dxa"/>
            <w:shd w:val="clear" w:color="auto" w:fill="auto"/>
            <w:vAlign w:val="center"/>
          </w:tcPr>
          <w:p w14:paraId="552894C0" w14:textId="7CF1850A" w:rsidR="00F83D7E" w:rsidRDefault="00000000">
            <w:pPr>
              <w:spacing w:after="0" w:line="240" w:lineRule="auto"/>
              <w:jc w:val="center"/>
              <w:rPr>
                <w:color w:val="000000"/>
              </w:rPr>
            </w:pPr>
            <w:r>
              <w:rPr>
                <w:color w:val="000000"/>
              </w:rPr>
              <w:t>TAT</w:t>
            </w:r>
            <w:r w:rsidR="00C1644C">
              <w:rPr>
                <w:color w:val="000000"/>
              </w:rPr>
              <w:t>_</w:t>
            </w:r>
            <w:r>
              <w:rPr>
                <w:color w:val="000000"/>
              </w:rPr>
              <w:t>before PSAK 72</w:t>
            </w:r>
          </w:p>
        </w:tc>
        <w:tc>
          <w:tcPr>
            <w:tcW w:w="709" w:type="dxa"/>
            <w:shd w:val="clear" w:color="auto" w:fill="auto"/>
            <w:vAlign w:val="center"/>
          </w:tcPr>
          <w:p w14:paraId="10DF5B81"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63C60E7F" w14:textId="77777777" w:rsidR="00F83D7E" w:rsidRDefault="00000000">
            <w:pPr>
              <w:spacing w:after="0" w:line="240" w:lineRule="auto"/>
              <w:jc w:val="both"/>
              <w:rPr>
                <w:color w:val="000000"/>
              </w:rPr>
            </w:pPr>
            <w:r>
              <w:rPr>
                <w:color w:val="000000"/>
              </w:rPr>
              <w:t>0.0116</w:t>
            </w:r>
          </w:p>
        </w:tc>
        <w:tc>
          <w:tcPr>
            <w:tcW w:w="1417" w:type="dxa"/>
            <w:shd w:val="clear" w:color="auto" w:fill="auto"/>
            <w:vAlign w:val="center"/>
          </w:tcPr>
          <w:p w14:paraId="4027058A" w14:textId="77777777" w:rsidR="00F83D7E" w:rsidRDefault="00000000">
            <w:pPr>
              <w:spacing w:after="0" w:line="240" w:lineRule="auto"/>
              <w:jc w:val="both"/>
              <w:rPr>
                <w:color w:val="000000"/>
              </w:rPr>
            </w:pPr>
            <w:r>
              <w:rPr>
                <w:color w:val="000000"/>
              </w:rPr>
              <w:t>1.1101</w:t>
            </w:r>
          </w:p>
        </w:tc>
        <w:tc>
          <w:tcPr>
            <w:tcW w:w="1091" w:type="dxa"/>
            <w:shd w:val="clear" w:color="auto" w:fill="auto"/>
            <w:vAlign w:val="center"/>
          </w:tcPr>
          <w:p w14:paraId="340C4C16" w14:textId="77777777" w:rsidR="00F83D7E" w:rsidRDefault="00000000">
            <w:pPr>
              <w:spacing w:after="0" w:line="240" w:lineRule="auto"/>
              <w:jc w:val="both"/>
              <w:rPr>
                <w:color w:val="000000"/>
              </w:rPr>
            </w:pPr>
            <w:r>
              <w:rPr>
                <w:color w:val="000000"/>
              </w:rPr>
              <w:t>0.2735</w:t>
            </w:r>
          </w:p>
        </w:tc>
        <w:tc>
          <w:tcPr>
            <w:tcW w:w="1177" w:type="dxa"/>
            <w:shd w:val="clear" w:color="auto" w:fill="auto"/>
            <w:vAlign w:val="center"/>
          </w:tcPr>
          <w:p w14:paraId="56CFB05F" w14:textId="77777777" w:rsidR="00F83D7E" w:rsidRDefault="00000000">
            <w:pPr>
              <w:spacing w:after="0" w:line="240" w:lineRule="auto"/>
              <w:jc w:val="both"/>
              <w:rPr>
                <w:color w:val="000000"/>
              </w:rPr>
            </w:pPr>
            <w:r>
              <w:rPr>
                <w:color w:val="000000"/>
              </w:rPr>
              <w:t>0.2425</w:t>
            </w:r>
          </w:p>
        </w:tc>
      </w:tr>
      <w:tr w:rsidR="00F83D7E" w14:paraId="53BF3C7D" w14:textId="77777777">
        <w:trPr>
          <w:trHeight w:val="330"/>
          <w:jc w:val="center"/>
        </w:trPr>
        <w:tc>
          <w:tcPr>
            <w:tcW w:w="2825" w:type="dxa"/>
            <w:shd w:val="clear" w:color="auto" w:fill="auto"/>
            <w:vAlign w:val="center"/>
          </w:tcPr>
          <w:p w14:paraId="49E29D96" w14:textId="3865A75A" w:rsidR="00F83D7E" w:rsidRDefault="00000000">
            <w:pPr>
              <w:spacing w:after="0" w:line="240" w:lineRule="auto"/>
              <w:jc w:val="center"/>
              <w:rPr>
                <w:color w:val="000000"/>
              </w:rPr>
            </w:pPr>
            <w:r>
              <w:rPr>
                <w:color w:val="000000"/>
              </w:rPr>
              <w:t>TAT</w:t>
            </w:r>
            <w:r w:rsidR="00C1644C">
              <w:rPr>
                <w:color w:val="000000"/>
              </w:rPr>
              <w:t>_</w:t>
            </w:r>
            <w:r>
              <w:rPr>
                <w:color w:val="000000"/>
              </w:rPr>
              <w:t>after PSAK 72</w:t>
            </w:r>
          </w:p>
        </w:tc>
        <w:tc>
          <w:tcPr>
            <w:tcW w:w="709" w:type="dxa"/>
            <w:shd w:val="clear" w:color="auto" w:fill="auto"/>
            <w:vAlign w:val="center"/>
          </w:tcPr>
          <w:p w14:paraId="15C46D85"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2BAA3B9E" w14:textId="77777777" w:rsidR="00F83D7E" w:rsidRDefault="00000000">
            <w:pPr>
              <w:spacing w:after="0" w:line="240" w:lineRule="auto"/>
              <w:jc w:val="both"/>
              <w:rPr>
                <w:color w:val="000000"/>
              </w:rPr>
            </w:pPr>
            <w:r>
              <w:rPr>
                <w:color w:val="000000"/>
              </w:rPr>
              <w:t>0.0043</w:t>
            </w:r>
          </w:p>
        </w:tc>
        <w:tc>
          <w:tcPr>
            <w:tcW w:w="1417" w:type="dxa"/>
            <w:shd w:val="clear" w:color="auto" w:fill="auto"/>
            <w:vAlign w:val="center"/>
          </w:tcPr>
          <w:p w14:paraId="3CBDEDFF" w14:textId="77777777" w:rsidR="00F83D7E" w:rsidRDefault="00000000">
            <w:pPr>
              <w:spacing w:after="0" w:line="240" w:lineRule="auto"/>
              <w:jc w:val="both"/>
              <w:rPr>
                <w:color w:val="000000"/>
              </w:rPr>
            </w:pPr>
            <w:r>
              <w:rPr>
                <w:color w:val="000000"/>
              </w:rPr>
              <w:t>0.9389</w:t>
            </w:r>
          </w:p>
        </w:tc>
        <w:tc>
          <w:tcPr>
            <w:tcW w:w="1091" w:type="dxa"/>
            <w:shd w:val="clear" w:color="auto" w:fill="auto"/>
            <w:vAlign w:val="center"/>
          </w:tcPr>
          <w:p w14:paraId="5D60220E" w14:textId="77777777" w:rsidR="00F83D7E" w:rsidRDefault="00000000">
            <w:pPr>
              <w:spacing w:after="0" w:line="240" w:lineRule="auto"/>
              <w:jc w:val="both"/>
              <w:rPr>
                <w:color w:val="000000"/>
              </w:rPr>
            </w:pPr>
            <w:r>
              <w:rPr>
                <w:color w:val="000000"/>
              </w:rPr>
              <w:t>0.2046</w:t>
            </w:r>
          </w:p>
        </w:tc>
        <w:tc>
          <w:tcPr>
            <w:tcW w:w="1177" w:type="dxa"/>
            <w:shd w:val="clear" w:color="auto" w:fill="auto"/>
            <w:vAlign w:val="center"/>
          </w:tcPr>
          <w:p w14:paraId="4C076BCC" w14:textId="77777777" w:rsidR="00F83D7E" w:rsidRDefault="00000000">
            <w:pPr>
              <w:spacing w:after="0" w:line="240" w:lineRule="auto"/>
              <w:jc w:val="both"/>
              <w:rPr>
                <w:color w:val="000000"/>
              </w:rPr>
            </w:pPr>
            <w:r>
              <w:rPr>
                <w:color w:val="000000"/>
              </w:rPr>
              <w:t>0.1921</w:t>
            </w:r>
          </w:p>
        </w:tc>
      </w:tr>
      <w:tr w:rsidR="00F83D7E" w14:paraId="0E70F22F" w14:textId="77777777">
        <w:trPr>
          <w:trHeight w:val="330"/>
          <w:jc w:val="center"/>
        </w:trPr>
        <w:tc>
          <w:tcPr>
            <w:tcW w:w="2825" w:type="dxa"/>
            <w:shd w:val="clear" w:color="auto" w:fill="auto"/>
            <w:vAlign w:val="center"/>
          </w:tcPr>
          <w:p w14:paraId="6A8056E8" w14:textId="4858648A" w:rsidR="00F83D7E" w:rsidRDefault="00000000">
            <w:pPr>
              <w:spacing w:after="0" w:line="240" w:lineRule="auto"/>
              <w:jc w:val="center"/>
              <w:rPr>
                <w:color w:val="000000"/>
              </w:rPr>
            </w:pPr>
            <w:r>
              <w:rPr>
                <w:color w:val="000000"/>
              </w:rPr>
              <w:t>PER</w:t>
            </w:r>
            <w:r w:rsidR="00C1644C">
              <w:rPr>
                <w:color w:val="000000"/>
              </w:rPr>
              <w:t>_</w:t>
            </w:r>
            <w:r>
              <w:rPr>
                <w:color w:val="000000"/>
              </w:rPr>
              <w:t>before PSAK 72</w:t>
            </w:r>
          </w:p>
        </w:tc>
        <w:tc>
          <w:tcPr>
            <w:tcW w:w="709" w:type="dxa"/>
            <w:shd w:val="clear" w:color="auto" w:fill="auto"/>
            <w:vAlign w:val="center"/>
          </w:tcPr>
          <w:p w14:paraId="5892F7C5"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19381337" w14:textId="77777777" w:rsidR="00F83D7E" w:rsidRDefault="00000000">
            <w:pPr>
              <w:spacing w:after="0" w:line="240" w:lineRule="auto"/>
              <w:jc w:val="both"/>
              <w:rPr>
                <w:color w:val="000000"/>
              </w:rPr>
            </w:pPr>
            <w:r>
              <w:rPr>
                <w:color w:val="000000"/>
              </w:rPr>
              <w:t>-395.8936</w:t>
            </w:r>
          </w:p>
        </w:tc>
        <w:tc>
          <w:tcPr>
            <w:tcW w:w="1417" w:type="dxa"/>
            <w:shd w:val="clear" w:color="auto" w:fill="auto"/>
            <w:vAlign w:val="center"/>
          </w:tcPr>
          <w:p w14:paraId="1745E5DF" w14:textId="77777777" w:rsidR="00F83D7E" w:rsidRDefault="00000000">
            <w:pPr>
              <w:spacing w:after="0" w:line="240" w:lineRule="auto"/>
              <w:jc w:val="both"/>
              <w:rPr>
                <w:color w:val="000000"/>
              </w:rPr>
            </w:pPr>
            <w:r>
              <w:rPr>
                <w:color w:val="000000"/>
              </w:rPr>
              <w:t>3517.5129</w:t>
            </w:r>
          </w:p>
        </w:tc>
        <w:tc>
          <w:tcPr>
            <w:tcW w:w="1091" w:type="dxa"/>
            <w:shd w:val="clear" w:color="auto" w:fill="auto"/>
            <w:vAlign w:val="center"/>
          </w:tcPr>
          <w:p w14:paraId="6F905B06" w14:textId="77777777" w:rsidR="00F83D7E" w:rsidRDefault="00000000">
            <w:pPr>
              <w:spacing w:after="0" w:line="240" w:lineRule="auto"/>
              <w:jc w:val="both"/>
              <w:rPr>
                <w:color w:val="000000"/>
              </w:rPr>
            </w:pPr>
            <w:r>
              <w:rPr>
                <w:color w:val="000000"/>
              </w:rPr>
              <w:t>3.8957</w:t>
            </w:r>
          </w:p>
        </w:tc>
        <w:tc>
          <w:tcPr>
            <w:tcW w:w="1177" w:type="dxa"/>
            <w:shd w:val="clear" w:color="auto" w:fill="auto"/>
            <w:vAlign w:val="center"/>
          </w:tcPr>
          <w:p w14:paraId="1000EC2B" w14:textId="77777777" w:rsidR="00F83D7E" w:rsidRDefault="00000000">
            <w:pPr>
              <w:spacing w:after="0" w:line="240" w:lineRule="auto"/>
              <w:jc w:val="both"/>
              <w:rPr>
                <w:color w:val="000000"/>
              </w:rPr>
            </w:pPr>
            <w:r>
              <w:rPr>
                <w:color w:val="000000"/>
              </w:rPr>
              <w:t>0.3186</w:t>
            </w:r>
          </w:p>
        </w:tc>
      </w:tr>
      <w:tr w:rsidR="00F83D7E" w14:paraId="3465C7F7" w14:textId="77777777">
        <w:trPr>
          <w:trHeight w:val="330"/>
          <w:jc w:val="center"/>
        </w:trPr>
        <w:tc>
          <w:tcPr>
            <w:tcW w:w="2825" w:type="dxa"/>
            <w:shd w:val="clear" w:color="auto" w:fill="auto"/>
            <w:vAlign w:val="center"/>
          </w:tcPr>
          <w:p w14:paraId="1E07B045" w14:textId="19E7252D" w:rsidR="00F83D7E" w:rsidRDefault="00000000">
            <w:pPr>
              <w:spacing w:after="0" w:line="240" w:lineRule="auto"/>
              <w:jc w:val="center"/>
              <w:rPr>
                <w:color w:val="000000"/>
              </w:rPr>
            </w:pPr>
            <w:r>
              <w:rPr>
                <w:color w:val="000000"/>
              </w:rPr>
              <w:t>PER</w:t>
            </w:r>
            <w:r w:rsidR="00C1644C">
              <w:rPr>
                <w:color w:val="000000"/>
              </w:rPr>
              <w:t>_</w:t>
            </w:r>
            <w:r>
              <w:rPr>
                <w:color w:val="000000"/>
              </w:rPr>
              <w:t>after PSAK 72</w:t>
            </w:r>
          </w:p>
        </w:tc>
        <w:tc>
          <w:tcPr>
            <w:tcW w:w="709" w:type="dxa"/>
            <w:shd w:val="clear" w:color="auto" w:fill="auto"/>
            <w:vAlign w:val="center"/>
          </w:tcPr>
          <w:p w14:paraId="28020D93"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71CF9751" w14:textId="77777777" w:rsidR="00F83D7E" w:rsidRDefault="00000000">
            <w:pPr>
              <w:spacing w:after="0" w:line="240" w:lineRule="auto"/>
              <w:jc w:val="both"/>
              <w:rPr>
                <w:color w:val="000000"/>
              </w:rPr>
            </w:pPr>
            <w:r>
              <w:rPr>
                <w:color w:val="000000"/>
              </w:rPr>
              <w:t>-1230.9723</w:t>
            </w:r>
          </w:p>
        </w:tc>
        <w:tc>
          <w:tcPr>
            <w:tcW w:w="1417" w:type="dxa"/>
            <w:shd w:val="clear" w:color="auto" w:fill="auto"/>
            <w:vAlign w:val="center"/>
          </w:tcPr>
          <w:p w14:paraId="43ECF33D" w14:textId="77777777" w:rsidR="00F83D7E" w:rsidRDefault="00000000">
            <w:pPr>
              <w:spacing w:after="0" w:line="240" w:lineRule="auto"/>
              <w:jc w:val="both"/>
              <w:rPr>
                <w:color w:val="000000"/>
              </w:rPr>
            </w:pPr>
            <w:r>
              <w:rPr>
                <w:color w:val="000000"/>
              </w:rPr>
              <w:t>2906.4503</w:t>
            </w:r>
          </w:p>
        </w:tc>
        <w:tc>
          <w:tcPr>
            <w:tcW w:w="1091" w:type="dxa"/>
            <w:shd w:val="clear" w:color="auto" w:fill="auto"/>
            <w:vAlign w:val="center"/>
          </w:tcPr>
          <w:p w14:paraId="743C4BE4" w14:textId="77777777" w:rsidR="00F83D7E" w:rsidRDefault="00000000">
            <w:pPr>
              <w:spacing w:after="0" w:line="240" w:lineRule="auto"/>
              <w:jc w:val="both"/>
              <w:rPr>
                <w:color w:val="000000"/>
              </w:rPr>
            </w:pPr>
            <w:r>
              <w:rPr>
                <w:color w:val="000000"/>
              </w:rPr>
              <w:t>2.9464</w:t>
            </w:r>
          </w:p>
        </w:tc>
        <w:tc>
          <w:tcPr>
            <w:tcW w:w="1177" w:type="dxa"/>
            <w:shd w:val="clear" w:color="auto" w:fill="auto"/>
            <w:vAlign w:val="center"/>
          </w:tcPr>
          <w:p w14:paraId="483856C6" w14:textId="77777777" w:rsidR="00F83D7E" w:rsidRDefault="00000000">
            <w:pPr>
              <w:spacing w:after="0" w:line="240" w:lineRule="auto"/>
              <w:jc w:val="both"/>
              <w:rPr>
                <w:color w:val="000000"/>
              </w:rPr>
            </w:pPr>
            <w:r>
              <w:rPr>
                <w:color w:val="000000"/>
              </w:rPr>
              <w:t>0.7512</w:t>
            </w:r>
          </w:p>
        </w:tc>
      </w:tr>
      <w:tr w:rsidR="00F83D7E" w14:paraId="68A0DB42" w14:textId="77777777">
        <w:trPr>
          <w:trHeight w:val="330"/>
          <w:jc w:val="center"/>
        </w:trPr>
        <w:tc>
          <w:tcPr>
            <w:tcW w:w="2825" w:type="dxa"/>
            <w:shd w:val="clear" w:color="auto" w:fill="auto"/>
            <w:vAlign w:val="center"/>
          </w:tcPr>
          <w:p w14:paraId="3FB526FF" w14:textId="6F7B9709" w:rsidR="00F83D7E" w:rsidRDefault="00000000">
            <w:pPr>
              <w:spacing w:after="0" w:line="240" w:lineRule="auto"/>
              <w:jc w:val="center"/>
              <w:rPr>
                <w:color w:val="000000"/>
              </w:rPr>
            </w:pPr>
            <w:r>
              <w:rPr>
                <w:color w:val="000000"/>
              </w:rPr>
              <w:t>PBV</w:t>
            </w:r>
            <w:r w:rsidR="00C1644C">
              <w:rPr>
                <w:color w:val="000000"/>
              </w:rPr>
              <w:t>_</w:t>
            </w:r>
            <w:r>
              <w:rPr>
                <w:color w:val="000000"/>
              </w:rPr>
              <w:t>before PSAK 72</w:t>
            </w:r>
          </w:p>
        </w:tc>
        <w:tc>
          <w:tcPr>
            <w:tcW w:w="709" w:type="dxa"/>
            <w:shd w:val="clear" w:color="auto" w:fill="auto"/>
            <w:vAlign w:val="center"/>
          </w:tcPr>
          <w:p w14:paraId="23A5DD6E" w14:textId="77777777" w:rsidR="00F83D7E" w:rsidRDefault="00000000">
            <w:pPr>
              <w:spacing w:after="0" w:line="240" w:lineRule="auto"/>
              <w:jc w:val="both"/>
              <w:rPr>
                <w:color w:val="000000"/>
              </w:rPr>
            </w:pPr>
            <w:r>
              <w:rPr>
                <w:color w:val="000000"/>
              </w:rPr>
              <w:t>118</w:t>
            </w:r>
          </w:p>
        </w:tc>
        <w:tc>
          <w:tcPr>
            <w:tcW w:w="1418" w:type="dxa"/>
            <w:shd w:val="clear" w:color="auto" w:fill="auto"/>
            <w:vAlign w:val="center"/>
          </w:tcPr>
          <w:p w14:paraId="2D2C81CE" w14:textId="77777777" w:rsidR="00F83D7E" w:rsidRDefault="00000000">
            <w:pPr>
              <w:spacing w:after="0" w:line="240" w:lineRule="auto"/>
              <w:jc w:val="both"/>
              <w:rPr>
                <w:color w:val="000000"/>
              </w:rPr>
            </w:pPr>
            <w:r>
              <w:rPr>
                <w:color w:val="000000"/>
              </w:rPr>
              <w:t>0.1489</w:t>
            </w:r>
          </w:p>
        </w:tc>
        <w:tc>
          <w:tcPr>
            <w:tcW w:w="1417" w:type="dxa"/>
            <w:shd w:val="clear" w:color="auto" w:fill="auto"/>
            <w:vAlign w:val="center"/>
          </w:tcPr>
          <w:p w14:paraId="1F7C8232" w14:textId="77777777" w:rsidR="00F83D7E" w:rsidRDefault="00000000">
            <w:pPr>
              <w:spacing w:after="0" w:line="240" w:lineRule="auto"/>
              <w:jc w:val="both"/>
              <w:rPr>
                <w:color w:val="000000"/>
              </w:rPr>
            </w:pPr>
            <w:r>
              <w:rPr>
                <w:color w:val="000000"/>
              </w:rPr>
              <w:t>40.0488</w:t>
            </w:r>
          </w:p>
        </w:tc>
        <w:tc>
          <w:tcPr>
            <w:tcW w:w="1091" w:type="dxa"/>
            <w:shd w:val="clear" w:color="auto" w:fill="auto"/>
            <w:vAlign w:val="center"/>
          </w:tcPr>
          <w:p w14:paraId="069B8126" w14:textId="77777777" w:rsidR="00F83D7E" w:rsidRDefault="00000000">
            <w:pPr>
              <w:spacing w:after="0" w:line="240" w:lineRule="auto"/>
              <w:jc w:val="both"/>
              <w:rPr>
                <w:color w:val="000000"/>
              </w:rPr>
            </w:pPr>
            <w:r>
              <w:rPr>
                <w:color w:val="000000"/>
              </w:rPr>
              <w:t>1.807</w:t>
            </w:r>
          </w:p>
        </w:tc>
        <w:tc>
          <w:tcPr>
            <w:tcW w:w="1177" w:type="dxa"/>
            <w:shd w:val="clear" w:color="auto" w:fill="auto"/>
            <w:vAlign w:val="center"/>
          </w:tcPr>
          <w:p w14:paraId="16B63F23" w14:textId="77777777" w:rsidR="00F83D7E" w:rsidRDefault="00000000">
            <w:pPr>
              <w:spacing w:after="0" w:line="240" w:lineRule="auto"/>
              <w:jc w:val="both"/>
              <w:rPr>
                <w:color w:val="000000"/>
              </w:rPr>
            </w:pPr>
            <w:r>
              <w:rPr>
                <w:color w:val="000000"/>
              </w:rPr>
              <w:t>4.2323</w:t>
            </w:r>
          </w:p>
        </w:tc>
      </w:tr>
      <w:tr w:rsidR="00F83D7E" w14:paraId="4FA32EEF" w14:textId="77777777">
        <w:trPr>
          <w:trHeight w:val="330"/>
          <w:jc w:val="center"/>
        </w:trPr>
        <w:tc>
          <w:tcPr>
            <w:tcW w:w="2825" w:type="dxa"/>
            <w:tcBorders>
              <w:bottom w:val="single" w:sz="4" w:space="0" w:color="000000"/>
            </w:tcBorders>
            <w:shd w:val="clear" w:color="auto" w:fill="auto"/>
            <w:vAlign w:val="center"/>
          </w:tcPr>
          <w:p w14:paraId="7E085FFE" w14:textId="7DE7F088" w:rsidR="00F83D7E" w:rsidRDefault="00000000">
            <w:pPr>
              <w:spacing w:after="0" w:line="240" w:lineRule="auto"/>
              <w:jc w:val="center"/>
              <w:rPr>
                <w:color w:val="000000"/>
              </w:rPr>
            </w:pPr>
            <w:r>
              <w:rPr>
                <w:color w:val="000000"/>
              </w:rPr>
              <w:t>PBV</w:t>
            </w:r>
            <w:r w:rsidR="00C1644C">
              <w:rPr>
                <w:color w:val="000000"/>
              </w:rPr>
              <w:t>_</w:t>
            </w:r>
            <w:r>
              <w:rPr>
                <w:color w:val="000000"/>
              </w:rPr>
              <w:t>after PSAK 72</w:t>
            </w:r>
          </w:p>
        </w:tc>
        <w:tc>
          <w:tcPr>
            <w:tcW w:w="709" w:type="dxa"/>
            <w:tcBorders>
              <w:bottom w:val="single" w:sz="4" w:space="0" w:color="000000"/>
            </w:tcBorders>
            <w:shd w:val="clear" w:color="auto" w:fill="auto"/>
            <w:vAlign w:val="center"/>
          </w:tcPr>
          <w:p w14:paraId="22579E7E" w14:textId="77777777" w:rsidR="00F83D7E" w:rsidRDefault="00000000">
            <w:pPr>
              <w:spacing w:after="0" w:line="240" w:lineRule="auto"/>
              <w:jc w:val="both"/>
              <w:rPr>
                <w:color w:val="000000"/>
              </w:rPr>
            </w:pPr>
            <w:r>
              <w:rPr>
                <w:color w:val="000000"/>
              </w:rPr>
              <w:t>118</w:t>
            </w:r>
          </w:p>
        </w:tc>
        <w:tc>
          <w:tcPr>
            <w:tcW w:w="1418" w:type="dxa"/>
            <w:tcBorders>
              <w:bottom w:val="single" w:sz="4" w:space="0" w:color="000000"/>
            </w:tcBorders>
            <w:shd w:val="clear" w:color="auto" w:fill="auto"/>
            <w:vAlign w:val="center"/>
          </w:tcPr>
          <w:p w14:paraId="16680E22" w14:textId="77777777" w:rsidR="00F83D7E" w:rsidRDefault="00000000">
            <w:pPr>
              <w:spacing w:after="0" w:line="240" w:lineRule="auto"/>
              <w:jc w:val="both"/>
              <w:rPr>
                <w:color w:val="000000"/>
              </w:rPr>
            </w:pPr>
            <w:r>
              <w:rPr>
                <w:color w:val="000000"/>
              </w:rPr>
              <w:t>-0.9692</w:t>
            </w:r>
          </w:p>
        </w:tc>
        <w:tc>
          <w:tcPr>
            <w:tcW w:w="1417" w:type="dxa"/>
            <w:tcBorders>
              <w:bottom w:val="single" w:sz="4" w:space="0" w:color="000000"/>
            </w:tcBorders>
            <w:shd w:val="clear" w:color="auto" w:fill="auto"/>
            <w:vAlign w:val="center"/>
          </w:tcPr>
          <w:p w14:paraId="30F2F755" w14:textId="77777777" w:rsidR="00F83D7E" w:rsidRDefault="00000000">
            <w:pPr>
              <w:spacing w:after="0" w:line="240" w:lineRule="auto"/>
              <w:jc w:val="both"/>
              <w:rPr>
                <w:color w:val="000000"/>
              </w:rPr>
            </w:pPr>
            <w:r>
              <w:rPr>
                <w:color w:val="000000"/>
              </w:rPr>
              <w:t>27.7051</w:t>
            </w:r>
          </w:p>
        </w:tc>
        <w:tc>
          <w:tcPr>
            <w:tcW w:w="1091" w:type="dxa"/>
            <w:tcBorders>
              <w:bottom w:val="single" w:sz="4" w:space="0" w:color="000000"/>
            </w:tcBorders>
            <w:shd w:val="clear" w:color="auto" w:fill="auto"/>
            <w:vAlign w:val="center"/>
          </w:tcPr>
          <w:p w14:paraId="74074E91" w14:textId="77777777" w:rsidR="00F83D7E" w:rsidRDefault="00000000">
            <w:pPr>
              <w:spacing w:after="0" w:line="240" w:lineRule="auto"/>
              <w:jc w:val="both"/>
              <w:rPr>
                <w:color w:val="000000"/>
              </w:rPr>
            </w:pPr>
            <w:r>
              <w:rPr>
                <w:color w:val="000000"/>
              </w:rPr>
              <w:t>1.4156</w:t>
            </w:r>
          </w:p>
        </w:tc>
        <w:tc>
          <w:tcPr>
            <w:tcW w:w="1177" w:type="dxa"/>
            <w:tcBorders>
              <w:bottom w:val="single" w:sz="4" w:space="0" w:color="000000"/>
            </w:tcBorders>
            <w:shd w:val="clear" w:color="auto" w:fill="auto"/>
            <w:vAlign w:val="center"/>
          </w:tcPr>
          <w:p w14:paraId="575E16F2" w14:textId="77777777" w:rsidR="00F83D7E" w:rsidRDefault="00000000">
            <w:pPr>
              <w:spacing w:after="0" w:line="240" w:lineRule="auto"/>
              <w:jc w:val="both"/>
              <w:rPr>
                <w:color w:val="000000"/>
              </w:rPr>
            </w:pPr>
            <w:r>
              <w:rPr>
                <w:color w:val="000000"/>
              </w:rPr>
              <w:t>3.4824</w:t>
            </w:r>
          </w:p>
        </w:tc>
      </w:tr>
    </w:tbl>
    <w:p w14:paraId="424C6BAE" w14:textId="77777777" w:rsidR="00F83D7E" w:rsidRDefault="00000000">
      <w:pPr>
        <w:spacing w:after="0" w:line="240" w:lineRule="auto"/>
        <w:jc w:val="both"/>
      </w:pPr>
      <w:r>
        <w:t xml:space="preserve">    Source: Financial Report and Share Price (processed)</w:t>
      </w:r>
    </w:p>
    <w:p w14:paraId="08CBB86C" w14:textId="6D7FB47D" w:rsidR="00F83D7E" w:rsidRDefault="00000000">
      <w:pPr>
        <w:spacing w:after="0" w:line="240" w:lineRule="auto"/>
        <w:ind w:firstLine="270"/>
        <w:jc w:val="both"/>
      </w:pPr>
      <w:r>
        <w:t>Current Ratio</w:t>
      </w:r>
      <w:r w:rsidR="00D45F79">
        <w:t xml:space="preserve"> (CR)</w:t>
      </w:r>
      <w:r>
        <w:t>. The average value of CR after implementing PSAK 72 is 2.8960. The average CR value after implementing PSAK 72 is smaller than before implementing PSAK 72</w:t>
      </w:r>
      <w:r w:rsidR="00FD0F56">
        <w:t xml:space="preserve"> (2.9894)</w:t>
      </w:r>
      <w:r>
        <w:t xml:space="preserve">. This average result shows that ability </w:t>
      </w:r>
      <w:r w:rsidR="000B33EC">
        <w:t xml:space="preserve">of sample companies </w:t>
      </w:r>
      <w:r>
        <w:t>to pay off current liabilities using current assets after PSAK 72</w:t>
      </w:r>
      <w:r w:rsidR="000B33EC">
        <w:t xml:space="preserve"> </w:t>
      </w:r>
      <w:r w:rsidR="00FD0F56">
        <w:t xml:space="preserve">implementation </w:t>
      </w:r>
      <w:r w:rsidR="000B33EC">
        <w:t>is decreased</w:t>
      </w:r>
      <w:r>
        <w:t>.</w:t>
      </w:r>
    </w:p>
    <w:p w14:paraId="0A6EC248" w14:textId="20E94AEA" w:rsidR="00F83D7E" w:rsidRDefault="00000000">
      <w:pPr>
        <w:spacing w:after="0" w:line="240" w:lineRule="auto"/>
        <w:ind w:firstLine="270"/>
        <w:jc w:val="both"/>
      </w:pPr>
      <w:r>
        <w:t>Return On Equity (ROA).</w:t>
      </w:r>
      <w:r>
        <w:rPr>
          <w:b/>
        </w:rPr>
        <w:t xml:space="preserve"> </w:t>
      </w:r>
      <w:r>
        <w:t xml:space="preserve">ROA before implementing PSAK 72 </w:t>
      </w:r>
      <w:r w:rsidR="00FD0F56">
        <w:t xml:space="preserve">shows an average value </w:t>
      </w:r>
      <w:r>
        <w:t>0.0250</w:t>
      </w:r>
      <w:r w:rsidR="00D45F79">
        <w:t>,</w:t>
      </w:r>
      <w:r>
        <w:t xml:space="preserve"> and after implementing PSAK 72 is -0.0080</w:t>
      </w:r>
      <w:r w:rsidR="00FD0F56">
        <w:t xml:space="preserve">, means </w:t>
      </w:r>
      <w:r>
        <w:t>before implementing PSAK 72 is greater than after implementing PSAK 72</w:t>
      </w:r>
      <w:r w:rsidR="00FD0F56">
        <w:t>, so a c</w:t>
      </w:r>
      <w:r>
        <w:t>ompany's ability to use its total assets to generate net profit is relatively worse.</w:t>
      </w:r>
    </w:p>
    <w:p w14:paraId="561FFCBA" w14:textId="125E32B4" w:rsidR="00F83D7E" w:rsidRDefault="00000000">
      <w:pPr>
        <w:spacing w:after="0" w:line="240" w:lineRule="auto"/>
        <w:ind w:firstLine="270"/>
        <w:jc w:val="both"/>
      </w:pPr>
      <w:r>
        <w:t xml:space="preserve">Return On Equity (ROE). The average value of ROE before implementing PSAK 72 </w:t>
      </w:r>
      <w:r w:rsidR="00FD0F56">
        <w:t xml:space="preserve">is </w:t>
      </w:r>
      <w:r>
        <w:t>0.0106 and after implementing PSAK 72 is -0.0576</w:t>
      </w:r>
      <w:r w:rsidR="00FD0F56">
        <w:t xml:space="preserve">, means </w:t>
      </w:r>
      <w:r>
        <w:t>before implementing PSAK 72 is greater than after implementing PSAK 72</w:t>
      </w:r>
      <w:r w:rsidR="00FD0F56">
        <w:t xml:space="preserve">, so </w:t>
      </w:r>
      <w:r>
        <w:t>the company's ability in using its equity to generate net profit is relatively worse.</w:t>
      </w:r>
    </w:p>
    <w:p w14:paraId="242F4ABB" w14:textId="4362818F" w:rsidR="00F83D7E" w:rsidRDefault="00000000">
      <w:pPr>
        <w:spacing w:after="0" w:line="240" w:lineRule="auto"/>
        <w:ind w:firstLine="270"/>
        <w:jc w:val="both"/>
      </w:pPr>
      <w:r>
        <w:t>Net Profit Margin (NPM).</w:t>
      </w:r>
      <w:r>
        <w:rPr>
          <w:b/>
        </w:rPr>
        <w:t xml:space="preserve"> </w:t>
      </w:r>
      <w:r>
        <w:t xml:space="preserve">The average NPM value before implementing PSAK 72 </w:t>
      </w:r>
      <w:r w:rsidR="00FD0F56">
        <w:t xml:space="preserve">is </w:t>
      </w:r>
      <w:r>
        <w:t>0.1302 and after implementing PSAK 72 is -0.1156</w:t>
      </w:r>
      <w:r w:rsidR="00FD0F56">
        <w:t xml:space="preserve">, means </w:t>
      </w:r>
      <w:r>
        <w:t xml:space="preserve">before </w:t>
      </w:r>
      <w:r w:rsidR="00FD0F56">
        <w:t xml:space="preserve">implementing </w:t>
      </w:r>
      <w:r>
        <w:t>PSAK 72 is greater than after the implement</w:t>
      </w:r>
      <w:r w:rsidR="00FD0F56">
        <w:t>ing</w:t>
      </w:r>
      <w:r>
        <w:t xml:space="preserve"> PSAK 72</w:t>
      </w:r>
      <w:r w:rsidR="00FD0F56">
        <w:t xml:space="preserve">, so </w:t>
      </w:r>
      <w:r>
        <w:t>the company's ability in generating net profit is relatively worse.</w:t>
      </w:r>
    </w:p>
    <w:p w14:paraId="4552B5A2" w14:textId="13F2A879" w:rsidR="00F83D7E" w:rsidRDefault="00000000">
      <w:pPr>
        <w:spacing w:after="0" w:line="240" w:lineRule="auto"/>
        <w:ind w:firstLine="270"/>
        <w:jc w:val="both"/>
      </w:pPr>
      <w:r>
        <w:lastRenderedPageBreak/>
        <w:t>Debt to Asset Ratio (DAR).</w:t>
      </w:r>
      <w:r>
        <w:rPr>
          <w:b/>
        </w:rPr>
        <w:t xml:space="preserve"> </w:t>
      </w:r>
      <w:r>
        <w:t xml:space="preserve">The average DAR before implementing PSAK 72 </w:t>
      </w:r>
      <w:r w:rsidR="00C1644C">
        <w:t xml:space="preserve">is </w:t>
      </w:r>
      <w:r>
        <w:t xml:space="preserve">0.4215 and after implementing PSAK 72 </w:t>
      </w:r>
      <w:r w:rsidR="00C1644C">
        <w:t xml:space="preserve">is </w:t>
      </w:r>
      <w:r>
        <w:t>0.4373. The DAR value before implementing PSAK 72 is better than after implementing PSAK 72. The increase in DAR value after the company implemented PSAK 72 is an indication that the value of liabilities is greater and also the company's ability to pay off all its liabilities with total assets decreases.</w:t>
      </w:r>
    </w:p>
    <w:p w14:paraId="110EEF8E" w14:textId="5EDD1FE5" w:rsidR="00F83D7E" w:rsidRDefault="00000000">
      <w:pPr>
        <w:spacing w:after="0" w:line="240" w:lineRule="auto"/>
        <w:ind w:firstLine="270"/>
        <w:jc w:val="both"/>
      </w:pPr>
      <w:r>
        <w:t>Debt to Equity Ratio (DER).</w:t>
      </w:r>
      <w:r>
        <w:rPr>
          <w:b/>
        </w:rPr>
        <w:t xml:space="preserve"> </w:t>
      </w:r>
      <w:r>
        <w:t xml:space="preserve">The average DER before implementing PSAK 72 </w:t>
      </w:r>
      <w:r w:rsidR="00C1644C">
        <w:t xml:space="preserve">is </w:t>
      </w:r>
      <w:r>
        <w:t xml:space="preserve">1.2934 and after implementing PSAK 72 </w:t>
      </w:r>
      <w:r w:rsidR="00C1644C">
        <w:t xml:space="preserve">is </w:t>
      </w:r>
      <w:r>
        <w:t>0.9118. The DER value after implementing PSAK 72 is better than before implementing PSAK 72. The decrease in DER value after the company implemented PSAK 72 is an indication that the company's ability to pay off all liabilities with total equity owned has increased.</w:t>
      </w:r>
    </w:p>
    <w:p w14:paraId="0508DD0D" w14:textId="5E3694EB" w:rsidR="00F83D7E" w:rsidRDefault="00000000">
      <w:pPr>
        <w:spacing w:after="0" w:line="240" w:lineRule="auto"/>
        <w:ind w:firstLine="270"/>
        <w:jc w:val="both"/>
      </w:pPr>
      <w:r>
        <w:t xml:space="preserve">Total Asset Turnover (TAT). The average TAT before implementing PSAK 72 </w:t>
      </w:r>
      <w:r w:rsidR="00C1644C">
        <w:t xml:space="preserve">is </w:t>
      </w:r>
      <w:r>
        <w:t xml:space="preserve">0.2735 and after implementing PSAK 72 is 0.2046. The average TAT value after implementing PSAK 72 is smaller than before implementing PSAK 72. This shows that there has been a </w:t>
      </w:r>
      <w:r w:rsidR="000413CA">
        <w:t xml:space="preserve">decrease </w:t>
      </w:r>
      <w:r>
        <w:t>in ability to use assets efficiently in terms of productivity and sales.</w:t>
      </w:r>
    </w:p>
    <w:p w14:paraId="4014F39F" w14:textId="157A9163" w:rsidR="00F83D7E" w:rsidRDefault="00000000">
      <w:pPr>
        <w:spacing w:after="0" w:line="240" w:lineRule="auto"/>
        <w:ind w:firstLine="270"/>
        <w:jc w:val="both"/>
      </w:pPr>
      <w:r>
        <w:t>Price Earning Ratio (PER). The average PER before implementin</w:t>
      </w:r>
      <w:r w:rsidR="00D45F79">
        <w:t>g</w:t>
      </w:r>
      <w:r>
        <w:t xml:space="preserve"> PSAK 72 </w:t>
      </w:r>
      <w:r w:rsidR="00C1644C">
        <w:t xml:space="preserve">is </w:t>
      </w:r>
      <w:r>
        <w:t xml:space="preserve">3.8957, which shows that the average share price </w:t>
      </w:r>
      <w:r w:rsidR="00C1644C">
        <w:t xml:space="preserve">is </w:t>
      </w:r>
      <w:r>
        <w:t xml:space="preserve">3.8957 times greater than earnings per share (EPS). The average PER after implementing PSAK 72 </w:t>
      </w:r>
      <w:r w:rsidR="00C1644C">
        <w:t xml:space="preserve">is </w:t>
      </w:r>
      <w:r>
        <w:t xml:space="preserve">2.9464, which shows that the average share price after implementing PSAK 72 </w:t>
      </w:r>
      <w:r w:rsidR="00C1644C">
        <w:t xml:space="preserve">is </w:t>
      </w:r>
      <w:r>
        <w:t>2.9464 times greater than EPS.</w:t>
      </w:r>
    </w:p>
    <w:p w14:paraId="7ED2E191" w14:textId="0DA6EE5D" w:rsidR="00F83D7E" w:rsidRDefault="00000000">
      <w:pPr>
        <w:spacing w:after="0" w:line="240" w:lineRule="auto"/>
        <w:ind w:firstLine="270"/>
        <w:jc w:val="both"/>
      </w:pPr>
      <w:r>
        <w:t>Price Book Value (PBV). The average PBV before implement</w:t>
      </w:r>
      <w:r w:rsidR="00D45F79">
        <w:t>ing</w:t>
      </w:r>
      <w:r>
        <w:t xml:space="preserve"> PSAK 72 </w:t>
      </w:r>
      <w:r w:rsidR="00C1644C">
        <w:t xml:space="preserve">is </w:t>
      </w:r>
      <w:r>
        <w:t xml:space="preserve">1.8070, which shows that the average share price </w:t>
      </w:r>
      <w:r w:rsidR="00C1644C">
        <w:t xml:space="preserve">is </w:t>
      </w:r>
      <w:r>
        <w:t xml:space="preserve">1.8070 times greater than the company's book value. The average PER after implementing PSAK 72 </w:t>
      </w:r>
      <w:r w:rsidR="00C1644C">
        <w:t xml:space="preserve">is </w:t>
      </w:r>
      <w:r>
        <w:t xml:space="preserve">1.4156, which shows that the average share price after implementing PSAK 72 </w:t>
      </w:r>
      <w:r w:rsidR="00C1644C">
        <w:t xml:space="preserve">is </w:t>
      </w:r>
      <w:r>
        <w:t>1.4156 times greater than the company's book value.</w:t>
      </w:r>
    </w:p>
    <w:p w14:paraId="7B246A76" w14:textId="77777777" w:rsidR="00F83D7E" w:rsidRDefault="00000000">
      <w:pPr>
        <w:spacing w:after="0" w:line="240" w:lineRule="auto"/>
        <w:jc w:val="center"/>
        <w:rPr>
          <w:b/>
        </w:rPr>
      </w:pPr>
      <w:r>
        <w:rPr>
          <w:b/>
          <w:highlight w:val="white"/>
        </w:rPr>
        <w:t>Table 3</w:t>
      </w:r>
      <w:r>
        <w:rPr>
          <w:highlight w:val="white"/>
        </w:rPr>
        <w:t>. Normality Test</w:t>
      </w:r>
    </w:p>
    <w:tbl>
      <w:tblPr>
        <w:tblStyle w:val="a2"/>
        <w:tblW w:w="7520" w:type="dxa"/>
        <w:jc w:val="center"/>
        <w:tblLayout w:type="fixed"/>
        <w:tblLook w:val="0400" w:firstRow="0" w:lastRow="0" w:firstColumn="0" w:lastColumn="0" w:noHBand="0" w:noVBand="1"/>
      </w:tblPr>
      <w:tblGrid>
        <w:gridCol w:w="1510"/>
        <w:gridCol w:w="1100"/>
        <w:gridCol w:w="960"/>
        <w:gridCol w:w="960"/>
        <w:gridCol w:w="1070"/>
        <w:gridCol w:w="960"/>
        <w:gridCol w:w="960"/>
      </w:tblGrid>
      <w:tr w:rsidR="00F83D7E" w14:paraId="25C5873B" w14:textId="77777777" w:rsidTr="00C1644C">
        <w:trPr>
          <w:trHeight w:val="421"/>
          <w:jc w:val="center"/>
        </w:trPr>
        <w:tc>
          <w:tcPr>
            <w:tcW w:w="1510" w:type="dxa"/>
            <w:vMerge w:val="restart"/>
            <w:tcBorders>
              <w:top w:val="single" w:sz="4" w:space="0" w:color="000000"/>
              <w:bottom w:val="single" w:sz="4" w:space="0" w:color="000000"/>
            </w:tcBorders>
            <w:shd w:val="clear" w:color="auto" w:fill="auto"/>
            <w:vAlign w:val="center"/>
          </w:tcPr>
          <w:p w14:paraId="3F153B8F" w14:textId="77777777" w:rsidR="00F83D7E" w:rsidRDefault="00000000">
            <w:pPr>
              <w:spacing w:after="0" w:line="240" w:lineRule="auto"/>
              <w:rPr>
                <w:color w:val="000000"/>
              </w:rPr>
            </w:pPr>
            <w:r>
              <w:rPr>
                <w:color w:val="000000"/>
              </w:rPr>
              <w:t> </w:t>
            </w:r>
          </w:p>
        </w:tc>
        <w:tc>
          <w:tcPr>
            <w:tcW w:w="3020" w:type="dxa"/>
            <w:gridSpan w:val="3"/>
            <w:tcBorders>
              <w:top w:val="single" w:sz="4" w:space="0" w:color="000000"/>
              <w:bottom w:val="single" w:sz="4" w:space="0" w:color="000000"/>
            </w:tcBorders>
            <w:shd w:val="clear" w:color="auto" w:fill="auto"/>
            <w:vAlign w:val="center"/>
          </w:tcPr>
          <w:p w14:paraId="2C9ABF2F" w14:textId="1BA6A3E6" w:rsidR="00F83D7E" w:rsidRDefault="00000000">
            <w:pPr>
              <w:spacing w:after="0" w:line="240" w:lineRule="auto"/>
              <w:jc w:val="center"/>
              <w:rPr>
                <w:color w:val="000000"/>
              </w:rPr>
            </w:pPr>
            <w:r>
              <w:rPr>
                <w:color w:val="000000"/>
              </w:rPr>
              <w:t>Kolmogorov</w:t>
            </w:r>
            <w:r w:rsidR="0029084D">
              <w:rPr>
                <w:color w:val="000000"/>
              </w:rPr>
              <w:t xml:space="preserve"> </w:t>
            </w:r>
            <w:r>
              <w:rPr>
                <w:color w:val="000000"/>
              </w:rPr>
              <w:t>Smirnov</w:t>
            </w:r>
          </w:p>
        </w:tc>
        <w:tc>
          <w:tcPr>
            <w:tcW w:w="2990" w:type="dxa"/>
            <w:gridSpan w:val="3"/>
            <w:tcBorders>
              <w:top w:val="single" w:sz="4" w:space="0" w:color="000000"/>
              <w:bottom w:val="single" w:sz="4" w:space="0" w:color="000000"/>
            </w:tcBorders>
            <w:shd w:val="clear" w:color="auto" w:fill="auto"/>
            <w:vAlign w:val="center"/>
          </w:tcPr>
          <w:p w14:paraId="47A52692" w14:textId="56F8C4F8" w:rsidR="00F83D7E" w:rsidRDefault="00000000">
            <w:pPr>
              <w:spacing w:after="0" w:line="240" w:lineRule="auto"/>
              <w:jc w:val="center"/>
              <w:rPr>
                <w:color w:val="000000"/>
              </w:rPr>
            </w:pPr>
            <w:r>
              <w:rPr>
                <w:color w:val="000000"/>
              </w:rPr>
              <w:t>Shapiro</w:t>
            </w:r>
            <w:r w:rsidR="0029084D">
              <w:rPr>
                <w:color w:val="000000"/>
              </w:rPr>
              <w:t xml:space="preserve"> </w:t>
            </w:r>
            <w:r>
              <w:rPr>
                <w:color w:val="000000"/>
              </w:rPr>
              <w:t>Wilk</w:t>
            </w:r>
          </w:p>
        </w:tc>
      </w:tr>
      <w:tr w:rsidR="00F83D7E" w14:paraId="1B4D4295" w14:textId="77777777" w:rsidTr="00C1644C">
        <w:trPr>
          <w:trHeight w:val="330"/>
          <w:jc w:val="center"/>
        </w:trPr>
        <w:tc>
          <w:tcPr>
            <w:tcW w:w="1510" w:type="dxa"/>
            <w:vMerge/>
            <w:tcBorders>
              <w:top w:val="single" w:sz="4" w:space="0" w:color="000000"/>
              <w:bottom w:val="single" w:sz="4" w:space="0" w:color="000000"/>
            </w:tcBorders>
            <w:shd w:val="clear" w:color="auto" w:fill="auto"/>
            <w:vAlign w:val="center"/>
          </w:tcPr>
          <w:p w14:paraId="25E1B442" w14:textId="77777777" w:rsidR="00F83D7E" w:rsidRDefault="00F83D7E">
            <w:pPr>
              <w:widowControl w:val="0"/>
              <w:pBdr>
                <w:top w:val="nil"/>
                <w:left w:val="nil"/>
                <w:bottom w:val="nil"/>
                <w:right w:val="nil"/>
                <w:between w:val="nil"/>
              </w:pBdr>
              <w:spacing w:after="0" w:line="276" w:lineRule="auto"/>
              <w:rPr>
                <w:color w:val="000000"/>
              </w:rPr>
            </w:pPr>
          </w:p>
        </w:tc>
        <w:tc>
          <w:tcPr>
            <w:tcW w:w="1100" w:type="dxa"/>
            <w:tcBorders>
              <w:top w:val="single" w:sz="4" w:space="0" w:color="000000"/>
              <w:bottom w:val="single" w:sz="4" w:space="0" w:color="000000"/>
            </w:tcBorders>
            <w:shd w:val="clear" w:color="auto" w:fill="auto"/>
            <w:vAlign w:val="center"/>
          </w:tcPr>
          <w:p w14:paraId="5ECD08F0" w14:textId="77777777" w:rsidR="00F83D7E" w:rsidRDefault="00000000">
            <w:pPr>
              <w:spacing w:after="0" w:line="240" w:lineRule="auto"/>
              <w:jc w:val="center"/>
              <w:rPr>
                <w:color w:val="000000"/>
              </w:rPr>
            </w:pPr>
            <w:r>
              <w:rPr>
                <w:color w:val="000000"/>
              </w:rPr>
              <w:t>Statistic</w:t>
            </w:r>
          </w:p>
        </w:tc>
        <w:tc>
          <w:tcPr>
            <w:tcW w:w="960" w:type="dxa"/>
            <w:tcBorders>
              <w:top w:val="single" w:sz="4" w:space="0" w:color="000000"/>
              <w:bottom w:val="single" w:sz="4" w:space="0" w:color="000000"/>
            </w:tcBorders>
            <w:shd w:val="clear" w:color="auto" w:fill="auto"/>
            <w:vAlign w:val="center"/>
          </w:tcPr>
          <w:p w14:paraId="7ADCCB88" w14:textId="77777777" w:rsidR="00F83D7E" w:rsidRDefault="00000000">
            <w:pPr>
              <w:spacing w:after="0" w:line="240" w:lineRule="auto"/>
              <w:jc w:val="center"/>
              <w:rPr>
                <w:color w:val="000000"/>
              </w:rPr>
            </w:pPr>
            <w:r>
              <w:rPr>
                <w:color w:val="000000"/>
              </w:rPr>
              <w:t>df</w:t>
            </w:r>
          </w:p>
        </w:tc>
        <w:tc>
          <w:tcPr>
            <w:tcW w:w="960" w:type="dxa"/>
            <w:tcBorders>
              <w:top w:val="single" w:sz="4" w:space="0" w:color="000000"/>
              <w:bottom w:val="single" w:sz="4" w:space="0" w:color="000000"/>
            </w:tcBorders>
            <w:shd w:val="clear" w:color="auto" w:fill="auto"/>
            <w:vAlign w:val="center"/>
          </w:tcPr>
          <w:p w14:paraId="03791346" w14:textId="77777777" w:rsidR="00F83D7E" w:rsidRDefault="00000000">
            <w:pPr>
              <w:spacing w:after="0" w:line="240" w:lineRule="auto"/>
              <w:jc w:val="center"/>
              <w:rPr>
                <w:color w:val="000000"/>
              </w:rPr>
            </w:pPr>
            <w:r>
              <w:rPr>
                <w:color w:val="000000"/>
              </w:rPr>
              <w:t>Sig.</w:t>
            </w:r>
          </w:p>
        </w:tc>
        <w:tc>
          <w:tcPr>
            <w:tcW w:w="1070" w:type="dxa"/>
            <w:tcBorders>
              <w:top w:val="single" w:sz="4" w:space="0" w:color="000000"/>
              <w:bottom w:val="single" w:sz="4" w:space="0" w:color="000000"/>
            </w:tcBorders>
            <w:shd w:val="clear" w:color="auto" w:fill="auto"/>
            <w:vAlign w:val="center"/>
          </w:tcPr>
          <w:p w14:paraId="56E52970" w14:textId="77777777" w:rsidR="00F83D7E" w:rsidRDefault="00000000">
            <w:pPr>
              <w:spacing w:after="0" w:line="240" w:lineRule="auto"/>
              <w:jc w:val="center"/>
              <w:rPr>
                <w:color w:val="000000"/>
              </w:rPr>
            </w:pPr>
            <w:r>
              <w:rPr>
                <w:color w:val="000000"/>
              </w:rPr>
              <w:t>Statistic</w:t>
            </w:r>
          </w:p>
        </w:tc>
        <w:tc>
          <w:tcPr>
            <w:tcW w:w="960" w:type="dxa"/>
            <w:tcBorders>
              <w:top w:val="single" w:sz="4" w:space="0" w:color="000000"/>
              <w:bottom w:val="single" w:sz="4" w:space="0" w:color="000000"/>
            </w:tcBorders>
            <w:shd w:val="clear" w:color="auto" w:fill="auto"/>
            <w:vAlign w:val="center"/>
          </w:tcPr>
          <w:p w14:paraId="307392B1" w14:textId="7D7A62DE" w:rsidR="00F83D7E" w:rsidRDefault="007C72BB">
            <w:pPr>
              <w:spacing w:after="0" w:line="240" w:lineRule="auto"/>
              <w:jc w:val="center"/>
              <w:rPr>
                <w:color w:val="000000"/>
              </w:rPr>
            </w:pPr>
            <w:r>
              <w:rPr>
                <w:color w:val="000000"/>
              </w:rPr>
              <w:t>Df</w:t>
            </w:r>
          </w:p>
        </w:tc>
        <w:tc>
          <w:tcPr>
            <w:tcW w:w="960" w:type="dxa"/>
            <w:tcBorders>
              <w:top w:val="single" w:sz="4" w:space="0" w:color="000000"/>
              <w:bottom w:val="single" w:sz="4" w:space="0" w:color="000000"/>
            </w:tcBorders>
            <w:shd w:val="clear" w:color="auto" w:fill="auto"/>
            <w:vAlign w:val="center"/>
          </w:tcPr>
          <w:p w14:paraId="5CCF6472" w14:textId="77777777" w:rsidR="00F83D7E" w:rsidRDefault="00000000">
            <w:pPr>
              <w:spacing w:after="0" w:line="240" w:lineRule="auto"/>
              <w:jc w:val="center"/>
              <w:rPr>
                <w:color w:val="000000"/>
              </w:rPr>
            </w:pPr>
            <w:r>
              <w:rPr>
                <w:color w:val="000000"/>
              </w:rPr>
              <w:t>Sig.</w:t>
            </w:r>
          </w:p>
        </w:tc>
      </w:tr>
      <w:tr w:rsidR="00F83D7E" w14:paraId="2FB5D420" w14:textId="77777777" w:rsidTr="00C1644C">
        <w:trPr>
          <w:trHeight w:val="330"/>
          <w:jc w:val="center"/>
        </w:trPr>
        <w:tc>
          <w:tcPr>
            <w:tcW w:w="1510" w:type="dxa"/>
            <w:tcBorders>
              <w:top w:val="single" w:sz="4" w:space="0" w:color="000000"/>
            </w:tcBorders>
            <w:shd w:val="clear" w:color="auto" w:fill="auto"/>
            <w:vAlign w:val="center"/>
          </w:tcPr>
          <w:p w14:paraId="7E000772" w14:textId="77777777" w:rsidR="00F83D7E" w:rsidRDefault="00000000">
            <w:pPr>
              <w:spacing w:after="0" w:line="240" w:lineRule="auto"/>
              <w:rPr>
                <w:color w:val="000000"/>
              </w:rPr>
            </w:pPr>
            <w:r>
              <w:rPr>
                <w:color w:val="000000"/>
              </w:rPr>
              <w:t>CR_Before</w:t>
            </w:r>
          </w:p>
        </w:tc>
        <w:tc>
          <w:tcPr>
            <w:tcW w:w="1100" w:type="dxa"/>
            <w:tcBorders>
              <w:top w:val="single" w:sz="4" w:space="0" w:color="000000"/>
            </w:tcBorders>
            <w:shd w:val="clear" w:color="auto" w:fill="auto"/>
            <w:vAlign w:val="center"/>
          </w:tcPr>
          <w:p w14:paraId="622A9EE4" w14:textId="77777777" w:rsidR="00F83D7E" w:rsidRDefault="00000000">
            <w:pPr>
              <w:spacing w:after="0" w:line="240" w:lineRule="auto"/>
              <w:jc w:val="right"/>
              <w:rPr>
                <w:color w:val="000000"/>
              </w:rPr>
            </w:pPr>
            <w:r>
              <w:rPr>
                <w:color w:val="000000"/>
              </w:rPr>
              <w:t>0.187</w:t>
            </w:r>
          </w:p>
        </w:tc>
        <w:tc>
          <w:tcPr>
            <w:tcW w:w="960" w:type="dxa"/>
            <w:tcBorders>
              <w:top w:val="single" w:sz="4" w:space="0" w:color="000000"/>
            </w:tcBorders>
            <w:shd w:val="clear" w:color="auto" w:fill="auto"/>
            <w:vAlign w:val="center"/>
          </w:tcPr>
          <w:p w14:paraId="181E820C" w14:textId="77777777" w:rsidR="00F83D7E" w:rsidRDefault="00000000">
            <w:pPr>
              <w:spacing w:after="0" w:line="240" w:lineRule="auto"/>
              <w:jc w:val="right"/>
              <w:rPr>
                <w:color w:val="000000"/>
              </w:rPr>
            </w:pPr>
            <w:r>
              <w:rPr>
                <w:color w:val="000000"/>
              </w:rPr>
              <w:t>59</w:t>
            </w:r>
          </w:p>
        </w:tc>
        <w:tc>
          <w:tcPr>
            <w:tcW w:w="960" w:type="dxa"/>
            <w:tcBorders>
              <w:top w:val="single" w:sz="4" w:space="0" w:color="000000"/>
            </w:tcBorders>
            <w:shd w:val="clear" w:color="auto" w:fill="auto"/>
            <w:vAlign w:val="center"/>
          </w:tcPr>
          <w:p w14:paraId="656FCB71" w14:textId="77777777" w:rsidR="00F83D7E" w:rsidRDefault="00000000">
            <w:pPr>
              <w:spacing w:after="0" w:line="240" w:lineRule="auto"/>
              <w:jc w:val="right"/>
              <w:rPr>
                <w:color w:val="000000"/>
              </w:rPr>
            </w:pPr>
            <w:r>
              <w:rPr>
                <w:color w:val="000000"/>
              </w:rPr>
              <w:t>0</w:t>
            </w:r>
          </w:p>
        </w:tc>
        <w:tc>
          <w:tcPr>
            <w:tcW w:w="1070" w:type="dxa"/>
            <w:tcBorders>
              <w:top w:val="single" w:sz="4" w:space="0" w:color="000000"/>
            </w:tcBorders>
            <w:shd w:val="clear" w:color="auto" w:fill="auto"/>
            <w:vAlign w:val="center"/>
          </w:tcPr>
          <w:p w14:paraId="0CDC9A07" w14:textId="77777777" w:rsidR="00F83D7E" w:rsidRDefault="00000000">
            <w:pPr>
              <w:spacing w:after="0" w:line="240" w:lineRule="auto"/>
              <w:jc w:val="right"/>
              <w:rPr>
                <w:color w:val="000000"/>
              </w:rPr>
            </w:pPr>
            <w:r>
              <w:rPr>
                <w:color w:val="000000"/>
              </w:rPr>
              <w:t>0.776</w:t>
            </w:r>
          </w:p>
        </w:tc>
        <w:tc>
          <w:tcPr>
            <w:tcW w:w="960" w:type="dxa"/>
            <w:tcBorders>
              <w:top w:val="single" w:sz="4" w:space="0" w:color="000000"/>
            </w:tcBorders>
            <w:shd w:val="clear" w:color="auto" w:fill="auto"/>
            <w:vAlign w:val="center"/>
          </w:tcPr>
          <w:p w14:paraId="060DA835" w14:textId="77777777" w:rsidR="00F83D7E" w:rsidRDefault="00000000">
            <w:pPr>
              <w:spacing w:after="0" w:line="240" w:lineRule="auto"/>
              <w:jc w:val="right"/>
              <w:rPr>
                <w:color w:val="000000"/>
              </w:rPr>
            </w:pPr>
            <w:r>
              <w:rPr>
                <w:color w:val="000000"/>
              </w:rPr>
              <w:t>59</w:t>
            </w:r>
          </w:p>
        </w:tc>
        <w:tc>
          <w:tcPr>
            <w:tcW w:w="960" w:type="dxa"/>
            <w:tcBorders>
              <w:top w:val="single" w:sz="4" w:space="0" w:color="000000"/>
            </w:tcBorders>
            <w:shd w:val="clear" w:color="auto" w:fill="auto"/>
            <w:vAlign w:val="center"/>
          </w:tcPr>
          <w:p w14:paraId="54FAAC6E" w14:textId="77777777" w:rsidR="00F83D7E" w:rsidRDefault="00000000">
            <w:pPr>
              <w:spacing w:after="0" w:line="240" w:lineRule="auto"/>
              <w:jc w:val="right"/>
              <w:rPr>
                <w:color w:val="000000"/>
              </w:rPr>
            </w:pPr>
            <w:r>
              <w:rPr>
                <w:color w:val="000000"/>
              </w:rPr>
              <w:t>0</w:t>
            </w:r>
          </w:p>
        </w:tc>
      </w:tr>
      <w:tr w:rsidR="00F83D7E" w14:paraId="15913953" w14:textId="77777777" w:rsidTr="00C1644C">
        <w:trPr>
          <w:trHeight w:val="330"/>
          <w:jc w:val="center"/>
        </w:trPr>
        <w:tc>
          <w:tcPr>
            <w:tcW w:w="1510" w:type="dxa"/>
            <w:tcBorders>
              <w:top w:val="nil"/>
            </w:tcBorders>
            <w:shd w:val="clear" w:color="auto" w:fill="auto"/>
            <w:vAlign w:val="center"/>
          </w:tcPr>
          <w:p w14:paraId="6D979322" w14:textId="77777777" w:rsidR="00F83D7E" w:rsidRDefault="00000000">
            <w:pPr>
              <w:spacing w:after="0" w:line="240" w:lineRule="auto"/>
              <w:rPr>
                <w:color w:val="000000"/>
              </w:rPr>
            </w:pPr>
            <w:r>
              <w:rPr>
                <w:color w:val="000000"/>
              </w:rPr>
              <w:t>CR_After</w:t>
            </w:r>
          </w:p>
        </w:tc>
        <w:tc>
          <w:tcPr>
            <w:tcW w:w="1100" w:type="dxa"/>
            <w:tcBorders>
              <w:top w:val="nil"/>
            </w:tcBorders>
            <w:shd w:val="clear" w:color="auto" w:fill="auto"/>
            <w:vAlign w:val="center"/>
          </w:tcPr>
          <w:p w14:paraId="6AF47270" w14:textId="77777777" w:rsidR="00F83D7E" w:rsidRDefault="00000000">
            <w:pPr>
              <w:spacing w:after="0" w:line="240" w:lineRule="auto"/>
              <w:jc w:val="right"/>
              <w:rPr>
                <w:color w:val="000000"/>
              </w:rPr>
            </w:pPr>
            <w:r>
              <w:rPr>
                <w:color w:val="000000"/>
              </w:rPr>
              <w:t>0.291</w:t>
            </w:r>
          </w:p>
        </w:tc>
        <w:tc>
          <w:tcPr>
            <w:tcW w:w="960" w:type="dxa"/>
            <w:tcBorders>
              <w:top w:val="nil"/>
            </w:tcBorders>
            <w:shd w:val="clear" w:color="auto" w:fill="auto"/>
            <w:vAlign w:val="center"/>
          </w:tcPr>
          <w:p w14:paraId="3ED732E4"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0C82693"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797CB5C2" w14:textId="77777777" w:rsidR="00F83D7E" w:rsidRDefault="00000000">
            <w:pPr>
              <w:spacing w:after="0" w:line="240" w:lineRule="auto"/>
              <w:jc w:val="right"/>
              <w:rPr>
                <w:color w:val="000000"/>
              </w:rPr>
            </w:pPr>
            <w:r>
              <w:rPr>
                <w:color w:val="000000"/>
              </w:rPr>
              <w:t>0.575</w:t>
            </w:r>
          </w:p>
        </w:tc>
        <w:tc>
          <w:tcPr>
            <w:tcW w:w="960" w:type="dxa"/>
            <w:tcBorders>
              <w:top w:val="nil"/>
            </w:tcBorders>
            <w:shd w:val="clear" w:color="auto" w:fill="auto"/>
            <w:vAlign w:val="center"/>
          </w:tcPr>
          <w:p w14:paraId="4055C3F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354AE71E" w14:textId="77777777" w:rsidR="00F83D7E" w:rsidRDefault="00000000">
            <w:pPr>
              <w:spacing w:after="0" w:line="240" w:lineRule="auto"/>
              <w:jc w:val="right"/>
              <w:rPr>
                <w:color w:val="000000"/>
              </w:rPr>
            </w:pPr>
            <w:r>
              <w:rPr>
                <w:color w:val="000000"/>
              </w:rPr>
              <w:t>0</w:t>
            </w:r>
          </w:p>
        </w:tc>
      </w:tr>
      <w:tr w:rsidR="00F83D7E" w14:paraId="559E9634" w14:textId="77777777" w:rsidTr="00C1644C">
        <w:trPr>
          <w:trHeight w:val="330"/>
          <w:jc w:val="center"/>
        </w:trPr>
        <w:tc>
          <w:tcPr>
            <w:tcW w:w="1510" w:type="dxa"/>
            <w:tcBorders>
              <w:top w:val="nil"/>
            </w:tcBorders>
            <w:shd w:val="clear" w:color="auto" w:fill="auto"/>
            <w:vAlign w:val="center"/>
          </w:tcPr>
          <w:p w14:paraId="7F50ED4E" w14:textId="77777777" w:rsidR="00F83D7E" w:rsidRDefault="00000000">
            <w:pPr>
              <w:spacing w:after="0" w:line="240" w:lineRule="auto"/>
              <w:rPr>
                <w:color w:val="000000"/>
              </w:rPr>
            </w:pPr>
            <w:r>
              <w:rPr>
                <w:color w:val="000000"/>
              </w:rPr>
              <w:t>ROA_Before</w:t>
            </w:r>
          </w:p>
        </w:tc>
        <w:tc>
          <w:tcPr>
            <w:tcW w:w="1100" w:type="dxa"/>
            <w:tcBorders>
              <w:top w:val="nil"/>
            </w:tcBorders>
            <w:shd w:val="clear" w:color="auto" w:fill="auto"/>
            <w:vAlign w:val="center"/>
          </w:tcPr>
          <w:p w14:paraId="5EACC677" w14:textId="77777777" w:rsidR="00F83D7E" w:rsidRDefault="00000000">
            <w:pPr>
              <w:spacing w:after="0" w:line="240" w:lineRule="auto"/>
              <w:jc w:val="right"/>
              <w:rPr>
                <w:color w:val="000000"/>
              </w:rPr>
            </w:pPr>
            <w:r>
              <w:rPr>
                <w:color w:val="000000"/>
              </w:rPr>
              <w:t>0.097</w:t>
            </w:r>
          </w:p>
        </w:tc>
        <w:tc>
          <w:tcPr>
            <w:tcW w:w="960" w:type="dxa"/>
            <w:tcBorders>
              <w:top w:val="nil"/>
            </w:tcBorders>
            <w:shd w:val="clear" w:color="auto" w:fill="auto"/>
            <w:vAlign w:val="center"/>
          </w:tcPr>
          <w:p w14:paraId="2546AA4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22FE7674" w14:textId="77777777" w:rsidR="00F83D7E" w:rsidRDefault="00000000">
            <w:pPr>
              <w:spacing w:after="0" w:line="240" w:lineRule="auto"/>
              <w:jc w:val="right"/>
              <w:rPr>
                <w:color w:val="000000"/>
              </w:rPr>
            </w:pPr>
            <w:r>
              <w:rPr>
                <w:color w:val="000000"/>
              </w:rPr>
              <w:t>0.2</w:t>
            </w:r>
          </w:p>
        </w:tc>
        <w:tc>
          <w:tcPr>
            <w:tcW w:w="1070" w:type="dxa"/>
            <w:tcBorders>
              <w:top w:val="nil"/>
            </w:tcBorders>
            <w:shd w:val="clear" w:color="auto" w:fill="auto"/>
            <w:vAlign w:val="center"/>
          </w:tcPr>
          <w:p w14:paraId="1712F6C4" w14:textId="77777777" w:rsidR="00F83D7E" w:rsidRDefault="00000000">
            <w:pPr>
              <w:spacing w:after="0" w:line="240" w:lineRule="auto"/>
              <w:jc w:val="right"/>
              <w:rPr>
                <w:color w:val="000000"/>
              </w:rPr>
            </w:pPr>
            <w:r>
              <w:rPr>
                <w:color w:val="000000"/>
              </w:rPr>
              <w:t>0.98</w:t>
            </w:r>
          </w:p>
        </w:tc>
        <w:tc>
          <w:tcPr>
            <w:tcW w:w="960" w:type="dxa"/>
            <w:tcBorders>
              <w:top w:val="nil"/>
            </w:tcBorders>
            <w:shd w:val="clear" w:color="auto" w:fill="auto"/>
            <w:vAlign w:val="center"/>
          </w:tcPr>
          <w:p w14:paraId="4D9180A3"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200D956" w14:textId="77777777" w:rsidR="00F83D7E" w:rsidRDefault="00000000">
            <w:pPr>
              <w:spacing w:after="0" w:line="240" w:lineRule="auto"/>
              <w:jc w:val="right"/>
              <w:rPr>
                <w:color w:val="000000"/>
              </w:rPr>
            </w:pPr>
            <w:r>
              <w:rPr>
                <w:color w:val="000000"/>
              </w:rPr>
              <w:t>0.438</w:t>
            </w:r>
          </w:p>
        </w:tc>
      </w:tr>
      <w:tr w:rsidR="00F83D7E" w14:paraId="28E15AFE" w14:textId="77777777" w:rsidTr="00C1644C">
        <w:trPr>
          <w:trHeight w:val="330"/>
          <w:jc w:val="center"/>
        </w:trPr>
        <w:tc>
          <w:tcPr>
            <w:tcW w:w="1510" w:type="dxa"/>
            <w:tcBorders>
              <w:top w:val="nil"/>
            </w:tcBorders>
            <w:shd w:val="clear" w:color="auto" w:fill="auto"/>
            <w:vAlign w:val="center"/>
          </w:tcPr>
          <w:p w14:paraId="3FF51A30" w14:textId="77777777" w:rsidR="00F83D7E" w:rsidRDefault="00000000">
            <w:pPr>
              <w:spacing w:after="0" w:line="240" w:lineRule="auto"/>
              <w:rPr>
                <w:color w:val="000000"/>
              </w:rPr>
            </w:pPr>
            <w:r>
              <w:rPr>
                <w:color w:val="000000"/>
              </w:rPr>
              <w:t>ROA_After</w:t>
            </w:r>
          </w:p>
        </w:tc>
        <w:tc>
          <w:tcPr>
            <w:tcW w:w="1100" w:type="dxa"/>
            <w:tcBorders>
              <w:top w:val="nil"/>
            </w:tcBorders>
            <w:shd w:val="clear" w:color="auto" w:fill="auto"/>
            <w:vAlign w:val="center"/>
          </w:tcPr>
          <w:p w14:paraId="38FA8059" w14:textId="77777777" w:rsidR="00F83D7E" w:rsidRDefault="00000000">
            <w:pPr>
              <w:spacing w:after="0" w:line="240" w:lineRule="auto"/>
              <w:jc w:val="right"/>
              <w:rPr>
                <w:color w:val="000000"/>
              </w:rPr>
            </w:pPr>
            <w:r>
              <w:rPr>
                <w:color w:val="000000"/>
              </w:rPr>
              <w:t>0.209</w:t>
            </w:r>
          </w:p>
        </w:tc>
        <w:tc>
          <w:tcPr>
            <w:tcW w:w="960" w:type="dxa"/>
            <w:tcBorders>
              <w:top w:val="nil"/>
            </w:tcBorders>
            <w:shd w:val="clear" w:color="auto" w:fill="auto"/>
            <w:vAlign w:val="center"/>
          </w:tcPr>
          <w:p w14:paraId="7D1AB929"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053E4A24"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41AEFE73" w14:textId="77777777" w:rsidR="00F83D7E" w:rsidRDefault="00000000">
            <w:pPr>
              <w:spacing w:after="0" w:line="240" w:lineRule="auto"/>
              <w:jc w:val="right"/>
              <w:rPr>
                <w:color w:val="000000"/>
              </w:rPr>
            </w:pPr>
            <w:r>
              <w:rPr>
                <w:color w:val="000000"/>
              </w:rPr>
              <w:t>0.804</w:t>
            </w:r>
          </w:p>
        </w:tc>
        <w:tc>
          <w:tcPr>
            <w:tcW w:w="960" w:type="dxa"/>
            <w:tcBorders>
              <w:top w:val="nil"/>
            </w:tcBorders>
            <w:shd w:val="clear" w:color="auto" w:fill="auto"/>
            <w:vAlign w:val="center"/>
          </w:tcPr>
          <w:p w14:paraId="71646488"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33719EAE" w14:textId="77777777" w:rsidR="00F83D7E" w:rsidRDefault="00000000">
            <w:pPr>
              <w:spacing w:after="0" w:line="240" w:lineRule="auto"/>
              <w:jc w:val="right"/>
              <w:rPr>
                <w:color w:val="000000"/>
              </w:rPr>
            </w:pPr>
            <w:r>
              <w:rPr>
                <w:color w:val="000000"/>
              </w:rPr>
              <w:t>0</w:t>
            </w:r>
          </w:p>
        </w:tc>
      </w:tr>
      <w:tr w:rsidR="00F83D7E" w14:paraId="4ACF1E2B" w14:textId="77777777" w:rsidTr="00C1644C">
        <w:trPr>
          <w:trHeight w:val="330"/>
          <w:jc w:val="center"/>
        </w:trPr>
        <w:tc>
          <w:tcPr>
            <w:tcW w:w="1510" w:type="dxa"/>
            <w:tcBorders>
              <w:top w:val="nil"/>
            </w:tcBorders>
            <w:shd w:val="clear" w:color="auto" w:fill="auto"/>
            <w:vAlign w:val="center"/>
          </w:tcPr>
          <w:p w14:paraId="686C9DAF" w14:textId="77777777" w:rsidR="00F83D7E" w:rsidRDefault="00000000">
            <w:pPr>
              <w:spacing w:after="0" w:line="240" w:lineRule="auto"/>
              <w:rPr>
                <w:color w:val="000000"/>
              </w:rPr>
            </w:pPr>
            <w:r>
              <w:rPr>
                <w:color w:val="000000"/>
              </w:rPr>
              <w:t>ROE_Before</w:t>
            </w:r>
          </w:p>
        </w:tc>
        <w:tc>
          <w:tcPr>
            <w:tcW w:w="1100" w:type="dxa"/>
            <w:tcBorders>
              <w:top w:val="nil"/>
            </w:tcBorders>
            <w:shd w:val="clear" w:color="auto" w:fill="auto"/>
            <w:vAlign w:val="center"/>
          </w:tcPr>
          <w:p w14:paraId="29EA337E" w14:textId="77777777" w:rsidR="00F83D7E" w:rsidRDefault="00000000">
            <w:pPr>
              <w:spacing w:after="0" w:line="240" w:lineRule="auto"/>
              <w:jc w:val="right"/>
              <w:rPr>
                <w:color w:val="000000"/>
              </w:rPr>
            </w:pPr>
            <w:r>
              <w:rPr>
                <w:color w:val="000000"/>
              </w:rPr>
              <w:t>0.323</w:t>
            </w:r>
          </w:p>
        </w:tc>
        <w:tc>
          <w:tcPr>
            <w:tcW w:w="960" w:type="dxa"/>
            <w:tcBorders>
              <w:top w:val="nil"/>
            </w:tcBorders>
            <w:shd w:val="clear" w:color="auto" w:fill="auto"/>
            <w:vAlign w:val="center"/>
          </w:tcPr>
          <w:p w14:paraId="18C6385A"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076C846E"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6921181F" w14:textId="77777777" w:rsidR="00F83D7E" w:rsidRDefault="00000000">
            <w:pPr>
              <w:spacing w:after="0" w:line="240" w:lineRule="auto"/>
              <w:jc w:val="right"/>
              <w:rPr>
                <w:color w:val="000000"/>
              </w:rPr>
            </w:pPr>
            <w:r>
              <w:rPr>
                <w:color w:val="000000"/>
              </w:rPr>
              <w:t>0.326</w:t>
            </w:r>
          </w:p>
        </w:tc>
        <w:tc>
          <w:tcPr>
            <w:tcW w:w="960" w:type="dxa"/>
            <w:tcBorders>
              <w:top w:val="nil"/>
            </w:tcBorders>
            <w:shd w:val="clear" w:color="auto" w:fill="auto"/>
            <w:vAlign w:val="center"/>
          </w:tcPr>
          <w:p w14:paraId="35A744E3"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D0A9A52" w14:textId="77777777" w:rsidR="00F83D7E" w:rsidRDefault="00000000">
            <w:pPr>
              <w:spacing w:after="0" w:line="240" w:lineRule="auto"/>
              <w:jc w:val="right"/>
              <w:rPr>
                <w:color w:val="000000"/>
              </w:rPr>
            </w:pPr>
            <w:r>
              <w:rPr>
                <w:color w:val="000000"/>
              </w:rPr>
              <w:t>0</w:t>
            </w:r>
          </w:p>
        </w:tc>
      </w:tr>
      <w:tr w:rsidR="00F83D7E" w14:paraId="5CEE388D" w14:textId="77777777" w:rsidTr="00C1644C">
        <w:trPr>
          <w:trHeight w:val="330"/>
          <w:jc w:val="center"/>
        </w:trPr>
        <w:tc>
          <w:tcPr>
            <w:tcW w:w="1510" w:type="dxa"/>
            <w:tcBorders>
              <w:top w:val="nil"/>
            </w:tcBorders>
            <w:shd w:val="clear" w:color="auto" w:fill="auto"/>
            <w:vAlign w:val="center"/>
          </w:tcPr>
          <w:p w14:paraId="06C5447F" w14:textId="77777777" w:rsidR="00F83D7E" w:rsidRDefault="00000000">
            <w:pPr>
              <w:spacing w:after="0" w:line="240" w:lineRule="auto"/>
              <w:rPr>
                <w:color w:val="000000"/>
              </w:rPr>
            </w:pPr>
            <w:r>
              <w:rPr>
                <w:color w:val="000000"/>
              </w:rPr>
              <w:t>ROE_After</w:t>
            </w:r>
          </w:p>
        </w:tc>
        <w:tc>
          <w:tcPr>
            <w:tcW w:w="1100" w:type="dxa"/>
            <w:tcBorders>
              <w:top w:val="nil"/>
            </w:tcBorders>
            <w:shd w:val="clear" w:color="auto" w:fill="auto"/>
            <w:vAlign w:val="center"/>
          </w:tcPr>
          <w:p w14:paraId="58E16CB0" w14:textId="77777777" w:rsidR="00F83D7E" w:rsidRDefault="00000000">
            <w:pPr>
              <w:spacing w:after="0" w:line="240" w:lineRule="auto"/>
              <w:jc w:val="right"/>
              <w:rPr>
                <w:color w:val="000000"/>
              </w:rPr>
            </w:pPr>
            <w:r>
              <w:rPr>
                <w:color w:val="000000"/>
              </w:rPr>
              <w:t>0.292</w:t>
            </w:r>
          </w:p>
        </w:tc>
        <w:tc>
          <w:tcPr>
            <w:tcW w:w="960" w:type="dxa"/>
            <w:tcBorders>
              <w:top w:val="nil"/>
            </w:tcBorders>
            <w:shd w:val="clear" w:color="auto" w:fill="auto"/>
            <w:vAlign w:val="center"/>
          </w:tcPr>
          <w:p w14:paraId="5B1390C0"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18A4F669"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0B8DD9C3" w14:textId="77777777" w:rsidR="00F83D7E" w:rsidRDefault="00000000">
            <w:pPr>
              <w:spacing w:after="0" w:line="240" w:lineRule="auto"/>
              <w:jc w:val="right"/>
              <w:rPr>
                <w:color w:val="000000"/>
              </w:rPr>
            </w:pPr>
            <w:r>
              <w:rPr>
                <w:color w:val="000000"/>
              </w:rPr>
              <w:t>0.373</w:t>
            </w:r>
          </w:p>
        </w:tc>
        <w:tc>
          <w:tcPr>
            <w:tcW w:w="960" w:type="dxa"/>
            <w:tcBorders>
              <w:top w:val="nil"/>
            </w:tcBorders>
            <w:shd w:val="clear" w:color="auto" w:fill="auto"/>
            <w:vAlign w:val="center"/>
          </w:tcPr>
          <w:p w14:paraId="5BE7C97B"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6296400" w14:textId="77777777" w:rsidR="00F83D7E" w:rsidRDefault="00000000">
            <w:pPr>
              <w:spacing w:after="0" w:line="240" w:lineRule="auto"/>
              <w:jc w:val="right"/>
              <w:rPr>
                <w:color w:val="000000"/>
              </w:rPr>
            </w:pPr>
            <w:r>
              <w:rPr>
                <w:color w:val="000000"/>
              </w:rPr>
              <w:t>0</w:t>
            </w:r>
          </w:p>
        </w:tc>
      </w:tr>
      <w:tr w:rsidR="00F83D7E" w14:paraId="71C4BDDF" w14:textId="77777777" w:rsidTr="00C1644C">
        <w:trPr>
          <w:trHeight w:val="330"/>
          <w:jc w:val="center"/>
        </w:trPr>
        <w:tc>
          <w:tcPr>
            <w:tcW w:w="1510" w:type="dxa"/>
            <w:tcBorders>
              <w:top w:val="nil"/>
            </w:tcBorders>
            <w:shd w:val="clear" w:color="auto" w:fill="auto"/>
            <w:vAlign w:val="center"/>
          </w:tcPr>
          <w:p w14:paraId="39FC7049" w14:textId="77777777" w:rsidR="00F83D7E" w:rsidRDefault="00000000">
            <w:pPr>
              <w:spacing w:after="0" w:line="240" w:lineRule="auto"/>
              <w:rPr>
                <w:color w:val="000000"/>
              </w:rPr>
            </w:pPr>
            <w:r>
              <w:rPr>
                <w:color w:val="000000"/>
              </w:rPr>
              <w:t>NPM_Before</w:t>
            </w:r>
          </w:p>
        </w:tc>
        <w:tc>
          <w:tcPr>
            <w:tcW w:w="1100" w:type="dxa"/>
            <w:tcBorders>
              <w:top w:val="nil"/>
            </w:tcBorders>
            <w:shd w:val="clear" w:color="auto" w:fill="auto"/>
            <w:vAlign w:val="center"/>
          </w:tcPr>
          <w:p w14:paraId="246C6C0D" w14:textId="77777777" w:rsidR="00F83D7E" w:rsidRDefault="00000000">
            <w:pPr>
              <w:spacing w:after="0" w:line="240" w:lineRule="auto"/>
              <w:jc w:val="right"/>
              <w:rPr>
                <w:color w:val="000000"/>
              </w:rPr>
            </w:pPr>
            <w:r>
              <w:rPr>
                <w:color w:val="000000"/>
              </w:rPr>
              <w:t>0.129</w:t>
            </w:r>
          </w:p>
        </w:tc>
        <w:tc>
          <w:tcPr>
            <w:tcW w:w="960" w:type="dxa"/>
            <w:tcBorders>
              <w:top w:val="nil"/>
            </w:tcBorders>
            <w:shd w:val="clear" w:color="auto" w:fill="auto"/>
            <w:vAlign w:val="center"/>
          </w:tcPr>
          <w:p w14:paraId="6E79E5CB"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557189FE" w14:textId="77777777" w:rsidR="00F83D7E" w:rsidRDefault="00000000">
            <w:pPr>
              <w:spacing w:after="0" w:line="240" w:lineRule="auto"/>
              <w:jc w:val="right"/>
              <w:rPr>
                <w:color w:val="000000"/>
              </w:rPr>
            </w:pPr>
            <w:r>
              <w:rPr>
                <w:color w:val="000000"/>
              </w:rPr>
              <w:t>0.016</w:t>
            </w:r>
          </w:p>
        </w:tc>
        <w:tc>
          <w:tcPr>
            <w:tcW w:w="1070" w:type="dxa"/>
            <w:tcBorders>
              <w:top w:val="nil"/>
            </w:tcBorders>
            <w:shd w:val="clear" w:color="auto" w:fill="auto"/>
            <w:vAlign w:val="center"/>
          </w:tcPr>
          <w:p w14:paraId="7FC7A8D1" w14:textId="77777777" w:rsidR="00F83D7E" w:rsidRDefault="00000000">
            <w:pPr>
              <w:spacing w:after="0" w:line="240" w:lineRule="auto"/>
              <w:jc w:val="right"/>
              <w:rPr>
                <w:color w:val="000000"/>
              </w:rPr>
            </w:pPr>
            <w:r>
              <w:rPr>
                <w:color w:val="000000"/>
              </w:rPr>
              <w:t>0.873</w:t>
            </w:r>
          </w:p>
        </w:tc>
        <w:tc>
          <w:tcPr>
            <w:tcW w:w="960" w:type="dxa"/>
            <w:tcBorders>
              <w:top w:val="nil"/>
            </w:tcBorders>
            <w:shd w:val="clear" w:color="auto" w:fill="auto"/>
            <w:vAlign w:val="center"/>
          </w:tcPr>
          <w:p w14:paraId="29A4481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1E6DB4FB" w14:textId="77777777" w:rsidR="00F83D7E" w:rsidRDefault="00000000">
            <w:pPr>
              <w:spacing w:after="0" w:line="240" w:lineRule="auto"/>
              <w:jc w:val="right"/>
              <w:rPr>
                <w:color w:val="000000"/>
              </w:rPr>
            </w:pPr>
            <w:r>
              <w:rPr>
                <w:color w:val="000000"/>
              </w:rPr>
              <w:t>0</w:t>
            </w:r>
          </w:p>
        </w:tc>
      </w:tr>
      <w:tr w:rsidR="00F83D7E" w14:paraId="68A723FF" w14:textId="77777777" w:rsidTr="00C1644C">
        <w:trPr>
          <w:trHeight w:val="330"/>
          <w:jc w:val="center"/>
        </w:trPr>
        <w:tc>
          <w:tcPr>
            <w:tcW w:w="1510" w:type="dxa"/>
            <w:tcBorders>
              <w:top w:val="nil"/>
            </w:tcBorders>
            <w:shd w:val="clear" w:color="auto" w:fill="auto"/>
            <w:vAlign w:val="center"/>
          </w:tcPr>
          <w:p w14:paraId="23B51929" w14:textId="77777777" w:rsidR="00F83D7E" w:rsidRDefault="00000000">
            <w:pPr>
              <w:spacing w:after="0" w:line="240" w:lineRule="auto"/>
              <w:rPr>
                <w:color w:val="000000"/>
              </w:rPr>
            </w:pPr>
            <w:r>
              <w:rPr>
                <w:color w:val="000000"/>
              </w:rPr>
              <w:t>NPM_After</w:t>
            </w:r>
          </w:p>
        </w:tc>
        <w:tc>
          <w:tcPr>
            <w:tcW w:w="1100" w:type="dxa"/>
            <w:tcBorders>
              <w:top w:val="nil"/>
            </w:tcBorders>
            <w:shd w:val="clear" w:color="auto" w:fill="auto"/>
            <w:vAlign w:val="center"/>
          </w:tcPr>
          <w:p w14:paraId="75930B30" w14:textId="77777777" w:rsidR="00F83D7E" w:rsidRDefault="00000000">
            <w:pPr>
              <w:spacing w:after="0" w:line="240" w:lineRule="auto"/>
              <w:jc w:val="right"/>
              <w:rPr>
                <w:color w:val="000000"/>
              </w:rPr>
            </w:pPr>
            <w:r>
              <w:rPr>
                <w:color w:val="000000"/>
              </w:rPr>
              <w:t>0.169</w:t>
            </w:r>
          </w:p>
        </w:tc>
        <w:tc>
          <w:tcPr>
            <w:tcW w:w="960" w:type="dxa"/>
            <w:tcBorders>
              <w:top w:val="nil"/>
            </w:tcBorders>
            <w:shd w:val="clear" w:color="auto" w:fill="auto"/>
            <w:vAlign w:val="center"/>
          </w:tcPr>
          <w:p w14:paraId="252133B7"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05C9AFF4"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256FC729" w14:textId="77777777" w:rsidR="00F83D7E" w:rsidRDefault="00000000">
            <w:pPr>
              <w:spacing w:after="0" w:line="240" w:lineRule="auto"/>
              <w:jc w:val="right"/>
              <w:rPr>
                <w:color w:val="000000"/>
              </w:rPr>
            </w:pPr>
            <w:r>
              <w:rPr>
                <w:color w:val="000000"/>
              </w:rPr>
              <w:t>0.808</w:t>
            </w:r>
          </w:p>
        </w:tc>
        <w:tc>
          <w:tcPr>
            <w:tcW w:w="960" w:type="dxa"/>
            <w:tcBorders>
              <w:top w:val="nil"/>
            </w:tcBorders>
            <w:shd w:val="clear" w:color="auto" w:fill="auto"/>
            <w:vAlign w:val="center"/>
          </w:tcPr>
          <w:p w14:paraId="4C38271E"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21417EB8" w14:textId="77777777" w:rsidR="00F83D7E" w:rsidRDefault="00000000">
            <w:pPr>
              <w:spacing w:after="0" w:line="240" w:lineRule="auto"/>
              <w:jc w:val="right"/>
              <w:rPr>
                <w:color w:val="000000"/>
              </w:rPr>
            </w:pPr>
            <w:r>
              <w:rPr>
                <w:color w:val="000000"/>
              </w:rPr>
              <w:t>0</w:t>
            </w:r>
          </w:p>
        </w:tc>
      </w:tr>
      <w:tr w:rsidR="00F83D7E" w14:paraId="43185EC2" w14:textId="77777777" w:rsidTr="00C1644C">
        <w:trPr>
          <w:trHeight w:val="330"/>
          <w:jc w:val="center"/>
        </w:trPr>
        <w:tc>
          <w:tcPr>
            <w:tcW w:w="1510" w:type="dxa"/>
            <w:tcBorders>
              <w:top w:val="nil"/>
            </w:tcBorders>
            <w:shd w:val="clear" w:color="auto" w:fill="auto"/>
            <w:vAlign w:val="center"/>
          </w:tcPr>
          <w:p w14:paraId="6F1CCE97" w14:textId="77777777" w:rsidR="00F83D7E" w:rsidRDefault="00000000">
            <w:pPr>
              <w:spacing w:after="0" w:line="240" w:lineRule="auto"/>
              <w:rPr>
                <w:color w:val="000000"/>
              </w:rPr>
            </w:pPr>
            <w:r>
              <w:rPr>
                <w:color w:val="000000"/>
              </w:rPr>
              <w:t>DAR_Before</w:t>
            </w:r>
          </w:p>
        </w:tc>
        <w:tc>
          <w:tcPr>
            <w:tcW w:w="1100" w:type="dxa"/>
            <w:tcBorders>
              <w:top w:val="nil"/>
            </w:tcBorders>
            <w:shd w:val="clear" w:color="auto" w:fill="auto"/>
            <w:vAlign w:val="center"/>
          </w:tcPr>
          <w:p w14:paraId="3F2E78B5" w14:textId="77777777" w:rsidR="00F83D7E" w:rsidRDefault="00000000">
            <w:pPr>
              <w:spacing w:after="0" w:line="240" w:lineRule="auto"/>
              <w:jc w:val="right"/>
              <w:rPr>
                <w:color w:val="000000"/>
              </w:rPr>
            </w:pPr>
            <w:r>
              <w:rPr>
                <w:color w:val="000000"/>
              </w:rPr>
              <w:t>0.075</w:t>
            </w:r>
          </w:p>
        </w:tc>
        <w:tc>
          <w:tcPr>
            <w:tcW w:w="960" w:type="dxa"/>
            <w:tcBorders>
              <w:top w:val="nil"/>
            </w:tcBorders>
            <w:shd w:val="clear" w:color="auto" w:fill="auto"/>
            <w:vAlign w:val="center"/>
          </w:tcPr>
          <w:p w14:paraId="74D98959"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5877141E" w14:textId="77777777" w:rsidR="00F83D7E" w:rsidRDefault="00000000">
            <w:pPr>
              <w:spacing w:after="0" w:line="240" w:lineRule="auto"/>
              <w:jc w:val="right"/>
              <w:rPr>
                <w:color w:val="000000"/>
              </w:rPr>
            </w:pPr>
            <w:r>
              <w:rPr>
                <w:color w:val="000000"/>
              </w:rPr>
              <w:t>0.2</w:t>
            </w:r>
          </w:p>
        </w:tc>
        <w:tc>
          <w:tcPr>
            <w:tcW w:w="1070" w:type="dxa"/>
            <w:tcBorders>
              <w:top w:val="nil"/>
            </w:tcBorders>
            <w:shd w:val="clear" w:color="auto" w:fill="auto"/>
            <w:vAlign w:val="center"/>
          </w:tcPr>
          <w:p w14:paraId="6B4B953E" w14:textId="77777777" w:rsidR="00F83D7E" w:rsidRDefault="00000000">
            <w:pPr>
              <w:spacing w:after="0" w:line="240" w:lineRule="auto"/>
              <w:jc w:val="right"/>
              <w:rPr>
                <w:color w:val="000000"/>
              </w:rPr>
            </w:pPr>
            <w:r>
              <w:rPr>
                <w:color w:val="000000"/>
              </w:rPr>
              <w:t>0.978</w:t>
            </w:r>
          </w:p>
        </w:tc>
        <w:tc>
          <w:tcPr>
            <w:tcW w:w="960" w:type="dxa"/>
            <w:tcBorders>
              <w:top w:val="nil"/>
            </w:tcBorders>
            <w:shd w:val="clear" w:color="auto" w:fill="auto"/>
            <w:vAlign w:val="center"/>
          </w:tcPr>
          <w:p w14:paraId="4DA95D44"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756BC959" w14:textId="77777777" w:rsidR="00F83D7E" w:rsidRDefault="00000000">
            <w:pPr>
              <w:spacing w:after="0" w:line="240" w:lineRule="auto"/>
              <w:jc w:val="right"/>
              <w:rPr>
                <w:color w:val="000000"/>
              </w:rPr>
            </w:pPr>
            <w:r>
              <w:rPr>
                <w:color w:val="000000"/>
              </w:rPr>
              <w:t>0.377</w:t>
            </w:r>
          </w:p>
        </w:tc>
      </w:tr>
      <w:tr w:rsidR="00F83D7E" w14:paraId="4EE0084F" w14:textId="77777777" w:rsidTr="00C1644C">
        <w:trPr>
          <w:trHeight w:val="330"/>
          <w:jc w:val="center"/>
        </w:trPr>
        <w:tc>
          <w:tcPr>
            <w:tcW w:w="1510" w:type="dxa"/>
            <w:tcBorders>
              <w:top w:val="nil"/>
            </w:tcBorders>
            <w:shd w:val="clear" w:color="auto" w:fill="auto"/>
            <w:vAlign w:val="center"/>
          </w:tcPr>
          <w:p w14:paraId="18F80308" w14:textId="77777777" w:rsidR="00F83D7E" w:rsidRDefault="00000000">
            <w:pPr>
              <w:spacing w:after="0" w:line="240" w:lineRule="auto"/>
              <w:rPr>
                <w:color w:val="000000"/>
              </w:rPr>
            </w:pPr>
            <w:r>
              <w:rPr>
                <w:color w:val="000000"/>
              </w:rPr>
              <w:t>DAR_After</w:t>
            </w:r>
          </w:p>
        </w:tc>
        <w:tc>
          <w:tcPr>
            <w:tcW w:w="1100" w:type="dxa"/>
            <w:tcBorders>
              <w:top w:val="nil"/>
            </w:tcBorders>
            <w:shd w:val="clear" w:color="auto" w:fill="auto"/>
            <w:vAlign w:val="center"/>
          </w:tcPr>
          <w:p w14:paraId="7D99197A" w14:textId="77777777" w:rsidR="00F83D7E" w:rsidRDefault="00000000">
            <w:pPr>
              <w:spacing w:after="0" w:line="240" w:lineRule="auto"/>
              <w:jc w:val="right"/>
              <w:rPr>
                <w:color w:val="000000"/>
              </w:rPr>
            </w:pPr>
            <w:r>
              <w:rPr>
                <w:color w:val="000000"/>
              </w:rPr>
              <w:t>0.062</w:t>
            </w:r>
          </w:p>
        </w:tc>
        <w:tc>
          <w:tcPr>
            <w:tcW w:w="960" w:type="dxa"/>
            <w:tcBorders>
              <w:top w:val="nil"/>
            </w:tcBorders>
            <w:shd w:val="clear" w:color="auto" w:fill="auto"/>
            <w:vAlign w:val="center"/>
          </w:tcPr>
          <w:p w14:paraId="757359C6"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547F5E4" w14:textId="77777777" w:rsidR="00F83D7E" w:rsidRDefault="00000000">
            <w:pPr>
              <w:spacing w:after="0" w:line="240" w:lineRule="auto"/>
              <w:jc w:val="right"/>
              <w:rPr>
                <w:color w:val="000000"/>
              </w:rPr>
            </w:pPr>
            <w:r>
              <w:rPr>
                <w:color w:val="000000"/>
              </w:rPr>
              <w:t>0.2</w:t>
            </w:r>
          </w:p>
        </w:tc>
        <w:tc>
          <w:tcPr>
            <w:tcW w:w="1070" w:type="dxa"/>
            <w:tcBorders>
              <w:top w:val="nil"/>
            </w:tcBorders>
            <w:shd w:val="clear" w:color="auto" w:fill="auto"/>
            <w:vAlign w:val="center"/>
          </w:tcPr>
          <w:p w14:paraId="14B11A80" w14:textId="77777777" w:rsidR="00F83D7E" w:rsidRDefault="00000000">
            <w:pPr>
              <w:spacing w:after="0" w:line="240" w:lineRule="auto"/>
              <w:jc w:val="right"/>
              <w:rPr>
                <w:color w:val="000000"/>
              </w:rPr>
            </w:pPr>
            <w:r>
              <w:rPr>
                <w:color w:val="000000"/>
              </w:rPr>
              <w:t>0.977</w:t>
            </w:r>
          </w:p>
        </w:tc>
        <w:tc>
          <w:tcPr>
            <w:tcW w:w="960" w:type="dxa"/>
            <w:tcBorders>
              <w:top w:val="nil"/>
            </w:tcBorders>
            <w:shd w:val="clear" w:color="auto" w:fill="auto"/>
            <w:vAlign w:val="center"/>
          </w:tcPr>
          <w:p w14:paraId="69525ED7"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180D3CBE" w14:textId="77777777" w:rsidR="00F83D7E" w:rsidRDefault="00000000">
            <w:pPr>
              <w:spacing w:after="0" w:line="240" w:lineRule="auto"/>
              <w:jc w:val="right"/>
              <w:rPr>
                <w:color w:val="000000"/>
              </w:rPr>
            </w:pPr>
            <w:r>
              <w:rPr>
                <w:color w:val="000000"/>
              </w:rPr>
              <w:t>0.33</w:t>
            </w:r>
          </w:p>
        </w:tc>
      </w:tr>
      <w:tr w:rsidR="00F83D7E" w14:paraId="7BA37443" w14:textId="77777777" w:rsidTr="00C1644C">
        <w:trPr>
          <w:trHeight w:val="330"/>
          <w:jc w:val="center"/>
        </w:trPr>
        <w:tc>
          <w:tcPr>
            <w:tcW w:w="1510" w:type="dxa"/>
            <w:tcBorders>
              <w:top w:val="nil"/>
            </w:tcBorders>
            <w:shd w:val="clear" w:color="auto" w:fill="auto"/>
            <w:vAlign w:val="center"/>
          </w:tcPr>
          <w:p w14:paraId="03AB9CE3" w14:textId="77777777" w:rsidR="00F83D7E" w:rsidRDefault="00000000">
            <w:pPr>
              <w:spacing w:after="0" w:line="240" w:lineRule="auto"/>
              <w:rPr>
                <w:color w:val="000000"/>
              </w:rPr>
            </w:pPr>
            <w:r>
              <w:rPr>
                <w:color w:val="000000"/>
              </w:rPr>
              <w:t>DER_Before</w:t>
            </w:r>
          </w:p>
        </w:tc>
        <w:tc>
          <w:tcPr>
            <w:tcW w:w="1100" w:type="dxa"/>
            <w:tcBorders>
              <w:top w:val="nil"/>
            </w:tcBorders>
            <w:shd w:val="clear" w:color="auto" w:fill="auto"/>
            <w:vAlign w:val="center"/>
          </w:tcPr>
          <w:p w14:paraId="69AE704D" w14:textId="77777777" w:rsidR="00F83D7E" w:rsidRDefault="00000000">
            <w:pPr>
              <w:spacing w:after="0" w:line="240" w:lineRule="auto"/>
              <w:jc w:val="right"/>
              <w:rPr>
                <w:color w:val="000000"/>
              </w:rPr>
            </w:pPr>
            <w:r>
              <w:rPr>
                <w:color w:val="000000"/>
              </w:rPr>
              <w:t>0.324</w:t>
            </w:r>
          </w:p>
        </w:tc>
        <w:tc>
          <w:tcPr>
            <w:tcW w:w="960" w:type="dxa"/>
            <w:tcBorders>
              <w:top w:val="nil"/>
            </w:tcBorders>
            <w:shd w:val="clear" w:color="auto" w:fill="auto"/>
            <w:vAlign w:val="center"/>
          </w:tcPr>
          <w:p w14:paraId="641730E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8BB320E"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707C28C3" w14:textId="77777777" w:rsidR="00F83D7E" w:rsidRDefault="00000000">
            <w:pPr>
              <w:spacing w:after="0" w:line="240" w:lineRule="auto"/>
              <w:jc w:val="right"/>
              <w:rPr>
                <w:color w:val="000000"/>
              </w:rPr>
            </w:pPr>
            <w:r>
              <w:rPr>
                <w:color w:val="000000"/>
              </w:rPr>
              <w:t>0.336</w:t>
            </w:r>
          </w:p>
        </w:tc>
        <w:tc>
          <w:tcPr>
            <w:tcW w:w="960" w:type="dxa"/>
            <w:tcBorders>
              <w:top w:val="nil"/>
            </w:tcBorders>
            <w:shd w:val="clear" w:color="auto" w:fill="auto"/>
            <w:vAlign w:val="center"/>
          </w:tcPr>
          <w:p w14:paraId="6634AD56"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0DEA96AF" w14:textId="77777777" w:rsidR="00F83D7E" w:rsidRDefault="00000000">
            <w:pPr>
              <w:spacing w:after="0" w:line="240" w:lineRule="auto"/>
              <w:jc w:val="right"/>
              <w:rPr>
                <w:color w:val="000000"/>
              </w:rPr>
            </w:pPr>
            <w:r>
              <w:rPr>
                <w:color w:val="000000"/>
              </w:rPr>
              <w:t>0</w:t>
            </w:r>
          </w:p>
        </w:tc>
      </w:tr>
      <w:tr w:rsidR="00F83D7E" w14:paraId="0C6038E4" w14:textId="77777777" w:rsidTr="00C1644C">
        <w:trPr>
          <w:trHeight w:val="330"/>
          <w:jc w:val="center"/>
        </w:trPr>
        <w:tc>
          <w:tcPr>
            <w:tcW w:w="1510" w:type="dxa"/>
            <w:tcBorders>
              <w:top w:val="nil"/>
            </w:tcBorders>
            <w:shd w:val="clear" w:color="auto" w:fill="auto"/>
            <w:vAlign w:val="center"/>
          </w:tcPr>
          <w:p w14:paraId="48B0337D" w14:textId="77777777" w:rsidR="00F83D7E" w:rsidRDefault="00000000">
            <w:pPr>
              <w:spacing w:after="0" w:line="240" w:lineRule="auto"/>
              <w:rPr>
                <w:color w:val="000000"/>
              </w:rPr>
            </w:pPr>
            <w:r>
              <w:rPr>
                <w:color w:val="000000"/>
              </w:rPr>
              <w:t>DER_After</w:t>
            </w:r>
          </w:p>
        </w:tc>
        <w:tc>
          <w:tcPr>
            <w:tcW w:w="1100" w:type="dxa"/>
            <w:tcBorders>
              <w:top w:val="nil"/>
            </w:tcBorders>
            <w:shd w:val="clear" w:color="auto" w:fill="auto"/>
            <w:vAlign w:val="center"/>
          </w:tcPr>
          <w:p w14:paraId="2AB413B5" w14:textId="77777777" w:rsidR="00F83D7E" w:rsidRDefault="00000000">
            <w:pPr>
              <w:spacing w:after="0" w:line="240" w:lineRule="auto"/>
              <w:jc w:val="right"/>
              <w:rPr>
                <w:color w:val="000000"/>
              </w:rPr>
            </w:pPr>
            <w:r>
              <w:rPr>
                <w:color w:val="000000"/>
              </w:rPr>
              <w:t>0.351</w:t>
            </w:r>
          </w:p>
        </w:tc>
        <w:tc>
          <w:tcPr>
            <w:tcW w:w="960" w:type="dxa"/>
            <w:tcBorders>
              <w:top w:val="nil"/>
            </w:tcBorders>
            <w:shd w:val="clear" w:color="auto" w:fill="auto"/>
            <w:vAlign w:val="center"/>
          </w:tcPr>
          <w:p w14:paraId="5964E3AA"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0E7ED397"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328811BC" w14:textId="77777777" w:rsidR="00F83D7E" w:rsidRDefault="00000000">
            <w:pPr>
              <w:spacing w:after="0" w:line="240" w:lineRule="auto"/>
              <w:jc w:val="right"/>
              <w:rPr>
                <w:color w:val="000000"/>
              </w:rPr>
            </w:pPr>
            <w:r>
              <w:rPr>
                <w:color w:val="000000"/>
              </w:rPr>
              <w:t>0.505</w:t>
            </w:r>
          </w:p>
        </w:tc>
        <w:tc>
          <w:tcPr>
            <w:tcW w:w="960" w:type="dxa"/>
            <w:tcBorders>
              <w:top w:val="nil"/>
            </w:tcBorders>
            <w:shd w:val="clear" w:color="auto" w:fill="auto"/>
            <w:vAlign w:val="center"/>
          </w:tcPr>
          <w:p w14:paraId="291D36E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0CF50EB" w14:textId="77777777" w:rsidR="00F83D7E" w:rsidRDefault="00000000">
            <w:pPr>
              <w:spacing w:after="0" w:line="240" w:lineRule="auto"/>
              <w:jc w:val="right"/>
              <w:rPr>
                <w:color w:val="000000"/>
              </w:rPr>
            </w:pPr>
            <w:r>
              <w:rPr>
                <w:color w:val="000000"/>
              </w:rPr>
              <w:t>0</w:t>
            </w:r>
          </w:p>
        </w:tc>
      </w:tr>
      <w:tr w:rsidR="00F83D7E" w14:paraId="7AF6DF7F" w14:textId="77777777" w:rsidTr="00C1644C">
        <w:trPr>
          <w:trHeight w:val="330"/>
          <w:jc w:val="center"/>
        </w:trPr>
        <w:tc>
          <w:tcPr>
            <w:tcW w:w="1510" w:type="dxa"/>
            <w:tcBorders>
              <w:top w:val="nil"/>
            </w:tcBorders>
            <w:shd w:val="clear" w:color="auto" w:fill="auto"/>
            <w:vAlign w:val="center"/>
          </w:tcPr>
          <w:p w14:paraId="62733D6C" w14:textId="77777777" w:rsidR="00F83D7E" w:rsidRDefault="00000000">
            <w:pPr>
              <w:spacing w:after="0" w:line="240" w:lineRule="auto"/>
              <w:rPr>
                <w:color w:val="000000"/>
              </w:rPr>
            </w:pPr>
            <w:r>
              <w:rPr>
                <w:color w:val="000000"/>
              </w:rPr>
              <w:t>TAT_Before</w:t>
            </w:r>
          </w:p>
        </w:tc>
        <w:tc>
          <w:tcPr>
            <w:tcW w:w="1100" w:type="dxa"/>
            <w:tcBorders>
              <w:top w:val="nil"/>
            </w:tcBorders>
            <w:shd w:val="clear" w:color="auto" w:fill="auto"/>
            <w:vAlign w:val="center"/>
          </w:tcPr>
          <w:p w14:paraId="7A0833B8" w14:textId="77777777" w:rsidR="00F83D7E" w:rsidRDefault="00000000">
            <w:pPr>
              <w:spacing w:after="0" w:line="240" w:lineRule="auto"/>
              <w:jc w:val="right"/>
              <w:rPr>
                <w:color w:val="000000"/>
              </w:rPr>
            </w:pPr>
            <w:r>
              <w:rPr>
                <w:color w:val="000000"/>
              </w:rPr>
              <w:t>0.221</w:t>
            </w:r>
          </w:p>
        </w:tc>
        <w:tc>
          <w:tcPr>
            <w:tcW w:w="960" w:type="dxa"/>
            <w:tcBorders>
              <w:top w:val="nil"/>
            </w:tcBorders>
            <w:shd w:val="clear" w:color="auto" w:fill="auto"/>
            <w:vAlign w:val="center"/>
          </w:tcPr>
          <w:p w14:paraId="27B511BB"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875FE62"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11ACF26F" w14:textId="77777777" w:rsidR="00F83D7E" w:rsidRDefault="00000000">
            <w:pPr>
              <w:spacing w:after="0" w:line="240" w:lineRule="auto"/>
              <w:jc w:val="right"/>
              <w:rPr>
                <w:color w:val="000000"/>
              </w:rPr>
            </w:pPr>
            <w:r>
              <w:rPr>
                <w:color w:val="000000"/>
              </w:rPr>
              <w:t>0.781</w:t>
            </w:r>
          </w:p>
        </w:tc>
        <w:tc>
          <w:tcPr>
            <w:tcW w:w="960" w:type="dxa"/>
            <w:tcBorders>
              <w:top w:val="nil"/>
            </w:tcBorders>
            <w:shd w:val="clear" w:color="auto" w:fill="auto"/>
            <w:vAlign w:val="center"/>
          </w:tcPr>
          <w:p w14:paraId="32DD5754"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706C0489" w14:textId="77777777" w:rsidR="00F83D7E" w:rsidRDefault="00000000">
            <w:pPr>
              <w:spacing w:after="0" w:line="240" w:lineRule="auto"/>
              <w:jc w:val="right"/>
              <w:rPr>
                <w:color w:val="000000"/>
              </w:rPr>
            </w:pPr>
            <w:r>
              <w:rPr>
                <w:color w:val="000000"/>
              </w:rPr>
              <w:t>0</w:t>
            </w:r>
          </w:p>
        </w:tc>
      </w:tr>
      <w:tr w:rsidR="00F83D7E" w14:paraId="4D2FE8D5" w14:textId="77777777" w:rsidTr="00C1644C">
        <w:trPr>
          <w:trHeight w:val="330"/>
          <w:jc w:val="center"/>
        </w:trPr>
        <w:tc>
          <w:tcPr>
            <w:tcW w:w="1510" w:type="dxa"/>
            <w:tcBorders>
              <w:top w:val="nil"/>
            </w:tcBorders>
            <w:shd w:val="clear" w:color="auto" w:fill="auto"/>
            <w:vAlign w:val="center"/>
          </w:tcPr>
          <w:p w14:paraId="6BE90258" w14:textId="77777777" w:rsidR="00F83D7E" w:rsidRDefault="00000000">
            <w:pPr>
              <w:spacing w:after="0" w:line="240" w:lineRule="auto"/>
              <w:rPr>
                <w:color w:val="000000"/>
              </w:rPr>
            </w:pPr>
            <w:r>
              <w:rPr>
                <w:color w:val="000000"/>
              </w:rPr>
              <w:t>TAT_After</w:t>
            </w:r>
          </w:p>
        </w:tc>
        <w:tc>
          <w:tcPr>
            <w:tcW w:w="1100" w:type="dxa"/>
            <w:tcBorders>
              <w:top w:val="nil"/>
            </w:tcBorders>
            <w:shd w:val="clear" w:color="auto" w:fill="auto"/>
            <w:vAlign w:val="center"/>
          </w:tcPr>
          <w:p w14:paraId="650BE9DF" w14:textId="77777777" w:rsidR="00F83D7E" w:rsidRDefault="00000000">
            <w:pPr>
              <w:spacing w:after="0" w:line="240" w:lineRule="auto"/>
              <w:jc w:val="right"/>
              <w:rPr>
                <w:color w:val="000000"/>
              </w:rPr>
            </w:pPr>
            <w:r>
              <w:rPr>
                <w:color w:val="000000"/>
              </w:rPr>
              <w:t>0.191</w:t>
            </w:r>
          </w:p>
        </w:tc>
        <w:tc>
          <w:tcPr>
            <w:tcW w:w="960" w:type="dxa"/>
            <w:tcBorders>
              <w:top w:val="nil"/>
            </w:tcBorders>
            <w:shd w:val="clear" w:color="auto" w:fill="auto"/>
            <w:vAlign w:val="center"/>
          </w:tcPr>
          <w:p w14:paraId="1517EC40"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51CF1DBA"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11B4578B" w14:textId="77777777" w:rsidR="00F83D7E" w:rsidRDefault="00000000">
            <w:pPr>
              <w:spacing w:after="0" w:line="240" w:lineRule="auto"/>
              <w:jc w:val="right"/>
              <w:rPr>
                <w:color w:val="000000"/>
              </w:rPr>
            </w:pPr>
            <w:r>
              <w:rPr>
                <w:color w:val="000000"/>
              </w:rPr>
              <w:t>0.814</w:t>
            </w:r>
          </w:p>
        </w:tc>
        <w:tc>
          <w:tcPr>
            <w:tcW w:w="960" w:type="dxa"/>
            <w:tcBorders>
              <w:top w:val="nil"/>
            </w:tcBorders>
            <w:shd w:val="clear" w:color="auto" w:fill="auto"/>
            <w:vAlign w:val="center"/>
          </w:tcPr>
          <w:p w14:paraId="4E8F2359"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44BDB7B" w14:textId="77777777" w:rsidR="00F83D7E" w:rsidRDefault="00000000">
            <w:pPr>
              <w:spacing w:after="0" w:line="240" w:lineRule="auto"/>
              <w:jc w:val="right"/>
              <w:rPr>
                <w:color w:val="000000"/>
              </w:rPr>
            </w:pPr>
            <w:r>
              <w:rPr>
                <w:color w:val="000000"/>
              </w:rPr>
              <w:t>0</w:t>
            </w:r>
          </w:p>
        </w:tc>
      </w:tr>
      <w:tr w:rsidR="00F83D7E" w14:paraId="7A63BAFE" w14:textId="77777777" w:rsidTr="00C1644C">
        <w:trPr>
          <w:trHeight w:val="330"/>
          <w:jc w:val="center"/>
        </w:trPr>
        <w:tc>
          <w:tcPr>
            <w:tcW w:w="1510" w:type="dxa"/>
            <w:tcBorders>
              <w:top w:val="nil"/>
            </w:tcBorders>
            <w:shd w:val="clear" w:color="auto" w:fill="auto"/>
            <w:vAlign w:val="center"/>
          </w:tcPr>
          <w:p w14:paraId="4204037A" w14:textId="77777777" w:rsidR="00F83D7E" w:rsidRDefault="00000000">
            <w:pPr>
              <w:spacing w:after="0" w:line="240" w:lineRule="auto"/>
              <w:rPr>
                <w:color w:val="000000"/>
              </w:rPr>
            </w:pPr>
            <w:r>
              <w:rPr>
                <w:color w:val="000000"/>
              </w:rPr>
              <w:t>PER_Before</w:t>
            </w:r>
          </w:p>
        </w:tc>
        <w:tc>
          <w:tcPr>
            <w:tcW w:w="1100" w:type="dxa"/>
            <w:tcBorders>
              <w:top w:val="nil"/>
            </w:tcBorders>
            <w:shd w:val="clear" w:color="auto" w:fill="auto"/>
            <w:vAlign w:val="center"/>
          </w:tcPr>
          <w:p w14:paraId="2F063FD4" w14:textId="77777777" w:rsidR="00F83D7E" w:rsidRDefault="00000000">
            <w:pPr>
              <w:spacing w:after="0" w:line="240" w:lineRule="auto"/>
              <w:jc w:val="right"/>
              <w:rPr>
                <w:color w:val="000000"/>
              </w:rPr>
            </w:pPr>
            <w:r>
              <w:rPr>
                <w:color w:val="000000"/>
              </w:rPr>
              <w:t>0.378</w:t>
            </w:r>
          </w:p>
        </w:tc>
        <w:tc>
          <w:tcPr>
            <w:tcW w:w="960" w:type="dxa"/>
            <w:tcBorders>
              <w:top w:val="nil"/>
            </w:tcBorders>
            <w:shd w:val="clear" w:color="auto" w:fill="auto"/>
            <w:vAlign w:val="center"/>
          </w:tcPr>
          <w:p w14:paraId="1DCB800F"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22FC8356"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4C474372" w14:textId="77777777" w:rsidR="00F83D7E" w:rsidRDefault="00000000">
            <w:pPr>
              <w:spacing w:after="0" w:line="240" w:lineRule="auto"/>
              <w:jc w:val="right"/>
              <w:rPr>
                <w:color w:val="000000"/>
              </w:rPr>
            </w:pPr>
            <w:r>
              <w:rPr>
                <w:color w:val="000000"/>
              </w:rPr>
              <w:t>0.413</w:t>
            </w:r>
          </w:p>
        </w:tc>
        <w:tc>
          <w:tcPr>
            <w:tcW w:w="960" w:type="dxa"/>
            <w:tcBorders>
              <w:top w:val="nil"/>
            </w:tcBorders>
            <w:shd w:val="clear" w:color="auto" w:fill="auto"/>
            <w:vAlign w:val="center"/>
          </w:tcPr>
          <w:p w14:paraId="64F35802"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6843EA2" w14:textId="77777777" w:rsidR="00F83D7E" w:rsidRDefault="00000000">
            <w:pPr>
              <w:spacing w:after="0" w:line="240" w:lineRule="auto"/>
              <w:jc w:val="right"/>
              <w:rPr>
                <w:color w:val="000000"/>
              </w:rPr>
            </w:pPr>
            <w:r>
              <w:rPr>
                <w:color w:val="000000"/>
              </w:rPr>
              <w:t>0</w:t>
            </w:r>
          </w:p>
        </w:tc>
      </w:tr>
      <w:tr w:rsidR="00F83D7E" w14:paraId="2350F51C" w14:textId="77777777" w:rsidTr="00C1644C">
        <w:trPr>
          <w:trHeight w:val="330"/>
          <w:jc w:val="center"/>
        </w:trPr>
        <w:tc>
          <w:tcPr>
            <w:tcW w:w="1510" w:type="dxa"/>
            <w:tcBorders>
              <w:top w:val="nil"/>
            </w:tcBorders>
            <w:shd w:val="clear" w:color="auto" w:fill="auto"/>
            <w:vAlign w:val="center"/>
          </w:tcPr>
          <w:p w14:paraId="5F09A2EC" w14:textId="77777777" w:rsidR="00F83D7E" w:rsidRDefault="00000000">
            <w:pPr>
              <w:spacing w:after="0" w:line="240" w:lineRule="auto"/>
              <w:rPr>
                <w:color w:val="000000"/>
              </w:rPr>
            </w:pPr>
            <w:r>
              <w:rPr>
                <w:color w:val="000000"/>
              </w:rPr>
              <w:t>PER_After</w:t>
            </w:r>
          </w:p>
        </w:tc>
        <w:tc>
          <w:tcPr>
            <w:tcW w:w="1100" w:type="dxa"/>
            <w:tcBorders>
              <w:top w:val="nil"/>
            </w:tcBorders>
            <w:shd w:val="clear" w:color="auto" w:fill="auto"/>
            <w:vAlign w:val="center"/>
          </w:tcPr>
          <w:p w14:paraId="0FBC334B" w14:textId="77777777" w:rsidR="00F83D7E" w:rsidRDefault="00000000">
            <w:pPr>
              <w:spacing w:after="0" w:line="240" w:lineRule="auto"/>
              <w:jc w:val="right"/>
              <w:rPr>
                <w:color w:val="000000"/>
              </w:rPr>
            </w:pPr>
            <w:r>
              <w:rPr>
                <w:color w:val="000000"/>
              </w:rPr>
              <w:t>0.312</w:t>
            </w:r>
          </w:p>
        </w:tc>
        <w:tc>
          <w:tcPr>
            <w:tcW w:w="960" w:type="dxa"/>
            <w:tcBorders>
              <w:top w:val="nil"/>
            </w:tcBorders>
            <w:shd w:val="clear" w:color="auto" w:fill="auto"/>
            <w:vAlign w:val="center"/>
          </w:tcPr>
          <w:p w14:paraId="42088BE1"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5CEB0317"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3EE266B7" w14:textId="77777777" w:rsidR="00F83D7E" w:rsidRDefault="00000000">
            <w:pPr>
              <w:spacing w:after="0" w:line="240" w:lineRule="auto"/>
              <w:jc w:val="right"/>
              <w:rPr>
                <w:color w:val="000000"/>
              </w:rPr>
            </w:pPr>
            <w:r>
              <w:rPr>
                <w:color w:val="000000"/>
              </w:rPr>
              <w:t>0.508</w:t>
            </w:r>
          </w:p>
        </w:tc>
        <w:tc>
          <w:tcPr>
            <w:tcW w:w="960" w:type="dxa"/>
            <w:tcBorders>
              <w:top w:val="nil"/>
            </w:tcBorders>
            <w:shd w:val="clear" w:color="auto" w:fill="auto"/>
            <w:vAlign w:val="center"/>
          </w:tcPr>
          <w:p w14:paraId="0E8B60C3"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140BC9FF" w14:textId="77777777" w:rsidR="00F83D7E" w:rsidRDefault="00000000">
            <w:pPr>
              <w:spacing w:after="0" w:line="240" w:lineRule="auto"/>
              <w:jc w:val="right"/>
              <w:rPr>
                <w:color w:val="000000"/>
              </w:rPr>
            </w:pPr>
            <w:r>
              <w:rPr>
                <w:color w:val="000000"/>
              </w:rPr>
              <w:t>0</w:t>
            </w:r>
          </w:p>
        </w:tc>
      </w:tr>
      <w:tr w:rsidR="00F83D7E" w14:paraId="773A7022" w14:textId="77777777" w:rsidTr="00C1644C">
        <w:trPr>
          <w:trHeight w:val="330"/>
          <w:jc w:val="center"/>
        </w:trPr>
        <w:tc>
          <w:tcPr>
            <w:tcW w:w="1510" w:type="dxa"/>
            <w:tcBorders>
              <w:top w:val="nil"/>
            </w:tcBorders>
            <w:shd w:val="clear" w:color="auto" w:fill="auto"/>
            <w:vAlign w:val="center"/>
          </w:tcPr>
          <w:p w14:paraId="73D7F2DC" w14:textId="77777777" w:rsidR="00F83D7E" w:rsidRDefault="00000000">
            <w:pPr>
              <w:spacing w:after="0" w:line="240" w:lineRule="auto"/>
              <w:rPr>
                <w:color w:val="000000"/>
              </w:rPr>
            </w:pPr>
            <w:r>
              <w:rPr>
                <w:color w:val="000000"/>
              </w:rPr>
              <w:t>PBV_Before</w:t>
            </w:r>
          </w:p>
        </w:tc>
        <w:tc>
          <w:tcPr>
            <w:tcW w:w="1100" w:type="dxa"/>
            <w:tcBorders>
              <w:top w:val="nil"/>
            </w:tcBorders>
            <w:shd w:val="clear" w:color="auto" w:fill="auto"/>
            <w:vAlign w:val="center"/>
          </w:tcPr>
          <w:p w14:paraId="3E8CCAE6" w14:textId="77777777" w:rsidR="00F83D7E" w:rsidRDefault="00000000">
            <w:pPr>
              <w:spacing w:after="0" w:line="240" w:lineRule="auto"/>
              <w:jc w:val="right"/>
              <w:rPr>
                <w:color w:val="000000"/>
              </w:rPr>
            </w:pPr>
            <w:r>
              <w:rPr>
                <w:color w:val="000000"/>
              </w:rPr>
              <w:t>0.32</w:t>
            </w:r>
          </w:p>
        </w:tc>
        <w:tc>
          <w:tcPr>
            <w:tcW w:w="960" w:type="dxa"/>
            <w:tcBorders>
              <w:top w:val="nil"/>
            </w:tcBorders>
            <w:shd w:val="clear" w:color="auto" w:fill="auto"/>
            <w:vAlign w:val="center"/>
          </w:tcPr>
          <w:p w14:paraId="3A509F77"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42025DC4" w14:textId="77777777" w:rsidR="00F83D7E" w:rsidRDefault="00000000">
            <w:pPr>
              <w:spacing w:after="0" w:line="240" w:lineRule="auto"/>
              <w:jc w:val="right"/>
              <w:rPr>
                <w:color w:val="000000"/>
              </w:rPr>
            </w:pPr>
            <w:r>
              <w:rPr>
                <w:color w:val="000000"/>
              </w:rPr>
              <w:t>0</w:t>
            </w:r>
          </w:p>
        </w:tc>
        <w:tc>
          <w:tcPr>
            <w:tcW w:w="1070" w:type="dxa"/>
            <w:tcBorders>
              <w:top w:val="nil"/>
            </w:tcBorders>
            <w:shd w:val="clear" w:color="auto" w:fill="auto"/>
            <w:vAlign w:val="center"/>
          </w:tcPr>
          <w:p w14:paraId="6FD3F141" w14:textId="77777777" w:rsidR="00F83D7E" w:rsidRDefault="00000000">
            <w:pPr>
              <w:spacing w:after="0" w:line="240" w:lineRule="auto"/>
              <w:jc w:val="right"/>
              <w:rPr>
                <w:color w:val="000000"/>
              </w:rPr>
            </w:pPr>
            <w:r>
              <w:rPr>
                <w:color w:val="000000"/>
              </w:rPr>
              <w:t>0.412</w:t>
            </w:r>
          </w:p>
        </w:tc>
        <w:tc>
          <w:tcPr>
            <w:tcW w:w="960" w:type="dxa"/>
            <w:tcBorders>
              <w:top w:val="nil"/>
            </w:tcBorders>
            <w:shd w:val="clear" w:color="auto" w:fill="auto"/>
            <w:vAlign w:val="center"/>
          </w:tcPr>
          <w:p w14:paraId="30DB4EA3" w14:textId="77777777" w:rsidR="00F83D7E" w:rsidRDefault="00000000">
            <w:pPr>
              <w:spacing w:after="0" w:line="240" w:lineRule="auto"/>
              <w:jc w:val="right"/>
              <w:rPr>
                <w:color w:val="000000"/>
              </w:rPr>
            </w:pPr>
            <w:r>
              <w:rPr>
                <w:color w:val="000000"/>
              </w:rPr>
              <w:t>59</w:t>
            </w:r>
          </w:p>
        </w:tc>
        <w:tc>
          <w:tcPr>
            <w:tcW w:w="960" w:type="dxa"/>
            <w:tcBorders>
              <w:top w:val="nil"/>
            </w:tcBorders>
            <w:shd w:val="clear" w:color="auto" w:fill="auto"/>
            <w:vAlign w:val="center"/>
          </w:tcPr>
          <w:p w14:paraId="68649F26" w14:textId="77777777" w:rsidR="00F83D7E" w:rsidRDefault="00000000">
            <w:pPr>
              <w:spacing w:after="0" w:line="240" w:lineRule="auto"/>
              <w:jc w:val="right"/>
              <w:rPr>
                <w:color w:val="000000"/>
              </w:rPr>
            </w:pPr>
            <w:r>
              <w:rPr>
                <w:color w:val="000000"/>
              </w:rPr>
              <w:t>0</w:t>
            </w:r>
          </w:p>
        </w:tc>
      </w:tr>
      <w:tr w:rsidR="00F83D7E" w14:paraId="73B871FA" w14:textId="77777777" w:rsidTr="00C1644C">
        <w:trPr>
          <w:trHeight w:val="345"/>
          <w:jc w:val="center"/>
        </w:trPr>
        <w:tc>
          <w:tcPr>
            <w:tcW w:w="1510" w:type="dxa"/>
            <w:tcBorders>
              <w:top w:val="nil"/>
              <w:bottom w:val="single" w:sz="4" w:space="0" w:color="000000"/>
            </w:tcBorders>
            <w:shd w:val="clear" w:color="auto" w:fill="auto"/>
            <w:vAlign w:val="center"/>
          </w:tcPr>
          <w:p w14:paraId="17ECC7CF" w14:textId="77777777" w:rsidR="00F83D7E" w:rsidRDefault="00000000">
            <w:pPr>
              <w:spacing w:after="0" w:line="240" w:lineRule="auto"/>
              <w:rPr>
                <w:color w:val="000000"/>
              </w:rPr>
            </w:pPr>
            <w:r>
              <w:rPr>
                <w:color w:val="000000"/>
              </w:rPr>
              <w:t>PBV_After</w:t>
            </w:r>
          </w:p>
        </w:tc>
        <w:tc>
          <w:tcPr>
            <w:tcW w:w="1100" w:type="dxa"/>
            <w:tcBorders>
              <w:top w:val="nil"/>
              <w:bottom w:val="single" w:sz="4" w:space="0" w:color="000000"/>
            </w:tcBorders>
            <w:shd w:val="clear" w:color="auto" w:fill="auto"/>
            <w:vAlign w:val="center"/>
          </w:tcPr>
          <w:p w14:paraId="71BA02A0" w14:textId="77777777" w:rsidR="00F83D7E" w:rsidRDefault="00000000">
            <w:pPr>
              <w:spacing w:after="0" w:line="240" w:lineRule="auto"/>
              <w:jc w:val="right"/>
              <w:rPr>
                <w:color w:val="000000"/>
              </w:rPr>
            </w:pPr>
            <w:r>
              <w:rPr>
                <w:color w:val="000000"/>
              </w:rPr>
              <w:t>0.343</w:t>
            </w:r>
          </w:p>
        </w:tc>
        <w:tc>
          <w:tcPr>
            <w:tcW w:w="960" w:type="dxa"/>
            <w:tcBorders>
              <w:top w:val="nil"/>
              <w:bottom w:val="single" w:sz="4" w:space="0" w:color="000000"/>
            </w:tcBorders>
            <w:shd w:val="clear" w:color="auto" w:fill="auto"/>
            <w:vAlign w:val="center"/>
          </w:tcPr>
          <w:p w14:paraId="08039755" w14:textId="77777777" w:rsidR="00F83D7E" w:rsidRDefault="00000000">
            <w:pPr>
              <w:spacing w:after="0" w:line="240" w:lineRule="auto"/>
              <w:jc w:val="right"/>
              <w:rPr>
                <w:color w:val="000000"/>
              </w:rPr>
            </w:pPr>
            <w:r>
              <w:rPr>
                <w:color w:val="000000"/>
              </w:rPr>
              <w:t>59</w:t>
            </w:r>
          </w:p>
        </w:tc>
        <w:tc>
          <w:tcPr>
            <w:tcW w:w="960" w:type="dxa"/>
            <w:tcBorders>
              <w:top w:val="nil"/>
              <w:bottom w:val="single" w:sz="4" w:space="0" w:color="000000"/>
            </w:tcBorders>
            <w:shd w:val="clear" w:color="auto" w:fill="auto"/>
            <w:vAlign w:val="center"/>
          </w:tcPr>
          <w:p w14:paraId="0CD15E3D" w14:textId="77777777" w:rsidR="00F83D7E" w:rsidRDefault="00000000">
            <w:pPr>
              <w:spacing w:after="0" w:line="240" w:lineRule="auto"/>
              <w:jc w:val="right"/>
              <w:rPr>
                <w:color w:val="000000"/>
              </w:rPr>
            </w:pPr>
            <w:r>
              <w:rPr>
                <w:color w:val="000000"/>
              </w:rPr>
              <w:t>0</w:t>
            </w:r>
          </w:p>
        </w:tc>
        <w:tc>
          <w:tcPr>
            <w:tcW w:w="1070" w:type="dxa"/>
            <w:tcBorders>
              <w:top w:val="nil"/>
              <w:bottom w:val="single" w:sz="4" w:space="0" w:color="000000"/>
            </w:tcBorders>
            <w:shd w:val="clear" w:color="auto" w:fill="auto"/>
            <w:vAlign w:val="center"/>
          </w:tcPr>
          <w:p w14:paraId="57191324" w14:textId="77777777" w:rsidR="00F83D7E" w:rsidRDefault="00000000">
            <w:pPr>
              <w:spacing w:after="0" w:line="240" w:lineRule="auto"/>
              <w:jc w:val="right"/>
              <w:rPr>
                <w:color w:val="000000"/>
              </w:rPr>
            </w:pPr>
            <w:r>
              <w:rPr>
                <w:color w:val="000000"/>
              </w:rPr>
              <w:t>0.294</w:t>
            </w:r>
          </w:p>
        </w:tc>
        <w:tc>
          <w:tcPr>
            <w:tcW w:w="960" w:type="dxa"/>
            <w:tcBorders>
              <w:top w:val="nil"/>
              <w:bottom w:val="single" w:sz="4" w:space="0" w:color="000000"/>
            </w:tcBorders>
            <w:shd w:val="clear" w:color="auto" w:fill="auto"/>
            <w:vAlign w:val="center"/>
          </w:tcPr>
          <w:p w14:paraId="780022C4" w14:textId="77777777" w:rsidR="00F83D7E" w:rsidRDefault="00000000">
            <w:pPr>
              <w:spacing w:after="0" w:line="240" w:lineRule="auto"/>
              <w:jc w:val="right"/>
              <w:rPr>
                <w:color w:val="000000"/>
              </w:rPr>
            </w:pPr>
            <w:r>
              <w:rPr>
                <w:color w:val="000000"/>
              </w:rPr>
              <w:t>59</w:t>
            </w:r>
          </w:p>
        </w:tc>
        <w:tc>
          <w:tcPr>
            <w:tcW w:w="960" w:type="dxa"/>
            <w:tcBorders>
              <w:top w:val="nil"/>
              <w:bottom w:val="single" w:sz="4" w:space="0" w:color="000000"/>
            </w:tcBorders>
            <w:shd w:val="clear" w:color="auto" w:fill="auto"/>
            <w:vAlign w:val="center"/>
          </w:tcPr>
          <w:p w14:paraId="3842BF7A" w14:textId="77777777" w:rsidR="00F83D7E" w:rsidRDefault="00000000">
            <w:pPr>
              <w:spacing w:after="0" w:line="240" w:lineRule="auto"/>
              <w:jc w:val="right"/>
              <w:rPr>
                <w:color w:val="000000"/>
              </w:rPr>
            </w:pPr>
            <w:r>
              <w:rPr>
                <w:color w:val="000000"/>
              </w:rPr>
              <w:t>0</w:t>
            </w:r>
          </w:p>
        </w:tc>
      </w:tr>
    </w:tbl>
    <w:p w14:paraId="05F968AD" w14:textId="77777777" w:rsidR="00F83D7E" w:rsidRDefault="00000000">
      <w:pPr>
        <w:spacing w:after="0" w:line="240" w:lineRule="auto"/>
        <w:jc w:val="both"/>
      </w:pPr>
      <w:r>
        <w:t xml:space="preserve">                Source: Financial Report and Share Price (processed)</w:t>
      </w:r>
    </w:p>
    <w:p w14:paraId="4C317B34" w14:textId="4345321C" w:rsidR="00F83D7E" w:rsidRDefault="00000000">
      <w:pPr>
        <w:spacing w:after="0" w:line="240" w:lineRule="auto"/>
        <w:ind w:firstLine="270"/>
        <w:jc w:val="both"/>
      </w:pPr>
      <w:r>
        <w:lastRenderedPageBreak/>
        <w:t xml:space="preserve"> The normality test of the data in table 3 </w:t>
      </w:r>
      <w:r w:rsidR="007C72BB">
        <w:t xml:space="preserve">use Kolmogorov smirnov </w:t>
      </w:r>
      <w:r w:rsidR="007C72BB">
        <w:fldChar w:fldCharType="begin" w:fldLock="1"/>
      </w:r>
      <w:r w:rsidR="007C72BB">
        <w:instrText>ADDIN CSL_CITATION {"citationItems":[{"id":"ITEM-1","itemData":{"author":[{"dropping-particle":"","family":"Ghozali","given":"I","non-dropping-particle":"","parse-names":false,"suffix":""}],"edition":"9","id":"ITEM-1","issued":{"date-parts":[["2018"]]},"publisher":"Badan Penerbit Universitas Diponegoro","publisher-place":"Semarang","title":"Aplikasi Analisis Multivariate dengan Program IBM SPSS 25","type":"book"},"uris":["http://www.mendeley.com/documents/?uuid=807b7243-87c7-4eca-bb30-2c7996342ae0"]}],"mendeley":{"formattedCitation":"(Ghozali, 2018)","plainTextFormattedCitation":"(Ghozali, 2018)","previouslyFormattedCitation":"(Ghozali, 2018)"},"properties":{"noteIndex":0},"schema":"https://github.com/citation-style-language/schema/raw/master/csl-citation.json"}</w:instrText>
      </w:r>
      <w:r w:rsidR="007C72BB">
        <w:fldChar w:fldCharType="separate"/>
      </w:r>
      <w:r w:rsidR="007C72BB" w:rsidRPr="007C72BB">
        <w:rPr>
          <w:noProof/>
        </w:rPr>
        <w:t>(Ghozali, 2018)</w:t>
      </w:r>
      <w:r w:rsidR="007C72BB">
        <w:fldChar w:fldCharType="end"/>
      </w:r>
      <w:r w:rsidR="007C72BB">
        <w:t xml:space="preserve"> </w:t>
      </w:r>
      <w:r>
        <w:t>cannot be normally distributed, both data before</w:t>
      </w:r>
      <w:r w:rsidR="0029084D">
        <w:t xml:space="preserve"> and after</w:t>
      </w:r>
      <w:r>
        <w:t xml:space="preserve"> PSAK 72 </w:t>
      </w:r>
      <w:r w:rsidR="0029084D">
        <w:t xml:space="preserve">implementation </w:t>
      </w:r>
      <w:r>
        <w:t xml:space="preserve">because significant value shows results below 0.05. Therefore, </w:t>
      </w:r>
      <w:r w:rsidR="0029084D">
        <w:t xml:space="preserve">to test differences in company performance between before and after 72 implementation, </w:t>
      </w:r>
      <w:r>
        <w:t xml:space="preserve">use a non-parametric test, Wilcoxon-Signed Rank </w:t>
      </w:r>
      <w:r w:rsidR="0029084D">
        <w:t>t</w:t>
      </w:r>
      <w:r>
        <w:t>est.</w:t>
      </w:r>
    </w:p>
    <w:p w14:paraId="2150693C" w14:textId="0BA72FF9" w:rsidR="00F83D7E" w:rsidRDefault="00000000">
      <w:pPr>
        <w:spacing w:after="0" w:line="240" w:lineRule="auto"/>
        <w:jc w:val="center"/>
        <w:rPr>
          <w:b/>
        </w:rPr>
      </w:pPr>
      <w:r>
        <w:rPr>
          <w:b/>
        </w:rPr>
        <w:t xml:space="preserve">Table 4. </w:t>
      </w:r>
      <w:r>
        <w:t>Wilcoxon</w:t>
      </w:r>
      <w:r w:rsidR="0029084D">
        <w:t>-</w:t>
      </w:r>
      <w:r>
        <w:t xml:space="preserve">Signed Rank </w:t>
      </w:r>
      <w:r w:rsidR="0029084D">
        <w:t>t</w:t>
      </w:r>
      <w:r>
        <w:t>est</w:t>
      </w:r>
    </w:p>
    <w:tbl>
      <w:tblPr>
        <w:tblStyle w:val="a3"/>
        <w:tblW w:w="7331" w:type="dxa"/>
        <w:jc w:val="center"/>
        <w:tblBorders>
          <w:top w:val="nil"/>
          <w:left w:val="nil"/>
          <w:bottom w:val="nil"/>
          <w:right w:val="nil"/>
          <w:insideH w:val="nil"/>
          <w:insideV w:val="nil"/>
        </w:tblBorders>
        <w:tblLayout w:type="fixed"/>
        <w:tblLook w:val="0400" w:firstRow="0" w:lastRow="0" w:firstColumn="0" w:lastColumn="0" w:noHBand="0" w:noVBand="1"/>
      </w:tblPr>
      <w:tblGrid>
        <w:gridCol w:w="3196"/>
        <w:gridCol w:w="2379"/>
        <w:gridCol w:w="1756"/>
      </w:tblGrid>
      <w:tr w:rsidR="00F83D7E" w14:paraId="6FCA5A44" w14:textId="77777777">
        <w:trPr>
          <w:jc w:val="center"/>
        </w:trPr>
        <w:tc>
          <w:tcPr>
            <w:tcW w:w="3196" w:type="dxa"/>
            <w:tcBorders>
              <w:top w:val="single" w:sz="4" w:space="0" w:color="000000"/>
              <w:bottom w:val="single" w:sz="4" w:space="0" w:color="000000"/>
            </w:tcBorders>
          </w:tcPr>
          <w:p w14:paraId="24E1F97E" w14:textId="77777777" w:rsidR="00F83D7E" w:rsidRDefault="00F83D7E">
            <w:pPr>
              <w:spacing w:after="0" w:line="240" w:lineRule="auto"/>
              <w:ind w:right="6"/>
              <w:rPr>
                <w:rFonts w:ascii="Calibri" w:eastAsia="Calibri" w:hAnsi="Calibri" w:cs="Calibri"/>
              </w:rPr>
            </w:pPr>
          </w:p>
        </w:tc>
        <w:tc>
          <w:tcPr>
            <w:tcW w:w="2379" w:type="dxa"/>
            <w:tcBorders>
              <w:top w:val="single" w:sz="4" w:space="0" w:color="000000"/>
              <w:bottom w:val="single" w:sz="4" w:space="0" w:color="000000"/>
            </w:tcBorders>
          </w:tcPr>
          <w:p w14:paraId="0C2D1052"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Asymp. Sig. (2-tailed)</w:t>
            </w:r>
          </w:p>
        </w:tc>
        <w:tc>
          <w:tcPr>
            <w:tcW w:w="1756" w:type="dxa"/>
            <w:tcBorders>
              <w:top w:val="single" w:sz="4" w:space="0" w:color="000000"/>
              <w:bottom w:val="single" w:sz="4" w:space="0" w:color="000000"/>
            </w:tcBorders>
          </w:tcPr>
          <w:p w14:paraId="37D7E073"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Significance</w:t>
            </w:r>
          </w:p>
        </w:tc>
      </w:tr>
      <w:tr w:rsidR="00F83D7E" w14:paraId="27A43EE6" w14:textId="77777777">
        <w:trPr>
          <w:jc w:val="center"/>
        </w:trPr>
        <w:tc>
          <w:tcPr>
            <w:tcW w:w="3196" w:type="dxa"/>
            <w:tcBorders>
              <w:top w:val="single" w:sz="4" w:space="0" w:color="000000"/>
            </w:tcBorders>
          </w:tcPr>
          <w:p w14:paraId="40F5CF46" w14:textId="77777777" w:rsidR="00F83D7E" w:rsidRDefault="00000000">
            <w:pPr>
              <w:spacing w:after="0" w:line="240" w:lineRule="auto"/>
              <w:ind w:right="55"/>
              <w:rPr>
                <w:rFonts w:ascii="Calibri" w:eastAsia="Calibri" w:hAnsi="Calibri" w:cs="Calibri"/>
              </w:rPr>
            </w:pPr>
            <w:r>
              <w:rPr>
                <w:rFonts w:ascii="Calibri" w:eastAsia="Calibri" w:hAnsi="Calibri" w:cs="Calibri"/>
              </w:rPr>
              <w:t>CR (before) – CR (After)</w:t>
            </w:r>
          </w:p>
        </w:tc>
        <w:tc>
          <w:tcPr>
            <w:tcW w:w="2379" w:type="dxa"/>
            <w:tcBorders>
              <w:top w:val="single" w:sz="4" w:space="0" w:color="000000"/>
            </w:tcBorders>
          </w:tcPr>
          <w:p w14:paraId="311D91EA"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0.047</w:t>
            </w:r>
          </w:p>
        </w:tc>
        <w:tc>
          <w:tcPr>
            <w:tcW w:w="1756" w:type="dxa"/>
            <w:tcBorders>
              <w:top w:val="single" w:sz="4" w:space="0" w:color="000000"/>
            </w:tcBorders>
          </w:tcPr>
          <w:p w14:paraId="56737D8C"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542B28BD" w14:textId="77777777">
        <w:trPr>
          <w:jc w:val="center"/>
        </w:trPr>
        <w:tc>
          <w:tcPr>
            <w:tcW w:w="3196" w:type="dxa"/>
          </w:tcPr>
          <w:p w14:paraId="630DCBA1" w14:textId="77777777" w:rsidR="00F83D7E" w:rsidRDefault="00000000">
            <w:pPr>
              <w:spacing w:after="0" w:line="240" w:lineRule="auto"/>
              <w:ind w:right="55"/>
              <w:rPr>
                <w:rFonts w:ascii="Calibri" w:eastAsia="Calibri" w:hAnsi="Calibri" w:cs="Calibri"/>
              </w:rPr>
            </w:pPr>
            <w:r>
              <w:rPr>
                <w:rFonts w:ascii="Calibri" w:eastAsia="Calibri" w:hAnsi="Calibri" w:cs="Calibri"/>
              </w:rPr>
              <w:t>ROA (Before) – ROA (After)</w:t>
            </w:r>
          </w:p>
        </w:tc>
        <w:tc>
          <w:tcPr>
            <w:tcW w:w="2379" w:type="dxa"/>
          </w:tcPr>
          <w:p w14:paraId="2349C3AB"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0.029</w:t>
            </w:r>
          </w:p>
        </w:tc>
        <w:tc>
          <w:tcPr>
            <w:tcW w:w="1756" w:type="dxa"/>
          </w:tcPr>
          <w:p w14:paraId="5FE44B57"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166DF6C4" w14:textId="77777777">
        <w:trPr>
          <w:jc w:val="center"/>
        </w:trPr>
        <w:tc>
          <w:tcPr>
            <w:tcW w:w="3196" w:type="dxa"/>
          </w:tcPr>
          <w:p w14:paraId="16C6B63A" w14:textId="0C7911A5" w:rsidR="00F83D7E" w:rsidRDefault="00000000">
            <w:pPr>
              <w:spacing w:after="0" w:line="240" w:lineRule="auto"/>
              <w:ind w:right="55"/>
              <w:rPr>
                <w:rFonts w:ascii="Calibri" w:eastAsia="Calibri" w:hAnsi="Calibri" w:cs="Calibri"/>
              </w:rPr>
            </w:pPr>
            <w:r>
              <w:rPr>
                <w:rFonts w:ascii="Calibri" w:eastAsia="Calibri" w:hAnsi="Calibri" w:cs="Calibri"/>
              </w:rPr>
              <w:t>RO</w:t>
            </w:r>
            <w:r w:rsidR="0029084D">
              <w:rPr>
                <w:rFonts w:ascii="Calibri" w:eastAsia="Calibri" w:hAnsi="Calibri" w:cs="Calibri"/>
              </w:rPr>
              <w:t>E</w:t>
            </w:r>
            <w:r>
              <w:rPr>
                <w:rFonts w:ascii="Calibri" w:eastAsia="Calibri" w:hAnsi="Calibri" w:cs="Calibri"/>
              </w:rPr>
              <w:t xml:space="preserve"> (Before) – ROE (After)</w:t>
            </w:r>
          </w:p>
        </w:tc>
        <w:tc>
          <w:tcPr>
            <w:tcW w:w="2379" w:type="dxa"/>
          </w:tcPr>
          <w:p w14:paraId="60498132"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0.003</w:t>
            </w:r>
          </w:p>
        </w:tc>
        <w:tc>
          <w:tcPr>
            <w:tcW w:w="1756" w:type="dxa"/>
          </w:tcPr>
          <w:p w14:paraId="7EEE48DB"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0BA55558" w14:textId="77777777">
        <w:trPr>
          <w:jc w:val="center"/>
        </w:trPr>
        <w:tc>
          <w:tcPr>
            <w:tcW w:w="3196" w:type="dxa"/>
          </w:tcPr>
          <w:p w14:paraId="13A084C3" w14:textId="17493DB7" w:rsidR="00F83D7E" w:rsidRDefault="00000000">
            <w:pPr>
              <w:tabs>
                <w:tab w:val="left" w:pos="1865"/>
              </w:tabs>
              <w:spacing w:after="0" w:line="240" w:lineRule="auto"/>
              <w:ind w:right="55"/>
              <w:rPr>
                <w:rFonts w:ascii="Calibri" w:eastAsia="Calibri" w:hAnsi="Calibri" w:cs="Calibri"/>
              </w:rPr>
            </w:pPr>
            <w:r>
              <w:rPr>
                <w:rFonts w:ascii="Calibri" w:eastAsia="Calibri" w:hAnsi="Calibri" w:cs="Calibri"/>
              </w:rPr>
              <w:t>NPM</w:t>
            </w:r>
            <w:r w:rsidR="0029084D">
              <w:rPr>
                <w:rFonts w:ascii="Calibri" w:eastAsia="Calibri" w:hAnsi="Calibri" w:cs="Calibri"/>
              </w:rPr>
              <w:t xml:space="preserve"> </w:t>
            </w:r>
            <w:r>
              <w:rPr>
                <w:rFonts w:ascii="Calibri" w:eastAsia="Calibri" w:hAnsi="Calibri" w:cs="Calibri"/>
              </w:rPr>
              <w:t>(Before)</w:t>
            </w:r>
            <w:r w:rsidR="0029084D">
              <w:rPr>
                <w:rFonts w:ascii="Calibri" w:eastAsia="Calibri" w:hAnsi="Calibri" w:cs="Calibri"/>
              </w:rPr>
              <w:t xml:space="preserve"> – </w:t>
            </w:r>
            <w:r>
              <w:rPr>
                <w:rFonts w:ascii="Calibri" w:eastAsia="Calibri" w:hAnsi="Calibri" w:cs="Calibri"/>
              </w:rPr>
              <w:t>NPM (After)</w:t>
            </w:r>
          </w:p>
        </w:tc>
        <w:tc>
          <w:tcPr>
            <w:tcW w:w="2379" w:type="dxa"/>
          </w:tcPr>
          <w:p w14:paraId="1011F23A"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0.022</w:t>
            </w:r>
          </w:p>
        </w:tc>
        <w:tc>
          <w:tcPr>
            <w:tcW w:w="1756" w:type="dxa"/>
          </w:tcPr>
          <w:p w14:paraId="1B865631"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42482525" w14:textId="77777777">
        <w:trPr>
          <w:jc w:val="center"/>
        </w:trPr>
        <w:tc>
          <w:tcPr>
            <w:tcW w:w="3196" w:type="dxa"/>
          </w:tcPr>
          <w:p w14:paraId="60C7C5A4" w14:textId="0898F0BB" w:rsidR="00F83D7E" w:rsidRDefault="00000000">
            <w:pPr>
              <w:spacing w:after="0" w:line="240" w:lineRule="auto"/>
              <w:ind w:right="55"/>
              <w:rPr>
                <w:rFonts w:ascii="Calibri" w:eastAsia="Calibri" w:hAnsi="Calibri" w:cs="Calibri"/>
              </w:rPr>
            </w:pPr>
            <w:r>
              <w:rPr>
                <w:rFonts w:ascii="Calibri" w:eastAsia="Calibri" w:hAnsi="Calibri" w:cs="Calibri"/>
              </w:rPr>
              <w:t>DAR</w:t>
            </w:r>
            <w:r w:rsidR="0029084D">
              <w:rPr>
                <w:rFonts w:ascii="Calibri" w:eastAsia="Calibri" w:hAnsi="Calibri" w:cs="Calibri"/>
              </w:rPr>
              <w:t xml:space="preserve"> </w:t>
            </w:r>
            <w:r>
              <w:rPr>
                <w:rFonts w:ascii="Calibri" w:eastAsia="Calibri" w:hAnsi="Calibri" w:cs="Calibri"/>
              </w:rPr>
              <w:t>(Before) – DAR</w:t>
            </w:r>
            <w:r w:rsidR="0029084D">
              <w:rPr>
                <w:rFonts w:ascii="Calibri" w:eastAsia="Calibri" w:hAnsi="Calibri" w:cs="Calibri"/>
              </w:rPr>
              <w:t xml:space="preserve"> </w:t>
            </w:r>
            <w:r>
              <w:rPr>
                <w:rFonts w:ascii="Calibri" w:eastAsia="Calibri" w:hAnsi="Calibri" w:cs="Calibri"/>
              </w:rPr>
              <w:t>(After)</w:t>
            </w:r>
          </w:p>
        </w:tc>
        <w:tc>
          <w:tcPr>
            <w:tcW w:w="2379" w:type="dxa"/>
          </w:tcPr>
          <w:p w14:paraId="6AF61904"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0.124</w:t>
            </w:r>
          </w:p>
        </w:tc>
        <w:tc>
          <w:tcPr>
            <w:tcW w:w="1756" w:type="dxa"/>
          </w:tcPr>
          <w:p w14:paraId="7E2A92A1"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Not Significant</w:t>
            </w:r>
          </w:p>
        </w:tc>
      </w:tr>
      <w:tr w:rsidR="00F83D7E" w14:paraId="25DA6F1A" w14:textId="77777777">
        <w:trPr>
          <w:jc w:val="center"/>
        </w:trPr>
        <w:tc>
          <w:tcPr>
            <w:tcW w:w="3196" w:type="dxa"/>
          </w:tcPr>
          <w:p w14:paraId="64C5E39E" w14:textId="6E57E044" w:rsidR="00F83D7E" w:rsidRDefault="00000000">
            <w:pPr>
              <w:spacing w:after="0" w:line="240" w:lineRule="auto"/>
              <w:ind w:right="55"/>
              <w:rPr>
                <w:rFonts w:ascii="Calibri" w:eastAsia="Calibri" w:hAnsi="Calibri" w:cs="Calibri"/>
              </w:rPr>
            </w:pPr>
            <w:r>
              <w:rPr>
                <w:rFonts w:ascii="Calibri" w:eastAsia="Calibri" w:hAnsi="Calibri" w:cs="Calibri"/>
              </w:rPr>
              <w:t>DER</w:t>
            </w:r>
            <w:r w:rsidR="0029084D">
              <w:rPr>
                <w:rFonts w:ascii="Calibri" w:eastAsia="Calibri" w:hAnsi="Calibri" w:cs="Calibri"/>
              </w:rPr>
              <w:t xml:space="preserve"> </w:t>
            </w:r>
            <w:r>
              <w:rPr>
                <w:rFonts w:ascii="Calibri" w:eastAsia="Calibri" w:hAnsi="Calibri" w:cs="Calibri"/>
              </w:rPr>
              <w:t>(Before) – DER</w:t>
            </w:r>
            <w:r w:rsidR="0029084D">
              <w:rPr>
                <w:rFonts w:ascii="Calibri" w:eastAsia="Calibri" w:hAnsi="Calibri" w:cs="Calibri"/>
              </w:rPr>
              <w:t xml:space="preserve"> </w:t>
            </w:r>
            <w:r>
              <w:rPr>
                <w:rFonts w:ascii="Calibri" w:eastAsia="Calibri" w:hAnsi="Calibri" w:cs="Calibri"/>
              </w:rPr>
              <w:t>(After)</w:t>
            </w:r>
          </w:p>
        </w:tc>
        <w:tc>
          <w:tcPr>
            <w:tcW w:w="2379" w:type="dxa"/>
          </w:tcPr>
          <w:p w14:paraId="16BA02D0"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0.025</w:t>
            </w:r>
          </w:p>
        </w:tc>
        <w:tc>
          <w:tcPr>
            <w:tcW w:w="1756" w:type="dxa"/>
          </w:tcPr>
          <w:p w14:paraId="790A93F1"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0EC9D609" w14:textId="77777777">
        <w:trPr>
          <w:jc w:val="center"/>
        </w:trPr>
        <w:tc>
          <w:tcPr>
            <w:tcW w:w="3196" w:type="dxa"/>
          </w:tcPr>
          <w:p w14:paraId="47E4F74F" w14:textId="3C438298" w:rsidR="00F83D7E" w:rsidRDefault="00000000">
            <w:pPr>
              <w:spacing w:after="0" w:line="240" w:lineRule="auto"/>
              <w:ind w:right="55"/>
              <w:rPr>
                <w:rFonts w:ascii="Calibri" w:eastAsia="Calibri" w:hAnsi="Calibri" w:cs="Calibri"/>
              </w:rPr>
            </w:pPr>
            <w:r>
              <w:rPr>
                <w:rFonts w:ascii="Calibri" w:eastAsia="Calibri" w:hAnsi="Calibri" w:cs="Calibri"/>
              </w:rPr>
              <w:t>TAT</w:t>
            </w:r>
            <w:r w:rsidR="0029084D">
              <w:rPr>
                <w:rFonts w:ascii="Calibri" w:eastAsia="Calibri" w:hAnsi="Calibri" w:cs="Calibri"/>
              </w:rPr>
              <w:t xml:space="preserve"> </w:t>
            </w:r>
            <w:r>
              <w:rPr>
                <w:rFonts w:ascii="Calibri" w:eastAsia="Calibri" w:hAnsi="Calibri" w:cs="Calibri"/>
              </w:rPr>
              <w:t>(Before) – TAT</w:t>
            </w:r>
            <w:r w:rsidR="0029084D">
              <w:rPr>
                <w:rFonts w:ascii="Calibri" w:eastAsia="Calibri" w:hAnsi="Calibri" w:cs="Calibri"/>
              </w:rPr>
              <w:t xml:space="preserve"> </w:t>
            </w:r>
            <w:r>
              <w:rPr>
                <w:rFonts w:ascii="Calibri" w:eastAsia="Calibri" w:hAnsi="Calibri" w:cs="Calibri"/>
              </w:rPr>
              <w:t>(After)</w:t>
            </w:r>
          </w:p>
        </w:tc>
        <w:tc>
          <w:tcPr>
            <w:tcW w:w="2379" w:type="dxa"/>
          </w:tcPr>
          <w:p w14:paraId="35F07AC0"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0.008</w:t>
            </w:r>
          </w:p>
        </w:tc>
        <w:tc>
          <w:tcPr>
            <w:tcW w:w="1756" w:type="dxa"/>
          </w:tcPr>
          <w:p w14:paraId="65A1E48D"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r w:rsidR="00F83D7E" w14:paraId="37D9C7D2" w14:textId="77777777">
        <w:trPr>
          <w:jc w:val="center"/>
        </w:trPr>
        <w:tc>
          <w:tcPr>
            <w:tcW w:w="3196" w:type="dxa"/>
          </w:tcPr>
          <w:p w14:paraId="7024BE74" w14:textId="04F5DEA9" w:rsidR="00F83D7E" w:rsidRDefault="00000000">
            <w:pPr>
              <w:tabs>
                <w:tab w:val="left" w:pos="1581"/>
              </w:tabs>
              <w:spacing w:after="0" w:line="240" w:lineRule="auto"/>
              <w:ind w:right="55"/>
              <w:rPr>
                <w:rFonts w:ascii="Calibri" w:eastAsia="Calibri" w:hAnsi="Calibri" w:cs="Calibri"/>
              </w:rPr>
            </w:pPr>
            <w:r>
              <w:rPr>
                <w:rFonts w:ascii="Calibri" w:eastAsia="Calibri" w:hAnsi="Calibri" w:cs="Calibri"/>
              </w:rPr>
              <w:t>PER</w:t>
            </w:r>
            <w:r w:rsidR="0029084D">
              <w:rPr>
                <w:rFonts w:ascii="Calibri" w:eastAsia="Calibri" w:hAnsi="Calibri" w:cs="Calibri"/>
              </w:rPr>
              <w:t xml:space="preserve"> </w:t>
            </w:r>
            <w:r>
              <w:rPr>
                <w:rFonts w:ascii="Calibri" w:eastAsia="Calibri" w:hAnsi="Calibri" w:cs="Calibri"/>
              </w:rPr>
              <w:t>(Before) – PER</w:t>
            </w:r>
            <w:r w:rsidR="0029084D">
              <w:rPr>
                <w:rFonts w:ascii="Calibri" w:eastAsia="Calibri" w:hAnsi="Calibri" w:cs="Calibri"/>
              </w:rPr>
              <w:t xml:space="preserve"> </w:t>
            </w:r>
            <w:r>
              <w:rPr>
                <w:rFonts w:ascii="Calibri" w:eastAsia="Calibri" w:hAnsi="Calibri" w:cs="Calibri"/>
              </w:rPr>
              <w:t>(After)</w:t>
            </w:r>
          </w:p>
        </w:tc>
        <w:tc>
          <w:tcPr>
            <w:tcW w:w="2379" w:type="dxa"/>
          </w:tcPr>
          <w:p w14:paraId="4CAB6844"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0.656</w:t>
            </w:r>
          </w:p>
        </w:tc>
        <w:tc>
          <w:tcPr>
            <w:tcW w:w="1756" w:type="dxa"/>
          </w:tcPr>
          <w:p w14:paraId="66CBE9EB"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Not Significant</w:t>
            </w:r>
          </w:p>
        </w:tc>
      </w:tr>
      <w:tr w:rsidR="00F83D7E" w14:paraId="58C77E7F" w14:textId="77777777">
        <w:trPr>
          <w:jc w:val="center"/>
        </w:trPr>
        <w:tc>
          <w:tcPr>
            <w:tcW w:w="3196" w:type="dxa"/>
            <w:tcBorders>
              <w:bottom w:val="single" w:sz="4" w:space="0" w:color="000000"/>
            </w:tcBorders>
          </w:tcPr>
          <w:p w14:paraId="38D388E6" w14:textId="676B99E9" w:rsidR="00F83D7E" w:rsidRDefault="00000000">
            <w:pPr>
              <w:spacing w:after="0" w:line="240" w:lineRule="auto"/>
              <w:ind w:right="55"/>
              <w:rPr>
                <w:rFonts w:ascii="Calibri" w:eastAsia="Calibri" w:hAnsi="Calibri" w:cs="Calibri"/>
              </w:rPr>
            </w:pPr>
            <w:r>
              <w:rPr>
                <w:rFonts w:ascii="Calibri" w:eastAsia="Calibri" w:hAnsi="Calibri" w:cs="Calibri"/>
              </w:rPr>
              <w:t>PBV</w:t>
            </w:r>
            <w:r w:rsidR="0029084D">
              <w:rPr>
                <w:rFonts w:ascii="Calibri" w:eastAsia="Calibri" w:hAnsi="Calibri" w:cs="Calibri"/>
              </w:rPr>
              <w:t xml:space="preserve"> </w:t>
            </w:r>
            <w:r>
              <w:rPr>
                <w:rFonts w:ascii="Calibri" w:eastAsia="Calibri" w:hAnsi="Calibri" w:cs="Calibri"/>
              </w:rPr>
              <w:t>(before) – PBV</w:t>
            </w:r>
            <w:r w:rsidR="0029084D">
              <w:rPr>
                <w:rFonts w:ascii="Calibri" w:eastAsia="Calibri" w:hAnsi="Calibri" w:cs="Calibri"/>
              </w:rPr>
              <w:t xml:space="preserve"> </w:t>
            </w:r>
            <w:r>
              <w:rPr>
                <w:rFonts w:ascii="Calibri" w:eastAsia="Calibri" w:hAnsi="Calibri" w:cs="Calibri"/>
              </w:rPr>
              <w:t>(After)</w:t>
            </w:r>
          </w:p>
        </w:tc>
        <w:tc>
          <w:tcPr>
            <w:tcW w:w="2379" w:type="dxa"/>
            <w:tcBorders>
              <w:bottom w:val="single" w:sz="4" w:space="0" w:color="000000"/>
            </w:tcBorders>
          </w:tcPr>
          <w:p w14:paraId="2637AF94"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0.015</w:t>
            </w:r>
          </w:p>
        </w:tc>
        <w:tc>
          <w:tcPr>
            <w:tcW w:w="1756" w:type="dxa"/>
            <w:tcBorders>
              <w:bottom w:val="single" w:sz="4" w:space="0" w:color="000000"/>
            </w:tcBorders>
          </w:tcPr>
          <w:p w14:paraId="41579A4E" w14:textId="77777777" w:rsidR="00F83D7E" w:rsidRDefault="00000000">
            <w:pPr>
              <w:spacing w:after="0" w:line="240" w:lineRule="auto"/>
              <w:ind w:right="6"/>
              <w:jc w:val="center"/>
              <w:rPr>
                <w:rFonts w:ascii="Calibri" w:eastAsia="Calibri" w:hAnsi="Calibri" w:cs="Calibri"/>
              </w:rPr>
            </w:pPr>
            <w:r>
              <w:rPr>
                <w:rFonts w:ascii="Calibri" w:eastAsia="Calibri" w:hAnsi="Calibri" w:cs="Calibri"/>
              </w:rPr>
              <w:t>Significant</w:t>
            </w:r>
          </w:p>
        </w:tc>
      </w:tr>
    </w:tbl>
    <w:p w14:paraId="784CB802" w14:textId="77777777" w:rsidR="00F83D7E" w:rsidRDefault="00000000">
      <w:pPr>
        <w:spacing w:after="0" w:line="240" w:lineRule="auto"/>
        <w:jc w:val="both"/>
      </w:pPr>
      <w:r>
        <w:t xml:space="preserve">                Source: Financial Report and Share Price (processed)</w:t>
      </w:r>
    </w:p>
    <w:p w14:paraId="323C17D1" w14:textId="30AC1F3C" w:rsidR="00F83D7E" w:rsidRDefault="0029084D">
      <w:pPr>
        <w:spacing w:after="0" w:line="240" w:lineRule="auto"/>
        <w:ind w:firstLine="270"/>
        <w:jc w:val="both"/>
      </w:pPr>
      <w:r>
        <w:t>Th test result presented in table 4, shows there are significant difference in CR</w:t>
      </w:r>
      <w:r w:rsidRPr="003241B5">
        <w:t xml:space="preserve">, ROA , ROE, NPM, </w:t>
      </w:r>
      <w:r>
        <w:t>DER, TAT, and PBV before and after PSAK 72</w:t>
      </w:r>
      <w:r w:rsidR="0031261F">
        <w:t xml:space="preserve"> implementation</w:t>
      </w:r>
      <w:r>
        <w:t>, while there are no significant difference in DAR and PER</w:t>
      </w:r>
      <w:r w:rsidR="0031261F">
        <w:t xml:space="preserve"> before and after PSAK 72 implementation</w:t>
      </w:r>
      <w:r>
        <w:t>.</w:t>
      </w:r>
    </w:p>
    <w:p w14:paraId="466A86C4" w14:textId="7E343A26" w:rsidR="00F83D7E" w:rsidRDefault="00000000">
      <w:pPr>
        <w:tabs>
          <w:tab w:val="left" w:pos="540"/>
        </w:tabs>
        <w:spacing w:after="0" w:line="240" w:lineRule="auto"/>
        <w:jc w:val="both"/>
        <w:rPr>
          <w:b/>
        </w:rPr>
      </w:pPr>
      <w:r>
        <w:rPr>
          <w:b/>
        </w:rPr>
        <w:t>Financial Performance Before and After PSAK 72</w:t>
      </w:r>
      <w:r w:rsidR="0031261F">
        <w:rPr>
          <w:b/>
        </w:rPr>
        <w:t xml:space="preserve"> Implementation</w:t>
      </w:r>
      <w:r>
        <w:rPr>
          <w:b/>
        </w:rPr>
        <w:tab/>
      </w:r>
    </w:p>
    <w:p w14:paraId="7FC0DEDF" w14:textId="1CA393B7" w:rsidR="00F83D7E" w:rsidRDefault="00000000">
      <w:pPr>
        <w:tabs>
          <w:tab w:val="left" w:pos="540"/>
        </w:tabs>
        <w:spacing w:after="0" w:line="240" w:lineRule="auto"/>
        <w:ind w:firstLine="270"/>
        <w:jc w:val="both"/>
      </w:pPr>
      <w:r>
        <w:rPr>
          <w:b/>
        </w:rPr>
        <w:t>Current Ratio</w:t>
      </w:r>
      <w:r>
        <w:t xml:space="preserve">. The </w:t>
      </w:r>
      <w:r w:rsidR="0031261F">
        <w:t xml:space="preserve">analysis </w:t>
      </w:r>
      <w:r>
        <w:t xml:space="preserve">obtained show that there is a difference </w:t>
      </w:r>
      <w:r w:rsidRPr="003241B5">
        <w:t>in CR between before and after PSAK 72</w:t>
      </w:r>
      <w:r w:rsidR="002A20A8">
        <w:t xml:space="preserve"> implementation</w:t>
      </w:r>
      <w:r w:rsidRPr="003241B5">
        <w:t xml:space="preserve">. The results obtained are aligned with research results from </w:t>
      </w:r>
      <w:r w:rsidR="007C72BB">
        <w:fldChar w:fldCharType="begin" w:fldLock="1"/>
      </w:r>
      <w:r w:rsidR="007C72BB">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7C72BB">
        <w:fldChar w:fldCharType="separate"/>
      </w:r>
      <w:r w:rsidR="007C72BB" w:rsidRPr="007C72BB">
        <w:rPr>
          <w:noProof/>
        </w:rPr>
        <w:t xml:space="preserve">Casnila &amp; Nurfitriana </w:t>
      </w:r>
      <w:r w:rsidR="007C72BB">
        <w:rPr>
          <w:noProof/>
        </w:rPr>
        <w:t>(</w:t>
      </w:r>
      <w:r w:rsidR="007C72BB" w:rsidRPr="007C72BB">
        <w:rPr>
          <w:noProof/>
        </w:rPr>
        <w:t>2020)</w:t>
      </w:r>
      <w:r w:rsidR="007C72BB">
        <w:fldChar w:fldCharType="end"/>
      </w:r>
      <w:r w:rsidRPr="003241B5">
        <w:t xml:space="preserve"> and </w:t>
      </w:r>
      <w:r w:rsidR="007C72BB">
        <w:fldChar w:fldCharType="begin" w:fldLock="1"/>
      </w:r>
      <w:r w:rsidR="007C72BB">
        <w:instrText>ADDIN CSL_CITATION {"citationItems":[{"id":"ITEM-1","itemData":{"DOI":"https://doi.org/10.35313/irwns.v10i1.1451","author":[{"dropping-particle":"","family":"Veronica","given":"","non-dropping-particle":"","parse-names":false,"suffix":""},{"dropping-particle":"","family":"Lestari","given":"Utami Puji","non-dropping-particle":"","parse-names":false,"suffix":""},{"dropping-particle":"","family":"Metekohy","given":"Elisabeth Yansye","non-dropping-particle":"","parse-names":false,"suffix":""}],"container-title":"Journal Accounting","id":"ITEM-1","issue":"4","issued":{"date-parts":[["2019"]]},"page":"965-972","title":"Analisis Dampak Penerapan Pengakuan Pendapatan Berdasarkan PSAK 72 Terhadap Kinerja Keuangan Perusahaan Real Estate di Indonesia yang Terdaftar di Bursa Efek Indonesia Tahun 2018","type":"article-journal","volume":"34"},"uris":["http://www.mendeley.com/documents/?uuid=228f1867-ecd5-402a-9bdd-5125e8157374"]}],"mendeley":{"formattedCitation":"(Veronica et al., 2019)","manualFormatting":"Veronica et al. (2019)","plainTextFormattedCitation":"(Veronica et al., 2019)","previouslyFormattedCitation":"(Veronica et al., 2019)"},"properties":{"noteIndex":0},"schema":"https://github.com/citation-style-language/schema/raw/master/csl-citation.json"}</w:instrText>
      </w:r>
      <w:r w:rsidR="007C72BB">
        <w:fldChar w:fldCharType="separate"/>
      </w:r>
      <w:r w:rsidR="007C72BB" w:rsidRPr="007C72BB">
        <w:rPr>
          <w:noProof/>
        </w:rPr>
        <w:t xml:space="preserve">Veronica et al. </w:t>
      </w:r>
      <w:r w:rsidR="007C72BB">
        <w:rPr>
          <w:noProof/>
        </w:rPr>
        <w:t>(</w:t>
      </w:r>
      <w:r w:rsidR="007C72BB" w:rsidRPr="007C72BB">
        <w:rPr>
          <w:noProof/>
        </w:rPr>
        <w:t>2019)</w:t>
      </w:r>
      <w:r w:rsidR="007C72BB">
        <w:fldChar w:fldCharType="end"/>
      </w:r>
      <w:r w:rsidRPr="003241B5">
        <w:t xml:space="preserve"> which state that there is a significant difference in CR between before and after PSAK 72</w:t>
      </w:r>
      <w:r w:rsidR="007C72BB">
        <w:t xml:space="preserve"> implementation</w:t>
      </w:r>
      <w:r w:rsidRPr="003241B5">
        <w:t xml:space="preserve">, but it is not in line with research </w:t>
      </w:r>
      <w:r w:rsidR="0031261F">
        <w:t xml:space="preserve">result </w:t>
      </w:r>
      <w:r w:rsidRPr="003241B5">
        <w:t xml:space="preserve">by </w:t>
      </w:r>
      <w:r w:rsidR="007C72BB">
        <w:fldChar w:fldCharType="begin" w:fldLock="1"/>
      </w:r>
      <w:r w:rsidR="007C72BB">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7C72BB">
        <w:fldChar w:fldCharType="separate"/>
      </w:r>
      <w:r w:rsidR="007C72BB" w:rsidRPr="007C72BB">
        <w:rPr>
          <w:noProof/>
        </w:rPr>
        <w:t xml:space="preserve">Atho &amp; Rahayu </w:t>
      </w:r>
      <w:r w:rsidR="007C72BB">
        <w:rPr>
          <w:noProof/>
        </w:rPr>
        <w:t>(</w:t>
      </w:r>
      <w:r w:rsidR="007C72BB" w:rsidRPr="007C72BB">
        <w:rPr>
          <w:noProof/>
        </w:rPr>
        <w:t>2022)</w:t>
      </w:r>
      <w:r w:rsidR="007C72BB">
        <w:fldChar w:fldCharType="end"/>
      </w:r>
      <w:r w:rsidR="0031261F">
        <w:t xml:space="preserve">, </w:t>
      </w:r>
      <w:r w:rsidRPr="003241B5">
        <w:t xml:space="preserve">states that changes in the value of one </w:t>
      </w:r>
      <w:r w:rsidR="007C72BB" w:rsidRPr="003241B5">
        <w:t>current assets</w:t>
      </w:r>
      <w:r w:rsidR="007C72BB">
        <w:t xml:space="preserve"> </w:t>
      </w:r>
      <w:r w:rsidRPr="003241B5">
        <w:t xml:space="preserve">due to the PSAK 72 </w:t>
      </w:r>
      <w:r w:rsidR="007C72BB">
        <w:t xml:space="preserve">implementation </w:t>
      </w:r>
      <w:r w:rsidRPr="003241B5">
        <w:t>does not have a major effect on the overall current assets. These results correspond with the hy</w:t>
      </w:r>
      <w:r>
        <w:t xml:space="preserve">pothesis that has been made that there are differences in financial performance using </w:t>
      </w:r>
      <w:r w:rsidR="007C72BB">
        <w:t>CR</w:t>
      </w:r>
      <w:r>
        <w:t xml:space="preserve">. </w:t>
      </w:r>
      <w:r w:rsidR="0031261F">
        <w:t>T</w:t>
      </w:r>
      <w:r>
        <w:t xml:space="preserve">his research </w:t>
      </w:r>
      <w:r w:rsidR="0031261F">
        <w:t xml:space="preserve">result </w:t>
      </w:r>
      <w:r>
        <w:t>are in line with positive accounting theory</w:t>
      </w:r>
      <w:r w:rsidR="0031261F">
        <w:t>,</w:t>
      </w:r>
      <w:r>
        <w:t xml:space="preserve"> which states that every accounting practice carried out will have an impact/consequence from that practice </w:t>
      </w:r>
      <w:r w:rsidR="007C72BB">
        <w:fldChar w:fldCharType="begin" w:fldLock="1"/>
      </w:r>
      <w:r w:rsidR="000E28E0">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7C72BB">
        <w:fldChar w:fldCharType="separate"/>
      </w:r>
      <w:r w:rsidR="007C72BB" w:rsidRPr="007C72BB">
        <w:rPr>
          <w:noProof/>
        </w:rPr>
        <w:t>(Watts &amp; Zimmerman, 1986)</w:t>
      </w:r>
      <w:r w:rsidR="007C72BB">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0E28E0">
        <w:fldChar w:fldCharType="begin" w:fldLock="1"/>
      </w:r>
      <w:r w:rsidR="000E28E0">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0E28E0">
        <w:fldChar w:fldCharType="separate"/>
      </w:r>
      <w:r w:rsidR="000E28E0" w:rsidRPr="000E28E0">
        <w:rPr>
          <w:noProof/>
        </w:rPr>
        <w:t>(Indonesian Accountants Association (IAI), 2022)</w:t>
      </w:r>
      <w:r w:rsidR="000E28E0">
        <w:fldChar w:fldCharType="end"/>
      </w:r>
      <w:r>
        <w:t xml:space="preserve">. This new income recognition will have a consequence, namely the difference in </w:t>
      </w:r>
      <w:r w:rsidR="000E28E0">
        <w:t xml:space="preserve">CR </w:t>
      </w:r>
      <w:r>
        <w:t>before and after PSAK 72</w:t>
      </w:r>
      <w:r w:rsidR="000E28E0">
        <w:t xml:space="preserve"> implementation</w:t>
      </w:r>
      <w:r>
        <w:t xml:space="preserve">. </w:t>
      </w:r>
    </w:p>
    <w:p w14:paraId="253310C4" w14:textId="45C0147C" w:rsidR="00F83D7E" w:rsidRDefault="00000000">
      <w:pPr>
        <w:tabs>
          <w:tab w:val="left" w:pos="540"/>
        </w:tabs>
        <w:spacing w:after="0" w:line="240" w:lineRule="auto"/>
        <w:ind w:firstLine="270"/>
        <w:jc w:val="both"/>
      </w:pPr>
      <w:r>
        <w:t xml:space="preserve">This difference could occur because changes in revenue recognition after implementing PSAK 72 will affect how account receivables can be recognized. The financial reports of the companies in this research show that many companies adjusted the value of receivables to be smaller at the start of implementing PSAK 72. This happened because companies needed to identify contracts to choose which ones could be classified as revenue/sales. Revenue according to PSAK 72 can only be recognized if the customer has obtained benefits from the goods or services agreed upon in the contract and the performance obligations have been done by the company </w:t>
      </w:r>
      <w:r w:rsidR="000E28E0">
        <w:fldChar w:fldCharType="begin" w:fldLock="1"/>
      </w:r>
      <w:r w:rsidR="000E28E0">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2020)","plainTextFormattedCitation":"(Casnila &amp; Nurfitriana, 2020)","previouslyFormattedCitation":"(Casnila &amp; Nurfitriana, 2020)"},"properties":{"noteIndex":0},"schema":"https://github.com/citation-style-language/schema/raw/master/csl-citation.json"}</w:instrText>
      </w:r>
      <w:r w:rsidR="000E28E0">
        <w:fldChar w:fldCharType="separate"/>
      </w:r>
      <w:r w:rsidR="000E28E0" w:rsidRPr="000E28E0">
        <w:rPr>
          <w:noProof/>
        </w:rPr>
        <w:t>(Casnila &amp; Nurfitriana, 2020)</w:t>
      </w:r>
      <w:r w:rsidR="000E28E0">
        <w:fldChar w:fldCharType="end"/>
      </w:r>
      <w:r>
        <w:t xml:space="preserve">. Revenue that does not meet the criteria will not be recognized so it will not be recorded as trade receivables for revenue. A decrease of receivables will reduce the value of current assets which will cause the company's financial performance as measured by CR to decline, where the average value of CR is lower than before the implementation of PSAK 72. This shows that there has been a decrease in the company's ability to pay off its </w:t>
      </w:r>
      <w:r w:rsidR="0031261F">
        <w:t xml:space="preserve">current </w:t>
      </w:r>
      <w:r>
        <w:t>liabilities.</w:t>
      </w:r>
    </w:p>
    <w:p w14:paraId="3316FD81" w14:textId="459D859F" w:rsidR="00F83D7E" w:rsidRDefault="00000000">
      <w:pPr>
        <w:tabs>
          <w:tab w:val="left" w:pos="540"/>
        </w:tabs>
        <w:spacing w:after="0" w:line="240" w:lineRule="auto"/>
        <w:ind w:firstLine="270"/>
        <w:jc w:val="both"/>
      </w:pPr>
      <w:r>
        <w:rPr>
          <w:b/>
        </w:rPr>
        <w:lastRenderedPageBreak/>
        <w:t>Return on Asset</w:t>
      </w:r>
      <w:r>
        <w:t>. The results obtained show that there is a difference in ROA between before and after PSAK 72</w:t>
      </w:r>
      <w:r w:rsidR="000E28E0">
        <w:t xml:space="preserve"> implementation</w:t>
      </w:r>
      <w:r>
        <w:t xml:space="preserve">. The relatively large difference between the average value of ROA before and after PSAK 72 </w:t>
      </w:r>
      <w:r w:rsidR="0031261F">
        <w:t xml:space="preserve">implementation, </w:t>
      </w:r>
      <w:r>
        <w:t>supports the results of a significant difference in ROA between before and after PSAK 72</w:t>
      </w:r>
      <w:r w:rsidR="000E28E0">
        <w:t xml:space="preserve"> implementation</w:t>
      </w:r>
      <w:r>
        <w:t xml:space="preserve">. Results of this research is different from </w:t>
      </w:r>
      <w:r w:rsidR="000E28E0">
        <w:fldChar w:fldCharType="begin" w:fldLock="1"/>
      </w:r>
      <w:r w:rsidR="000E28E0">
        <w:instrText>ADDIN CSL_CITATION {"citationItems":[{"id":"ITEM-1","itemData":{"DOI":"10.59141/jrssem.v1i10.179","author":[{"dropping-particle":"","family":"Mashuri","given":"Ayunita Ajengtiyas Saputri","non-dropping-particle":"","parse-names":false,"suffix":""},{"dropping-particle":"","family":"Sari","given":"Ratna Hindria Dyah Pita","non-dropping-particle":"","parse-names":false,"suffix":""}],"container-title":"Journal Research of Social Science, Economics, and Management","id":"ITEM-1","issue":"10","issued":{"date-parts":[["2022"]]},"page":"1621-1632","title":"Impact of Implementing Revenue Recognition Based on Psak 72 in the COVID-19 Pandemic Period","type":"article-journal","volume":"1"},"uris":["http://www.mendeley.com/documents/?uuid=4701221e-fc9e-400a-8125-63bf73397740"]}],"mendeley":{"formattedCitation":"(Mashuri &amp; Sari, 2022)","plainTextFormattedCitation":"(Mashuri &amp; Sari, 2022)","previouslyFormattedCitation":"(Mashuri &amp; Sari, 2022)"},"properties":{"noteIndex":0},"schema":"https://github.com/citation-style-language/schema/raw/master/csl-citation.json"}</w:instrText>
      </w:r>
      <w:r w:rsidR="000E28E0">
        <w:fldChar w:fldCharType="separate"/>
      </w:r>
      <w:r w:rsidR="000E28E0" w:rsidRPr="000E28E0">
        <w:rPr>
          <w:noProof/>
        </w:rPr>
        <w:t>(Mashuri &amp; Sari, 2022)</w:t>
      </w:r>
      <w:r w:rsidR="000E28E0">
        <w:fldChar w:fldCharType="end"/>
      </w:r>
      <w:r>
        <w:t xml:space="preserve"> who state that PSAK 72 </w:t>
      </w:r>
      <w:r w:rsidR="000E28E0">
        <w:t xml:space="preserve">implementation </w:t>
      </w:r>
      <w:r>
        <w:t xml:space="preserve">has no effect on ROA because the company is considered to have prepared financial reports well in accordance with PSAK 72. These results are in accordance with the hypothesis that has been made that there are differences in financial performance using ROA. The results of this research are in line with positive accounting theory which states that every accounting practice carried out will have a consequence from that practice </w:t>
      </w:r>
      <w:r w:rsidR="000E28E0">
        <w:fldChar w:fldCharType="begin" w:fldLock="1"/>
      </w:r>
      <w:r w:rsidR="000E28E0">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E28E0">
        <w:fldChar w:fldCharType="separate"/>
      </w:r>
      <w:r w:rsidR="000E28E0" w:rsidRPr="000E28E0">
        <w:rPr>
          <w:noProof/>
        </w:rPr>
        <w:t>(Watts &amp; Zimmerman, 1986)</w:t>
      </w:r>
      <w:r w:rsidR="000E28E0">
        <w:fldChar w:fldCharType="end"/>
      </w:r>
      <w:r>
        <w:t>. The application of PSAK 72 as a standard that regulates revenue has a new way of recognizing revenue, namely that revenue can be recognized if the implementation of obligations in the contract has been completed to the customer</w:t>
      </w:r>
      <w:r w:rsidR="003C4039">
        <w:t xml:space="preserve"> </w:t>
      </w:r>
      <w:r w:rsidR="003C4039">
        <w:fldChar w:fldCharType="begin" w:fldLock="1"/>
      </w:r>
      <w:r w:rsidR="003C4039">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3C4039">
        <w:fldChar w:fldCharType="separate"/>
      </w:r>
      <w:r w:rsidR="003C4039" w:rsidRPr="003C4039">
        <w:rPr>
          <w:noProof/>
        </w:rPr>
        <w:t>(Indonesian Accountants Association (IAI), 2022)</w:t>
      </w:r>
      <w:r w:rsidR="003C4039">
        <w:fldChar w:fldCharType="end"/>
      </w:r>
      <w:r w:rsidR="003C4039">
        <w:t>.</w:t>
      </w:r>
      <w:r>
        <w:t xml:space="preserve"> This new revenue recognition will have a consequence, namely the difference in ROA before and after PSAK 72</w:t>
      </w:r>
      <w:r w:rsidR="000E28E0">
        <w:t xml:space="preserve"> implementation</w:t>
      </w:r>
      <w:r>
        <w:t xml:space="preserve">. </w:t>
      </w:r>
    </w:p>
    <w:p w14:paraId="14081096" w14:textId="11ADE29F" w:rsidR="00F83D7E" w:rsidRDefault="00000000">
      <w:pPr>
        <w:tabs>
          <w:tab w:val="left" w:pos="540"/>
        </w:tabs>
        <w:spacing w:after="0" w:line="240" w:lineRule="auto"/>
        <w:ind w:firstLine="270"/>
        <w:jc w:val="both"/>
      </w:pPr>
      <w:r>
        <w:t xml:space="preserve">The results of this </w:t>
      </w:r>
      <w:r w:rsidRPr="003241B5">
        <w:t>research represent that</w:t>
      </w:r>
      <w:r>
        <w:t xml:space="preserve"> the implementation of PSAK 72 results in lower financial performance as measured by ROA. A decrease in ROA indicates that the company's ability to generate profits is relatively worse. The contributing factor is that the company is unable to make a strategic plan to use all its assets efficiently and effectively. This is supported by an analysis of the financial statements of the companies showing that the value of the company's total assets increases every year but the profit value actually decreases every year, causing the ROA value to also decrease every year. Companies must be able to effectively and efficiently use their assets to carry out development so that asset turnover within the company becomes more optimal and income can also increase in proportion to the use of its assets. The implementation of PSAK 72 will not automatically make the revenue value better, because revenue can only be recognized when the customer has obtained the goods and also has control over the goods obtained. Real estate companies need to try to fulfill their obligations as soon as possible to be able to recognize this revenue or at least carry out the development stages more quickly considering that revenue can also be recognized with a percentage of completion, especially those from long-term contracts. That way, the company's income can be higher, which will then increase profits so that ROA will be better.</w:t>
      </w:r>
    </w:p>
    <w:p w14:paraId="1471125A" w14:textId="4BE9C821" w:rsidR="00F83D7E" w:rsidRDefault="00000000">
      <w:pPr>
        <w:tabs>
          <w:tab w:val="left" w:pos="540"/>
        </w:tabs>
        <w:spacing w:after="0" w:line="240" w:lineRule="auto"/>
        <w:ind w:firstLine="270"/>
        <w:jc w:val="both"/>
      </w:pPr>
      <w:r>
        <w:rPr>
          <w:b/>
        </w:rPr>
        <w:t>Return on Equity</w:t>
      </w:r>
      <w:r>
        <w:t>. The results obtained show that there is a difference in ROE between</w:t>
      </w:r>
      <w:r w:rsidR="003241B5">
        <w:t xml:space="preserve"> before</w:t>
      </w:r>
      <w:r>
        <w:t xml:space="preserve"> and after PSAK 72</w:t>
      </w:r>
      <w:r w:rsidR="000E28E0">
        <w:t xml:space="preserve"> implementation</w:t>
      </w:r>
      <w:r>
        <w:t xml:space="preserve">. The relatively large difference between the average value of ROE between before and after PSAK 72 </w:t>
      </w:r>
      <w:r w:rsidR="000E28E0">
        <w:t xml:space="preserve">implementation </w:t>
      </w:r>
      <w:r>
        <w:t>supports the results of a significant difference in ROE between before and after PSAK 72</w:t>
      </w:r>
      <w:r w:rsidR="000E28E0">
        <w:t xml:space="preserve"> implementation</w:t>
      </w:r>
      <w:r>
        <w:t xml:space="preserve">. The results of this research regarding ROE is supported by research by </w:t>
      </w:r>
      <w:r w:rsidR="000E28E0">
        <w:fldChar w:fldCharType="begin" w:fldLock="1"/>
      </w:r>
      <w:r w:rsidR="000E28E0">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0E28E0">
        <w:fldChar w:fldCharType="separate"/>
      </w:r>
      <w:r w:rsidR="000E28E0" w:rsidRPr="000E28E0">
        <w:rPr>
          <w:noProof/>
        </w:rPr>
        <w:t xml:space="preserve">Atho &amp; Rahayu </w:t>
      </w:r>
      <w:r w:rsidR="000E28E0">
        <w:rPr>
          <w:noProof/>
        </w:rPr>
        <w:t>(</w:t>
      </w:r>
      <w:r w:rsidR="000E28E0" w:rsidRPr="000E28E0">
        <w:rPr>
          <w:noProof/>
        </w:rPr>
        <w:t>2022)</w:t>
      </w:r>
      <w:r w:rsidR="000E28E0">
        <w:fldChar w:fldCharType="end"/>
      </w:r>
      <w:r>
        <w:t xml:space="preserve"> which shows that PSAK 72 does have a significant negative effect on ROE, which means it causes the ROE value to decrease. These results are </w:t>
      </w:r>
      <w:r w:rsidRPr="003241B5">
        <w:t>in line</w:t>
      </w:r>
      <w:r>
        <w:t xml:space="preserve"> with the hypothesis that has been made that there are differences in financial performance using ROE. The results of this research are in line with positive accounting theory which states that every accounting practice carried out will have an impact/consequence from that practice </w:t>
      </w:r>
      <w:r w:rsidR="000E28E0">
        <w:fldChar w:fldCharType="begin" w:fldLock="1"/>
      </w:r>
      <w:r w:rsidR="000E28E0">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E28E0">
        <w:fldChar w:fldCharType="separate"/>
      </w:r>
      <w:r w:rsidR="000E28E0" w:rsidRPr="000E28E0">
        <w:rPr>
          <w:noProof/>
        </w:rPr>
        <w:t>(Watts &amp; Zimmerman, 1986)</w:t>
      </w:r>
      <w:r w:rsidR="000E28E0">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3C4039">
        <w:fldChar w:fldCharType="begin" w:fldLock="1"/>
      </w:r>
      <w:r w:rsidR="003C4039">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2022)"},"properties":{"noteIndex":0},"schema":"https://github.com/citation-style-language/schema/raw/master/csl-citation.json"}</w:instrText>
      </w:r>
      <w:r w:rsidR="003C4039">
        <w:fldChar w:fldCharType="separate"/>
      </w:r>
      <w:r w:rsidR="003C4039" w:rsidRPr="003C4039">
        <w:rPr>
          <w:noProof/>
        </w:rPr>
        <w:t>(Indonesian Accountants Association (IAI), 2022)</w:t>
      </w:r>
      <w:r w:rsidR="003C4039">
        <w:fldChar w:fldCharType="end"/>
      </w:r>
      <w:r>
        <w:t>. This new revenue recognition will have a consequence, namely the difference in ROE before and after PSAK 72</w:t>
      </w:r>
      <w:r w:rsidR="000E28E0">
        <w:t xml:space="preserve"> implementation</w:t>
      </w:r>
      <w:r>
        <w:t>.</w:t>
      </w:r>
    </w:p>
    <w:p w14:paraId="50D9C197" w14:textId="2EDD8EA9" w:rsidR="00F83D7E" w:rsidRDefault="00000000">
      <w:pPr>
        <w:tabs>
          <w:tab w:val="left" w:pos="540"/>
        </w:tabs>
        <w:spacing w:after="0" w:line="240" w:lineRule="auto"/>
        <w:ind w:firstLine="270"/>
        <w:jc w:val="both"/>
      </w:pPr>
      <w:r>
        <w:t xml:space="preserve">ROE after implementing PSAK 72 can be said to be quite bad. A higher ROE means that the company's performance in managing its capital is getting better in order to generate profits. </w:t>
      </w:r>
      <w:r>
        <w:lastRenderedPageBreak/>
        <w:t>If ROE is low, it will reflect that the company's net profit is also low. This can result in poor company value in the eyes of investors because they think company management has failed to increase shareholder value in accordance with its objectives. Real estate companies need to try to fulfill their obligations as quickly as possible to be able to recognize their income. That way, the company's income can be higher, which will then increase profits so ROE will be better.</w:t>
      </w:r>
    </w:p>
    <w:p w14:paraId="4CE48EDA" w14:textId="6E483455" w:rsidR="00F83D7E" w:rsidRDefault="00000000">
      <w:pPr>
        <w:tabs>
          <w:tab w:val="left" w:pos="540"/>
        </w:tabs>
        <w:spacing w:after="0" w:line="240" w:lineRule="auto"/>
        <w:ind w:firstLine="270"/>
        <w:jc w:val="both"/>
      </w:pPr>
      <w:r>
        <w:rPr>
          <w:b/>
        </w:rPr>
        <w:t>Net Profit Margin</w:t>
      </w:r>
      <w:r>
        <w:t>. The results obtained show that there is a difference in NPM between</w:t>
      </w:r>
      <w:r w:rsidR="003241B5">
        <w:t xml:space="preserve"> before</w:t>
      </w:r>
      <w:r>
        <w:t xml:space="preserve"> and after PSAK 72</w:t>
      </w:r>
      <w:r w:rsidR="005222A9">
        <w:t xml:space="preserve"> implementation</w:t>
      </w:r>
      <w:r>
        <w:t xml:space="preserve">. The research results obtained are in line with the research of </w:t>
      </w:r>
      <w:r w:rsidR="005222A9">
        <w:fldChar w:fldCharType="begin" w:fldLock="1"/>
      </w:r>
      <w:r w:rsidR="005222A9">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5222A9">
        <w:fldChar w:fldCharType="separate"/>
      </w:r>
      <w:r w:rsidR="005222A9" w:rsidRPr="005222A9">
        <w:rPr>
          <w:noProof/>
        </w:rPr>
        <w:t xml:space="preserve">Atho &amp; Rahayu </w:t>
      </w:r>
      <w:r w:rsidR="005222A9">
        <w:rPr>
          <w:noProof/>
        </w:rPr>
        <w:t>(</w:t>
      </w:r>
      <w:r w:rsidR="005222A9" w:rsidRPr="005222A9">
        <w:rPr>
          <w:noProof/>
        </w:rPr>
        <w:t>2022)</w:t>
      </w:r>
      <w:r w:rsidR="005222A9">
        <w:fldChar w:fldCharType="end"/>
      </w:r>
      <w:r>
        <w:t xml:space="preserve"> </w:t>
      </w:r>
      <w:r w:rsidR="0031261F">
        <w:t xml:space="preserve">also </w:t>
      </w:r>
      <w:r w:rsidR="005222A9">
        <w:fldChar w:fldCharType="begin" w:fldLock="1"/>
      </w:r>
      <w:r w:rsidR="005222A9">
        <w:instrText>ADDIN CSL_CITATION {"citationItems":[{"id":"ITEM-1","itemData":{"DOI":"https://doi.org/10.33508/rima.v4i2.3529","author":[{"dropping-particle":"","family":"Fransisca","given":"Juni","non-dropping-particle":"","parse-names":false,"suffix":""},{"dropping-particle":"","family":"Ahalik","given":"Ahalik","non-dropping-particle":"","parse-names":false,"suffix":""}],"container-title":"Research In Management and Accounting","id":"ITEM-1","issue":"2","issued":{"date-parts":[["2021"]]},"page":"106–117","title":"Effect Of PSAK 72 Implementation In Property And Real Estate’s Financial Health","type":"article-journal","volume":"4"},"uris":["http://www.mendeley.com/documents/?uuid=dbc3d544-e7ad-43a7-8aef-8e330ed1f64d"]}],"mendeley":{"formattedCitation":"(Fransisca &amp; Ahalik, 2021)","manualFormatting":"Fransisca &amp; Ahalik (2021)","plainTextFormattedCitation":"(Fransisca &amp; Ahalik, 2021)","previouslyFormattedCitation":"(Fransisca &amp; Ahalik, 2021)"},"properties":{"noteIndex":0},"schema":"https://github.com/citation-style-language/schema/raw/master/csl-citation.json"}</w:instrText>
      </w:r>
      <w:r w:rsidR="005222A9">
        <w:fldChar w:fldCharType="separate"/>
      </w:r>
      <w:r w:rsidR="005222A9" w:rsidRPr="005222A9">
        <w:rPr>
          <w:noProof/>
        </w:rPr>
        <w:t xml:space="preserve">Fransisca &amp; Ahalik </w:t>
      </w:r>
      <w:r w:rsidR="005222A9">
        <w:rPr>
          <w:noProof/>
        </w:rPr>
        <w:t>(</w:t>
      </w:r>
      <w:r w:rsidR="005222A9" w:rsidRPr="005222A9">
        <w:rPr>
          <w:noProof/>
        </w:rPr>
        <w:t>2021)</w:t>
      </w:r>
      <w:r w:rsidR="005222A9">
        <w:fldChar w:fldCharType="end"/>
      </w:r>
      <w:r>
        <w:t xml:space="preserve">, but this is not in accordance with the research results from </w:t>
      </w:r>
      <w:r w:rsidR="005222A9">
        <w:fldChar w:fldCharType="begin" w:fldLock="1"/>
      </w:r>
      <w:r w:rsidR="005222A9">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5222A9">
        <w:fldChar w:fldCharType="separate"/>
      </w:r>
      <w:r w:rsidR="005222A9" w:rsidRPr="005222A9">
        <w:rPr>
          <w:noProof/>
        </w:rPr>
        <w:t xml:space="preserve">Casnila &amp; Nurfitriana </w:t>
      </w:r>
      <w:r w:rsidR="005222A9">
        <w:rPr>
          <w:noProof/>
        </w:rPr>
        <w:t>(</w:t>
      </w:r>
      <w:r w:rsidR="005222A9" w:rsidRPr="005222A9">
        <w:rPr>
          <w:noProof/>
        </w:rPr>
        <w:t>2020)</w:t>
      </w:r>
      <w:r w:rsidR="005222A9">
        <w:fldChar w:fldCharType="end"/>
      </w:r>
      <w:r>
        <w:t xml:space="preserve"> which </w:t>
      </w:r>
      <w:r w:rsidR="000A05A0">
        <w:t xml:space="preserve">show </w:t>
      </w:r>
      <w:r>
        <w:t xml:space="preserve">there was no difference in </w:t>
      </w:r>
      <w:r w:rsidR="003241B5">
        <w:t>NPM before</w:t>
      </w:r>
      <w:r>
        <w:t xml:space="preserve"> and after PSAK 72 </w:t>
      </w:r>
      <w:r w:rsidR="005222A9">
        <w:t xml:space="preserve">implementation </w:t>
      </w:r>
      <w:r>
        <w:t xml:space="preserve">because the increase and decrease in the value of the revenue account was also followed by an increase and a significant decrease in the value of the operating expense account so that profits fluctuate every year. These results are in accordance with the hypothesis that has been made that there </w:t>
      </w:r>
      <w:r w:rsidRPr="003241B5">
        <w:t>are discrepancy</w:t>
      </w:r>
      <w:r>
        <w:t xml:space="preserve"> in financial performance using </w:t>
      </w:r>
      <w:r w:rsidR="005222A9">
        <w:t>NPM</w:t>
      </w:r>
      <w:r>
        <w:t xml:space="preserve">. The results of this research are in line with positive accounting theory which states that every accounting practice carried out will have an impact/consequence from that practice </w:t>
      </w:r>
      <w:r w:rsidR="005222A9">
        <w:fldChar w:fldCharType="begin" w:fldLock="1"/>
      </w:r>
      <w:r w:rsidR="005222A9">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5222A9">
        <w:fldChar w:fldCharType="separate"/>
      </w:r>
      <w:r w:rsidR="005222A9" w:rsidRPr="005222A9">
        <w:rPr>
          <w:noProof/>
        </w:rPr>
        <w:t>(Watts &amp; Zimmerman, 1986)</w:t>
      </w:r>
      <w:r w:rsidR="005222A9">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5222A9">
        <w:fldChar w:fldCharType="begin" w:fldLock="1"/>
      </w:r>
      <w:r w:rsidR="005222A9">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5222A9">
        <w:fldChar w:fldCharType="separate"/>
      </w:r>
      <w:r w:rsidR="005222A9" w:rsidRPr="005222A9">
        <w:rPr>
          <w:noProof/>
        </w:rPr>
        <w:t>(Indonesian Accountants Association (IAI), 2022)</w:t>
      </w:r>
      <w:r w:rsidR="005222A9">
        <w:fldChar w:fldCharType="end"/>
      </w:r>
      <w:r>
        <w:t xml:space="preserve">. This new revenue recognition will have a consequence, namely the difference in </w:t>
      </w:r>
      <w:r w:rsidR="003241B5">
        <w:t>NPM before</w:t>
      </w:r>
      <w:r>
        <w:t xml:space="preserve"> and after PSAK 72</w:t>
      </w:r>
      <w:r w:rsidR="005222A9">
        <w:t xml:space="preserve"> implementation</w:t>
      </w:r>
      <w:r>
        <w:t>.</w:t>
      </w:r>
    </w:p>
    <w:p w14:paraId="77492898" w14:textId="587E6BCD" w:rsidR="00F83D7E" w:rsidRDefault="00000000">
      <w:pPr>
        <w:tabs>
          <w:tab w:val="left" w:pos="540"/>
        </w:tabs>
        <w:spacing w:after="0" w:line="240" w:lineRule="auto"/>
        <w:ind w:firstLine="270"/>
        <w:jc w:val="both"/>
      </w:pPr>
      <w:r>
        <w:t xml:space="preserve">NPM for real estate companies had a lower percentage after the implementation of PSAK 72 compared to before the implementation of PSAK 72. The company experienced a drastic decline in net sales due to PSAK 72. The factor that influenced the NPM to decrease significantly was because of the revenue that came from long-term contracts has a large enough value which should be taken into consideration by the company, which if the revenue is not recognized immediately, it could result in a decrease in the company's revenue and net profit which will have a significant </w:t>
      </w:r>
      <w:r w:rsidR="000A05A0">
        <w:t xml:space="preserve">effect </w:t>
      </w:r>
      <w:r>
        <w:t xml:space="preserve">on the income statements. The basis for revenue recognition regulated by PSAK 72 is a transfer of control so that an entity can recognize revenue sooner or later </w:t>
      </w:r>
      <w:r w:rsidR="005222A9">
        <w:fldChar w:fldCharType="begin" w:fldLock="1"/>
      </w:r>
      <w:r w:rsidR="005222A9">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5222A9">
        <w:fldChar w:fldCharType="separate"/>
      </w:r>
      <w:r w:rsidR="005222A9" w:rsidRPr="005222A9">
        <w:rPr>
          <w:noProof/>
        </w:rPr>
        <w:t>(Indonesian Accountants Association (IAI), 2022)</w:t>
      </w:r>
      <w:r w:rsidR="005222A9">
        <w:fldChar w:fldCharType="end"/>
      </w:r>
      <w:r>
        <w:t xml:space="preserve">. Real estate companies need to anticipate this, which can be done by completing more performance obligations originating from short-term projects or developments that can be completed within </w:t>
      </w:r>
      <w:r w:rsidR="005222A9">
        <w:t>one</w:t>
      </w:r>
      <w:r>
        <w:t xml:space="preserve"> year, such as landed houses, office buildings or hotels that are not too large. That way, more revenue can be recognized and increase the profit and speed up the development stages, especially those from long-term contracts. considering that revenue can also be recognized as a percentage of completion.</w:t>
      </w:r>
    </w:p>
    <w:p w14:paraId="4CA74288" w14:textId="68887A3B" w:rsidR="00F83D7E" w:rsidRDefault="00000000">
      <w:pPr>
        <w:tabs>
          <w:tab w:val="left" w:pos="540"/>
        </w:tabs>
        <w:spacing w:after="0" w:line="240" w:lineRule="auto"/>
        <w:ind w:firstLine="270"/>
        <w:jc w:val="both"/>
      </w:pPr>
      <w:r>
        <w:rPr>
          <w:b/>
        </w:rPr>
        <w:t xml:space="preserve">Debt to Asset Ratio. </w:t>
      </w:r>
      <w:r>
        <w:t>The research results showed that there was no significant difference in DAR between before and after PSAK 72</w:t>
      </w:r>
      <w:r w:rsidR="005222A9">
        <w:t xml:space="preserve"> implementation</w:t>
      </w:r>
      <w:r>
        <w:t xml:space="preserve">. The results of this research are in line with the research results of </w:t>
      </w:r>
      <w:r w:rsidR="005222A9">
        <w:fldChar w:fldCharType="begin" w:fldLock="1"/>
      </w:r>
      <w:r w:rsidR="005222A9">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5222A9">
        <w:fldChar w:fldCharType="separate"/>
      </w:r>
      <w:r w:rsidR="005222A9" w:rsidRPr="005222A9">
        <w:rPr>
          <w:noProof/>
        </w:rPr>
        <w:t xml:space="preserve">Casnila &amp; Nurfitriana </w:t>
      </w:r>
      <w:r w:rsidR="005222A9">
        <w:rPr>
          <w:noProof/>
        </w:rPr>
        <w:t>(</w:t>
      </w:r>
      <w:r w:rsidR="005222A9" w:rsidRPr="005222A9">
        <w:rPr>
          <w:noProof/>
        </w:rPr>
        <w:t>2020)</w:t>
      </w:r>
      <w:r w:rsidR="005222A9">
        <w:fldChar w:fldCharType="end"/>
      </w:r>
      <w:r>
        <w:t xml:space="preserve"> and </w:t>
      </w:r>
      <w:r w:rsidR="005222A9">
        <w:fldChar w:fldCharType="begin" w:fldLock="1"/>
      </w:r>
      <w:r w:rsidR="005222A9">
        <w:instrText>ADDIN CSL_CITATION {"citationItems":[{"id":"ITEM-1","itemData":{"DOI":"https://doi.org/10.21070/ijins.v20i.722","author":[{"dropping-particle":"","family":"Atho","given":"I A","non-dropping-particle":"","parse-names":false,"suffix":""},{"dropping-particle":"","family":"Rahayu","given":"D","non-dropping-particle":"","parse-names":false,"suffix":""}],"container-title":"Indonesian Journal of Innovation Studies","id":"ITEM-1","issued":{"date-parts":[["2022"]]},"page":"1-14","title":"Impact Analysis Before and After the Implementation of PSAK 72 on the Company’s Financial Performance in Real Estate Companies on the Indonesia Stock Exchange in 2018-2021","type":"article-journal","volume":"20"},"uris":["http://www.mendeley.com/documents/?uuid=0a00791e-d0b7-41ef-8a20-48626903946d"]}],"mendeley":{"formattedCitation":"(Atho &amp; Rahayu, 2022)","manualFormatting":"Atho &amp; Rahayu (2022)","plainTextFormattedCitation":"(Atho &amp; Rahayu, 2022)","previouslyFormattedCitation":"(Atho &amp; Rahayu, 2022)"},"properties":{"noteIndex":0},"schema":"https://github.com/citation-style-language/schema/raw/master/csl-citation.json"}</w:instrText>
      </w:r>
      <w:r w:rsidR="005222A9">
        <w:fldChar w:fldCharType="separate"/>
      </w:r>
      <w:r w:rsidR="005222A9" w:rsidRPr="005222A9">
        <w:rPr>
          <w:noProof/>
        </w:rPr>
        <w:t xml:space="preserve">Atho &amp; Rahayu </w:t>
      </w:r>
      <w:r w:rsidR="005222A9">
        <w:rPr>
          <w:noProof/>
        </w:rPr>
        <w:t>(</w:t>
      </w:r>
      <w:r w:rsidR="005222A9" w:rsidRPr="005222A9">
        <w:rPr>
          <w:noProof/>
        </w:rPr>
        <w:t>2022)</w:t>
      </w:r>
      <w:r w:rsidR="005222A9">
        <w:fldChar w:fldCharType="end"/>
      </w:r>
      <w:r>
        <w:t xml:space="preserve"> who stated that there was no significant difference in the solvency ratio measured by DAR between before and after PSAK 72</w:t>
      </w:r>
      <w:r w:rsidR="005222A9">
        <w:t xml:space="preserve"> implementation</w:t>
      </w:r>
      <w:r>
        <w:t xml:space="preserve">. The results of this study are different from the results of research by </w:t>
      </w:r>
      <w:r w:rsidR="005222A9">
        <w:fldChar w:fldCharType="begin" w:fldLock="1"/>
      </w:r>
      <w:r w:rsidR="005222A9">
        <w:instrText>ADDIN CSL_CITATION {"citationItems":[{"id":"ITEM-1","itemData":{"DOI":"https://doi.org/10.35313/irwns.v10i1.1451","author":[{"dropping-particle":"","family":"Veronica","given":"","non-dropping-particle":"","parse-names":false,"suffix":""},{"dropping-particle":"","family":"Lestari","given":"Utami Puji","non-dropping-particle":"","parse-names":false,"suffix":""},{"dropping-particle":"","family":"Metekohy","given":"Elisabeth Yansye","non-dropping-particle":"","parse-names":false,"suffix":""}],"container-title":"Journal Accounting","id":"ITEM-1","issue":"4","issued":{"date-parts":[["2019"]]},"page":"965-972","title":"Analisis Dampak Penerapan Pengakuan Pendapatan Berdasarkan PSAK 72 Terhadap Kinerja Keuangan Perusahaan Real Estate di Indonesia yang Terdaftar di Bursa Efek Indonesia Tahun 2018","type":"article-journal","volume":"34"},"uris":["http://www.mendeley.com/documents/?uuid=228f1867-ecd5-402a-9bdd-5125e8157374"]}],"mendeley":{"formattedCitation":"(Veronica et al., 2019)","plainTextFormattedCitation":"(Veronica et al., 2019)","previouslyFormattedCitation":"(Veronica et al., 2019)"},"properties":{"noteIndex":0},"schema":"https://github.com/citation-style-language/schema/raw/master/csl-citation.json"}</w:instrText>
      </w:r>
      <w:r w:rsidR="005222A9">
        <w:fldChar w:fldCharType="separate"/>
      </w:r>
      <w:r w:rsidR="005222A9" w:rsidRPr="005222A9">
        <w:rPr>
          <w:noProof/>
        </w:rPr>
        <w:t>(Veronica et al., 2019)</w:t>
      </w:r>
      <w:r w:rsidR="005222A9">
        <w:fldChar w:fldCharType="end"/>
      </w:r>
      <w:r>
        <w:t xml:space="preserve"> which stated that there was a significant difference in the solvency ratio between before and after PSAK 72 </w:t>
      </w:r>
      <w:r w:rsidR="005222A9">
        <w:t xml:space="preserve">implementation, </w:t>
      </w:r>
      <w:r>
        <w:t xml:space="preserve">and also the research results of </w:t>
      </w:r>
      <w:r w:rsidR="005222A9">
        <w:fldChar w:fldCharType="begin" w:fldLock="1"/>
      </w:r>
      <w:r w:rsidR="005222A9">
        <w:instrText>ADDIN CSL_CITATION {"citationItems":[{"id":"ITEM-1","itemData":{"author":[{"dropping-particle":"","family":"Halim","given":"C N","non-dropping-particle":"","parse-names":false,"suffix":""},{"dropping-particle":"","family":"Herawati","given":"T D","non-dropping-particle":"","parse-names":false,"suffix":""}],"container-title":"Jurnal Ilmiah Mahasiswa FEB Universitas Brawijaya","id":"ITEM-1","issue":"2","issued":{"date-parts":[["2020"]]},"page":"2-14","title":"Pengaruh Implementasi Pengakuan Pendapatan PSAK 72 Terhadap Kinerja Keuangan (Studi Empiris pada Perusahaan Real Estate Tahun 2018-2019)","type":"article-journal","volume":"8"},"uris":["http://www.mendeley.com/documents/?uuid=c879fcaf-17c6-4057-bf90-93ad9e582caa"]}],"mendeley":{"formattedCitation":"(Halim &amp; Herawati, 2020)","manualFormatting":"Halim &amp; Herawati (2020)","plainTextFormattedCitation":"(Halim &amp; Herawati, 2020)","previouslyFormattedCitation":"(Halim &amp; Herawati, 2020)"},"properties":{"noteIndex":0},"schema":"https://github.com/citation-style-language/schema/raw/master/csl-citation.json"}</w:instrText>
      </w:r>
      <w:r w:rsidR="005222A9">
        <w:fldChar w:fldCharType="separate"/>
      </w:r>
      <w:r w:rsidR="005222A9" w:rsidRPr="005222A9">
        <w:rPr>
          <w:noProof/>
        </w:rPr>
        <w:t xml:space="preserve">Halim &amp; Herawati </w:t>
      </w:r>
      <w:r w:rsidR="005222A9">
        <w:rPr>
          <w:noProof/>
        </w:rPr>
        <w:t>(</w:t>
      </w:r>
      <w:r w:rsidR="005222A9" w:rsidRPr="005222A9">
        <w:rPr>
          <w:noProof/>
        </w:rPr>
        <w:t>2020)</w:t>
      </w:r>
      <w:r w:rsidR="005222A9">
        <w:fldChar w:fldCharType="end"/>
      </w:r>
      <w:r>
        <w:t xml:space="preserve"> and </w:t>
      </w:r>
      <w:r w:rsidR="005222A9">
        <w:fldChar w:fldCharType="begin" w:fldLock="1"/>
      </w:r>
      <w:r w:rsidR="005222A9">
        <w:instrText>ADDIN CSL_CITATION {"citationItems":[{"id":"ITEM-1","itemData":{"DOI":"https://doi.org/10.35838/jrap.2022.009.02.13","author":[{"dropping-particle":"","family":"Amyulianthy","given":"Rafrini","non-dropping-particle":"","parse-names":false,"suffix":""},{"dropping-particle":"","family":"Rahmat","given":"Theresya Indah","non-dropping-particle":"","parse-names":false,"suffix":""},{"dropping-particle":"","family":"Munira","given":"Mira","non-dropping-particle":"","parse-names":false,"suffix":""}],"container-title":"Jurnal Riset Akuntansi &amp; Perpajakan","id":"ITEM-1","issue":"2","issued":{"date-parts":[["2022"]]},"page":"159-169","title":"Analisis Dampak Implementasi PSAK 72 Terhadap Kinerja Keuangan pada Perusahaan Manufaktur di Indonesia","type":"article-journal","volume":"9"},"uris":["http://www.mendeley.com/documents/?uuid=b3a802f4-8056-4bcc-a3a7-f0b3703727b7"]}],"mendeley":{"formattedCitation":"(Amyulianthy et al., 2022)","plainTextFormattedCitation":"(Amyulianthy et al., 2022)","previouslyFormattedCitation":"(Amyulianthy et al., 2022)"},"properties":{"noteIndex":0},"schema":"https://github.com/citation-style-language/schema/raw/master/csl-citation.json"}</w:instrText>
      </w:r>
      <w:r w:rsidR="005222A9">
        <w:fldChar w:fldCharType="separate"/>
      </w:r>
      <w:r w:rsidR="005222A9" w:rsidRPr="005222A9">
        <w:rPr>
          <w:noProof/>
        </w:rPr>
        <w:t>(Amyulianthy et al., 2022)</w:t>
      </w:r>
      <w:r w:rsidR="005222A9">
        <w:fldChar w:fldCharType="end"/>
      </w:r>
      <w:r>
        <w:t xml:space="preserve"> which states that PSAK 72 significantly influences financial performance as measured by DAR. This result is not in accordance with the hypothesis that has been made that there is a difference in financial performance using </w:t>
      </w:r>
      <w:r w:rsidR="005222A9">
        <w:t>DAR</w:t>
      </w:r>
      <w:r>
        <w:t xml:space="preserve">. The results of this research are not in line with positive </w:t>
      </w:r>
      <w:r>
        <w:lastRenderedPageBreak/>
        <w:t xml:space="preserve">accounting theory which states that every accounting practice carried out will have an impact/consequence from that practice </w:t>
      </w:r>
      <w:r w:rsidR="005222A9">
        <w:fldChar w:fldCharType="begin" w:fldLock="1"/>
      </w:r>
      <w:r w:rsidR="005222A9">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5222A9">
        <w:fldChar w:fldCharType="separate"/>
      </w:r>
      <w:r w:rsidR="005222A9" w:rsidRPr="005222A9">
        <w:rPr>
          <w:noProof/>
        </w:rPr>
        <w:t>(Watts &amp; Zimmerman, 1986)</w:t>
      </w:r>
      <w:r w:rsidR="005222A9">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5222A9">
        <w:fldChar w:fldCharType="begin" w:fldLock="1"/>
      </w:r>
      <w:r w:rsidR="005222A9">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5222A9">
        <w:fldChar w:fldCharType="separate"/>
      </w:r>
      <w:r w:rsidR="005222A9" w:rsidRPr="005222A9">
        <w:rPr>
          <w:noProof/>
        </w:rPr>
        <w:t>(Indonesian Accountants Association (IAI), 2022)</w:t>
      </w:r>
      <w:r w:rsidR="005222A9">
        <w:fldChar w:fldCharType="end"/>
      </w:r>
      <w:r>
        <w:t>. This new revenue recognition does not have any consequences as indicated because there is no differences between DAR before and after PSAK 72</w:t>
      </w:r>
      <w:r w:rsidR="005222A9">
        <w:t xml:space="preserve"> implementation</w:t>
      </w:r>
      <w:r>
        <w:t>.</w:t>
      </w:r>
    </w:p>
    <w:p w14:paraId="47B04A3A" w14:textId="6186B8C8" w:rsidR="00F83D7E" w:rsidRDefault="00000000">
      <w:pPr>
        <w:tabs>
          <w:tab w:val="left" w:pos="540"/>
        </w:tabs>
        <w:spacing w:after="0" w:line="240" w:lineRule="auto"/>
        <w:ind w:firstLine="270"/>
        <w:jc w:val="both"/>
      </w:pPr>
      <w:r>
        <w:t xml:space="preserve">The results of this </w:t>
      </w:r>
      <w:r w:rsidRPr="003241B5">
        <w:t>research point that</w:t>
      </w:r>
      <w:r>
        <w:t xml:space="preserve"> the implementation of PSAK 72 causes financial performance as measured using DAR to not be significantly different between before and after PSAK 72</w:t>
      </w:r>
      <w:r w:rsidR="005222A9">
        <w:t xml:space="preserve"> implementation</w:t>
      </w:r>
      <w:r>
        <w:t xml:space="preserve">. The value of DAR after PSAK 72 </w:t>
      </w:r>
      <w:r w:rsidR="005222A9">
        <w:t xml:space="preserve">implementation </w:t>
      </w:r>
      <w:r>
        <w:t xml:space="preserve">has indeed increased but cannot be an indication that there has been a decline in the company's ability to pay off total </w:t>
      </w:r>
      <w:r w:rsidR="000A05A0">
        <w:t xml:space="preserve">debt </w:t>
      </w:r>
      <w:r>
        <w:t>using total assets. This increase in the DAR value can occur because the recognition of recognized revenue can be smaller when referring to PSAK 72, the impact of which is a decrease in the value of the company's current assets, especially the value of receivables and inventory assets because they cannot be recognized as revenue, so they cannot be recorded as account receivable even though inventory has been used for productivity. This decrease in the value of current assets actually does not affect the overall asset value because the value of fixed assets is large and is also not affected by revenue recognition matter so DAR value does not experience significant changes each year.</w:t>
      </w:r>
    </w:p>
    <w:p w14:paraId="511C5F59" w14:textId="77777777" w:rsidR="00F83D7E" w:rsidRDefault="00000000">
      <w:pPr>
        <w:tabs>
          <w:tab w:val="left" w:pos="540"/>
        </w:tabs>
        <w:spacing w:after="0" w:line="240" w:lineRule="auto"/>
        <w:ind w:firstLine="270"/>
        <w:jc w:val="both"/>
      </w:pPr>
      <w:r>
        <w:t>An increase in the DAR value could also occur because at the beginning of the implementation of PSAK 72, real estate companies made adjustments that increased the value of contract liabilities and sales advances quite large because the company needed to identify implementation obligations that had been carried out or were in the process of being completed. If the implementation obligation has not been fulfilled, it cannot be recognized as revenue and the value is still included as a liability. With the decline in asset values and rising liability values, the DAR value will be high, which will make the solvency of real estate companies look bad.</w:t>
      </w:r>
    </w:p>
    <w:p w14:paraId="4882AFB9" w14:textId="70F412A1" w:rsidR="00F83D7E" w:rsidRDefault="00000000">
      <w:pPr>
        <w:tabs>
          <w:tab w:val="left" w:pos="540"/>
        </w:tabs>
        <w:spacing w:after="0" w:line="240" w:lineRule="auto"/>
        <w:ind w:firstLine="270"/>
        <w:jc w:val="both"/>
      </w:pPr>
      <w:r>
        <w:rPr>
          <w:b/>
        </w:rPr>
        <w:t>Debt to Equity Ratio</w:t>
      </w:r>
      <w:r>
        <w:t>. The results obtained show that there is a difference in DER between before and after PSAK 72</w:t>
      </w:r>
      <w:r w:rsidR="005222A9">
        <w:t xml:space="preserve"> implementation</w:t>
      </w:r>
      <w:r>
        <w:t xml:space="preserve">. The results of this research are not the same as the research results from </w:t>
      </w:r>
      <w:r w:rsidR="005222A9">
        <w:fldChar w:fldCharType="begin" w:fldLock="1"/>
      </w:r>
      <w:r w:rsidR="00022F66">
        <w:instrText>ADDIN CSL_CITATION {"citationItems":[{"id":"ITEM-1","itemData":{"author":[{"dropping-particle":"","family":"Casnila","given":"I","non-dropping-particle":"","parse-names":false,"suffix":""},{"dropping-particle":"","family":"Nurfitriana","given":"A","non-dropping-particle":"","parse-names":false,"suffix":""}],"container-title":"Jurnal Riset Akuntansi Dan Perbankan","id":"ITEM-1","issue":"1","issued":{"date-parts":[["2020"]]},"page":"220–240","title":"Analisis Dampak Kinerja Keuangan Sebelum dan Sesudah Penerapan PSAK 72 Pada Perusahaan Telekomunikasi Yang Terdaftar Di Bursa Efek Indonesia (BEI)","type":"article-journal","volume":"14"},"uris":["http://www.mendeley.com/documents/?uuid=1fc352a9-891c-4ebe-917a-2867b1ab33cb"]}],"mendeley":{"formattedCitation":"(Casnila &amp; Nurfitriana, 2020)","manualFormatting":"Casnila &amp; Nurfitriana (2020)","plainTextFormattedCitation":"(Casnila &amp; Nurfitriana, 2020)","previouslyFormattedCitation":"(Casnila &amp; Nurfitriana, 2020)"},"properties":{"noteIndex":0},"schema":"https://github.com/citation-style-language/schema/raw/master/csl-citation.json"}</w:instrText>
      </w:r>
      <w:r w:rsidR="005222A9">
        <w:fldChar w:fldCharType="separate"/>
      </w:r>
      <w:r w:rsidR="005222A9" w:rsidRPr="005222A9">
        <w:rPr>
          <w:noProof/>
        </w:rPr>
        <w:t xml:space="preserve">Casnila &amp; Nurfitriana </w:t>
      </w:r>
      <w:r w:rsidR="005222A9">
        <w:rPr>
          <w:noProof/>
        </w:rPr>
        <w:t>(</w:t>
      </w:r>
      <w:r w:rsidR="005222A9" w:rsidRPr="005222A9">
        <w:rPr>
          <w:noProof/>
        </w:rPr>
        <w:t>2020)</w:t>
      </w:r>
      <w:r w:rsidR="005222A9">
        <w:fldChar w:fldCharType="end"/>
      </w:r>
      <w:r>
        <w:t xml:space="preserve"> which state that there is no difference in financial performance as measured by DER between before and after PSAK 72 </w:t>
      </w:r>
      <w:r w:rsidR="005222A9">
        <w:t xml:space="preserve">implementation </w:t>
      </w:r>
      <w:r>
        <w:t xml:space="preserve">because </w:t>
      </w:r>
      <w:r w:rsidR="005222A9">
        <w:t>t</w:t>
      </w:r>
      <w:r>
        <w:t xml:space="preserve">he value of income does not affect the overall amount of liabilities and equity. These results are in accordance with the hypothesis that has been made that there is difference in financial performance using </w:t>
      </w:r>
      <w:r w:rsidR="00022F66">
        <w:t>DER</w:t>
      </w:r>
      <w:r>
        <w:t xml:space="preserve">. The results of this research are in line with positive accounting theory which states that every accounting practice carried out will have an impact/consequence from that practice </w:t>
      </w:r>
      <w:r w:rsidR="00022F66">
        <w:fldChar w:fldCharType="begin" w:fldLock="1"/>
      </w:r>
      <w:r w:rsidR="00022F66">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22F66">
        <w:fldChar w:fldCharType="separate"/>
      </w:r>
      <w:r w:rsidR="00022F66" w:rsidRPr="00022F66">
        <w:rPr>
          <w:noProof/>
        </w:rPr>
        <w:t>(Watts &amp; Zimmerman, 1986)</w:t>
      </w:r>
      <w:r w:rsidR="00022F66">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022F66">
        <w:fldChar w:fldCharType="begin" w:fldLock="1"/>
      </w:r>
      <w:r w:rsidR="00022F66">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022F66">
        <w:fldChar w:fldCharType="separate"/>
      </w:r>
      <w:r w:rsidR="00022F66" w:rsidRPr="00022F66">
        <w:rPr>
          <w:noProof/>
        </w:rPr>
        <w:t>(Indonesian Accountants Association (IAI), 2022)</w:t>
      </w:r>
      <w:r w:rsidR="00022F66">
        <w:fldChar w:fldCharType="end"/>
      </w:r>
      <w:r>
        <w:t>. This new revenue recognition has a consequence, namely the difference in DER before and after PSAK 72</w:t>
      </w:r>
      <w:r w:rsidR="00022F66">
        <w:t xml:space="preserve"> implementation</w:t>
      </w:r>
      <w:r>
        <w:t>.</w:t>
      </w:r>
    </w:p>
    <w:p w14:paraId="589C369B" w14:textId="2625140D" w:rsidR="00F83D7E" w:rsidRDefault="00000000">
      <w:pPr>
        <w:tabs>
          <w:tab w:val="left" w:pos="540"/>
        </w:tabs>
        <w:spacing w:after="0" w:line="240" w:lineRule="auto"/>
        <w:ind w:firstLine="270"/>
        <w:jc w:val="both"/>
      </w:pPr>
      <w:r>
        <w:t xml:space="preserve">The implementation of PSAK 72 does not directly affect the company's DER value. The application of PSAK 72 will affect profits because PSAK 72 regulates how revenue and expenses which are components of profits will be recognized to be recorded in financial statements. This profit will then affect the equity value of the company. This equity value will later influence the DER value of the company. DER in research shows a stable value and some are better every year because there is a decrease in the DER value. This shows that real estate companies are able to maintain a balanced funding composition from liabilities and equity. </w:t>
      </w:r>
      <w:r>
        <w:lastRenderedPageBreak/>
        <w:t xml:space="preserve">One of the factors why the company is able to maintain the equity value is because the company is able to record good net profits or positive profits every year so that the company has a surplus of profit that can be used to reinvest or distribute dividends without needing to reduce the company's retained earnings. Companies need to manage their revenue so that it can be recognized as soon as possible or recognized at the right time so that the company can maintain a good net profit value. </w:t>
      </w:r>
    </w:p>
    <w:p w14:paraId="7BE7AF72" w14:textId="2883E0B8" w:rsidR="00F83D7E" w:rsidRDefault="00000000">
      <w:pPr>
        <w:tabs>
          <w:tab w:val="left" w:pos="540"/>
        </w:tabs>
        <w:spacing w:after="0" w:line="240" w:lineRule="auto"/>
        <w:ind w:firstLine="270"/>
        <w:jc w:val="both"/>
      </w:pPr>
      <w:r>
        <w:rPr>
          <w:b/>
        </w:rPr>
        <w:t>Total Asset Turnover</w:t>
      </w:r>
      <w:r>
        <w:t>. The results obtained show that there is a difference in TAT between before and after PSAK 72</w:t>
      </w:r>
      <w:r w:rsidR="00022F66">
        <w:t xml:space="preserve"> implementation</w:t>
      </w:r>
      <w:r>
        <w:t xml:space="preserve">. The results of this research are in line with the research results of </w:t>
      </w:r>
      <w:r w:rsidR="00022F66">
        <w:fldChar w:fldCharType="begin" w:fldLock="1"/>
      </w:r>
      <w:r w:rsidR="00022F66">
        <w:instrText>ADDIN CSL_CITATION {"citationItems":[{"id":"ITEM-1","itemData":{"DOI":"https://doi.org/10.33508/rima.v4i2.3529","author":[{"dropping-particle":"","family":"Fransisca","given":"Juni","non-dropping-particle":"","parse-names":false,"suffix":""},{"dropping-particle":"","family":"Ahalik","given":"Ahalik","non-dropping-particle":"","parse-names":false,"suffix":""}],"container-title":"Research In Management and Accounting","id":"ITEM-1","issue":"2","issued":{"date-parts":[["2021"]]},"page":"106–117","title":"Effect Of PSAK 72 Implementation In Property And Real Estate’s Financial Health","type":"article-journal","volume":"4"},"uris":["http://www.mendeley.com/documents/?uuid=dbc3d544-e7ad-43a7-8aef-8e330ed1f64d"]}],"mendeley":{"formattedCitation":"(Fransisca &amp; Ahalik, 2021)","manualFormatting":"Fransisca &amp; Ahalik (2021)","plainTextFormattedCitation":"(Fransisca &amp; Ahalik, 2021)","previouslyFormattedCitation":"(Fransisca &amp; Ahalik, 2021)"},"properties":{"noteIndex":0},"schema":"https://github.com/citation-style-language/schema/raw/master/csl-citation.json"}</w:instrText>
      </w:r>
      <w:r w:rsidR="00022F66">
        <w:fldChar w:fldCharType="separate"/>
      </w:r>
      <w:r w:rsidR="00022F66" w:rsidRPr="00022F66">
        <w:rPr>
          <w:noProof/>
        </w:rPr>
        <w:t xml:space="preserve">Fransisca &amp; Ahalik </w:t>
      </w:r>
      <w:r w:rsidR="00022F66">
        <w:rPr>
          <w:noProof/>
        </w:rPr>
        <w:t>(</w:t>
      </w:r>
      <w:r w:rsidR="00022F66" w:rsidRPr="00022F66">
        <w:rPr>
          <w:noProof/>
        </w:rPr>
        <w:t>2021)</w:t>
      </w:r>
      <w:r w:rsidR="00022F66">
        <w:fldChar w:fldCharType="end"/>
      </w:r>
      <w:r>
        <w:t xml:space="preserve"> which show that there is a difference in TAT between before and after the implementation of PSAK 72 which is not significant. These results are in accordance with the hypothesis that has been made that there are differences in financial performance using total asset turnover. The results of this research are in line with positive accounting theory which states that every accounting practice carried out will have an impact/consequence from that </w:t>
      </w:r>
      <w:r w:rsidR="00022F66">
        <w:fldChar w:fldCharType="begin" w:fldLock="1"/>
      </w:r>
      <w:r w:rsidR="00022F66">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22F66">
        <w:fldChar w:fldCharType="separate"/>
      </w:r>
      <w:r w:rsidR="00022F66" w:rsidRPr="00022F66">
        <w:rPr>
          <w:noProof/>
        </w:rPr>
        <w:t>(Watts &amp; Zimmerman, 1986)</w:t>
      </w:r>
      <w:r w:rsidR="00022F66">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022F66">
        <w:fldChar w:fldCharType="begin" w:fldLock="1"/>
      </w:r>
      <w:r w:rsidR="00022F66">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022F66">
        <w:fldChar w:fldCharType="separate"/>
      </w:r>
      <w:r w:rsidR="00022F66" w:rsidRPr="00022F66">
        <w:rPr>
          <w:noProof/>
        </w:rPr>
        <w:t>(Indonesian Accountants Association (IAI), 2022)</w:t>
      </w:r>
      <w:r w:rsidR="00022F66">
        <w:fldChar w:fldCharType="end"/>
      </w:r>
      <w:r>
        <w:t xml:space="preserve">. This new revenue recognition will have a consequence, namely the difference in </w:t>
      </w:r>
      <w:r w:rsidR="00022F66">
        <w:t xml:space="preserve">TAT </w:t>
      </w:r>
      <w:r>
        <w:t>before and after PSAK 72</w:t>
      </w:r>
      <w:r w:rsidR="00022F66">
        <w:t xml:space="preserve"> implementation</w:t>
      </w:r>
      <w:r>
        <w:t>.</w:t>
      </w:r>
    </w:p>
    <w:p w14:paraId="0242B223" w14:textId="77777777" w:rsidR="00F83D7E" w:rsidRDefault="00000000">
      <w:pPr>
        <w:tabs>
          <w:tab w:val="left" w:pos="540"/>
        </w:tabs>
        <w:spacing w:after="0" w:line="240" w:lineRule="auto"/>
        <w:ind w:firstLine="270"/>
        <w:jc w:val="both"/>
      </w:pPr>
      <w:r>
        <w:t>TAT in this research shows that the implementation of PSAK 72 has an insignificant negative effect, which can be said that real estate companies only experience a slightly decrease in their ability to use their assets efficiently in terms of productivity to obtain sales. PSAK 72 could be the cause of a decrease in the TAT value because revenue/sales can be recognized if the performance obligation has been completed, namely if the handover or transfer of control of an asset to the customer has occurred. The turnover rate for the use of assets tends to be constant, however, there is a delay in the time for revenue recognition due to incomplete performance obligations. When this revenue can be recognized, the TAT value will increase again.</w:t>
      </w:r>
    </w:p>
    <w:p w14:paraId="53B896CB" w14:textId="77777777" w:rsidR="00F83D7E" w:rsidRDefault="00000000">
      <w:pPr>
        <w:tabs>
          <w:tab w:val="left" w:pos="540"/>
        </w:tabs>
        <w:spacing w:after="0" w:line="240" w:lineRule="auto"/>
        <w:jc w:val="both"/>
        <w:rPr>
          <w:b/>
        </w:rPr>
      </w:pPr>
      <w:r>
        <w:rPr>
          <w:b/>
        </w:rPr>
        <w:t>Market Performance Before and After The Implementation of PSAK 72</w:t>
      </w:r>
    </w:p>
    <w:p w14:paraId="6B7DDEC9" w14:textId="5C70B932" w:rsidR="00F83D7E" w:rsidRDefault="00000000">
      <w:pPr>
        <w:tabs>
          <w:tab w:val="left" w:pos="540"/>
        </w:tabs>
        <w:spacing w:after="0" w:line="240" w:lineRule="auto"/>
        <w:ind w:firstLine="270"/>
        <w:jc w:val="both"/>
      </w:pPr>
      <w:r>
        <w:rPr>
          <w:b/>
        </w:rPr>
        <w:t xml:space="preserve">Price Earning Ratio. </w:t>
      </w:r>
      <w:r>
        <w:t>The results obtained show that there is no difference in PER between before and after PSAK 72</w:t>
      </w:r>
      <w:r w:rsidR="00022F66">
        <w:t xml:space="preserve"> implementation</w:t>
      </w:r>
      <w:r>
        <w:t xml:space="preserve">. The results of this study are different from the results of research by </w:t>
      </w:r>
      <w:r w:rsidR="00022F66">
        <w:fldChar w:fldCharType="begin" w:fldLock="1"/>
      </w:r>
      <w:r w:rsidR="00022F66">
        <w:instrText>ADDIN CSL_CITATION {"citationItems":[{"id":"ITEM-1","itemData":{"DOI":"https://doi.org/10.35838/jrap.2022.009.02.13","author":[{"dropping-particle":"","family":"Amyulianthy","given":"Rafrini","non-dropping-particle":"","parse-names":false,"suffix":""},{"dropping-particle":"","family":"Rahmat","given":"Theresya Indah","non-dropping-particle":"","parse-names":false,"suffix":""},{"dropping-particle":"","family":"Munira","given":"Mira","non-dropping-particle":"","parse-names":false,"suffix":""}],"container-title":"Jurnal Riset Akuntansi &amp; Perpajakan","id":"ITEM-1","issue":"2","issued":{"date-parts":[["2022"]]},"page":"159-169","title":"Analisis Dampak Implementasi PSAK 72 Terhadap Kinerja Keuangan pada Perusahaan Manufaktur di Indonesia","type":"article-journal","volume":"9"},"uris":["http://www.mendeley.com/documents/?uuid=b3a802f4-8056-4bcc-a3a7-f0b3703727b7"]}],"mendeley":{"formattedCitation":"(Amyulianthy et al., 2022)","manualFormatting":"Amyulianthy et al. (2022)","plainTextFormattedCitation":"(Amyulianthy et al., 2022)","previouslyFormattedCitation":"(Amyulianthy et al., 2022)"},"properties":{"noteIndex":0},"schema":"https://github.com/citation-style-language/schema/raw/master/csl-citation.json"}</w:instrText>
      </w:r>
      <w:r w:rsidR="00022F66">
        <w:fldChar w:fldCharType="separate"/>
      </w:r>
      <w:r w:rsidR="00022F66" w:rsidRPr="00022F66">
        <w:rPr>
          <w:noProof/>
        </w:rPr>
        <w:t xml:space="preserve">Amyulianthy et al. </w:t>
      </w:r>
      <w:r w:rsidR="00022F66">
        <w:rPr>
          <w:noProof/>
        </w:rPr>
        <w:t>(</w:t>
      </w:r>
      <w:r w:rsidR="00022F66" w:rsidRPr="00022F66">
        <w:rPr>
          <w:noProof/>
        </w:rPr>
        <w:t>2022)</w:t>
      </w:r>
      <w:r w:rsidR="00022F66">
        <w:fldChar w:fldCharType="end"/>
      </w:r>
      <w:r>
        <w:t xml:space="preserve"> which has the result that there is a difference in PER performance between before and after PSAK 72</w:t>
      </w:r>
      <w:r w:rsidR="00022F66">
        <w:t xml:space="preserve"> implementation</w:t>
      </w:r>
      <w:r>
        <w:t xml:space="preserve">. Research by </w:t>
      </w:r>
      <w:r w:rsidR="00022F66">
        <w:fldChar w:fldCharType="begin" w:fldLock="1"/>
      </w:r>
      <w:r w:rsidR="00022F66">
        <w:instrText>ADDIN CSL_CITATION {"citationItems":[{"id":"ITEM-1","itemData":{"DOI":"https://doi.org/10.37470/1.23.1.175","author":[{"dropping-particle":"","family":"Listiyowati","given":"","non-dropping-particle":"","parse-names":false,"suffix":""},{"dropping-particle":"","family":"Mayasari","given":"D A","non-dropping-particle":"","parse-names":false,"suffix":""}],"container-title":"Jurnal Ilmiah Aset","id":"ITEM-1","issue":"1","issued":{"date-parts":[["2021"]]},"page":"31-42","title":"Pengaruh Penerapan PSAK 72 terhadap Price Earning Ratio dengan Ukuran Perusahaan sebagai Variabel Kontrol","type":"article-journal","volume":"23"},"uris":["http://www.mendeley.com/documents/?uuid=2f3b60ec-4ebc-4c20-8cdc-96a13eeeea9c"]}],"mendeley":{"formattedCitation":"(Listiyowati &amp; Mayasari, 2021)","plainTextFormattedCitation":"(Listiyowati &amp; Mayasari, 2021)","previouslyFormattedCitation":"(Listiyowati &amp; Mayasari, 2021)"},"properties":{"noteIndex":0},"schema":"https://github.com/citation-style-language/schema/raw/master/csl-citation.json"}</w:instrText>
      </w:r>
      <w:r w:rsidR="00022F66">
        <w:fldChar w:fldCharType="separate"/>
      </w:r>
      <w:r w:rsidR="00022F66" w:rsidRPr="00022F66">
        <w:rPr>
          <w:noProof/>
        </w:rPr>
        <w:t>(Listiyowati &amp; Mayasari, 2021)</w:t>
      </w:r>
      <w:r w:rsidR="00022F66">
        <w:fldChar w:fldCharType="end"/>
      </w:r>
      <w:r>
        <w:t xml:space="preserve"> also states that there is a difference, namely that if the company can implement PSAK 72 in the correct way, it will result in a decrease in price earnings ratio compared to if the company still implemented PSAK 23 and PSAK 44 which resulted in a high PER along with a constant market value. This result is not in accordance with the hypothesis that has been made because there is no differences in market performance using </w:t>
      </w:r>
      <w:r w:rsidR="00022F66">
        <w:t>PER</w:t>
      </w:r>
      <w:r>
        <w:t xml:space="preserve">. The results of this research are not in line with positive accounting theory which states that every accounting practice carried out will have an impact/consequence from that practice </w:t>
      </w:r>
      <w:r w:rsidR="00022F66">
        <w:fldChar w:fldCharType="begin" w:fldLock="1"/>
      </w:r>
      <w:r w:rsidR="00022F66">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22F66">
        <w:fldChar w:fldCharType="separate"/>
      </w:r>
      <w:r w:rsidR="00022F66" w:rsidRPr="00022F66">
        <w:rPr>
          <w:noProof/>
        </w:rPr>
        <w:t>(Watts &amp; Zimmerman, 1986)</w:t>
      </w:r>
      <w:r w:rsidR="00022F66">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022F66">
        <w:fldChar w:fldCharType="begin" w:fldLock="1"/>
      </w:r>
      <w:r w:rsidR="00022F66">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022F66">
        <w:fldChar w:fldCharType="separate"/>
      </w:r>
      <w:r w:rsidR="00022F66" w:rsidRPr="00022F66">
        <w:rPr>
          <w:noProof/>
        </w:rPr>
        <w:t>(Indonesian Accountants Association (IAI), 2022)</w:t>
      </w:r>
      <w:r w:rsidR="00022F66">
        <w:fldChar w:fldCharType="end"/>
      </w:r>
      <w:r>
        <w:t xml:space="preserve">. This new revenue recognition does not have any consequences as indicated because there is no difference in </w:t>
      </w:r>
      <w:r w:rsidR="00022F66">
        <w:t xml:space="preserve">PER </w:t>
      </w:r>
      <w:r>
        <w:t>before and after PSAK 72</w:t>
      </w:r>
      <w:r w:rsidR="00022F66">
        <w:t xml:space="preserve"> implementation</w:t>
      </w:r>
      <w:r>
        <w:t>.</w:t>
      </w:r>
    </w:p>
    <w:p w14:paraId="56D8AB38" w14:textId="1CFBC4F7" w:rsidR="00F83D7E" w:rsidRDefault="00000000">
      <w:pPr>
        <w:tabs>
          <w:tab w:val="left" w:pos="540"/>
        </w:tabs>
        <w:spacing w:after="0" w:line="240" w:lineRule="auto"/>
        <w:ind w:firstLine="270"/>
        <w:jc w:val="both"/>
      </w:pPr>
      <w:r>
        <w:t xml:space="preserve">PER is a measure of how appropriate the price of a share is, which is determined based on the profit of the company </w:t>
      </w:r>
      <w:r w:rsidR="00022F66">
        <w:fldChar w:fldCharType="begin" w:fldLock="1"/>
      </w:r>
      <w:r w:rsidR="00022F66">
        <w:instrText>ADDIN CSL_CITATION {"citationItems":[{"id":"ITEM-1","itemData":{"DOI":"https://doi.org/10.35838/jrap.2022.009.02.13","author":[{"dropping-particle":"","family":"Amyulianthy","given":"Rafrini","non-dropping-particle":"","parse-names":false,"suffix":""},{"dropping-particle":"","family":"Rahmat","given":"Theresya Indah","non-dropping-particle":"","parse-names":false,"suffix":""},{"dropping-particle":"","family":"Munira","given":"Mira","non-dropping-particle":"","parse-names":false,"suffix":""}],"container-title":"Jurnal Riset Akuntansi &amp; Perpajakan","id":"ITEM-1","issue":"2","issued":{"date-parts":[["2022"]]},"page":"159-169","title":"Analisis Dampak Implementasi PSAK 72 Terhadap Kinerja Keuangan pada Perusahaan Manufaktur di Indonesia","type":"article-journal","volume":"9"},"uris":["http://www.mendeley.com/documents/?uuid=b3a802f4-8056-4bcc-a3a7-f0b3703727b7"]}],"mendeley":{"formattedCitation":"(Amyulianthy et al., 2022)","plainTextFormattedCitation":"(Amyulianthy et al., 2022)","previouslyFormattedCitation":"(Amyulianthy et al., 2022)"},"properties":{"noteIndex":0},"schema":"https://github.com/citation-style-language/schema/raw/master/csl-citation.json"}</w:instrText>
      </w:r>
      <w:r w:rsidR="00022F66">
        <w:fldChar w:fldCharType="separate"/>
      </w:r>
      <w:r w:rsidR="00022F66" w:rsidRPr="00022F66">
        <w:rPr>
          <w:noProof/>
        </w:rPr>
        <w:t>(Amyulianthy et al., 2022)</w:t>
      </w:r>
      <w:r w:rsidR="00022F66">
        <w:fldChar w:fldCharType="end"/>
      </w:r>
      <w:r>
        <w:t xml:space="preserve">. The PER of real estate companies in this </w:t>
      </w:r>
      <w:r>
        <w:lastRenderedPageBreak/>
        <w:t xml:space="preserve">study shows a value that continues to worsen every year. This can happen because the profit value of real estate companies decreases and even gets worse every year so that EPS also decreases every year and even experiences negative values. The research results also show that the value of real estate profits before the implementation of PSAK 72 has a better value than after the implementation of PSAK 72. The results show that there is no difference, this could happen perhaps because the value of share prices tends to be stable so PER between before and after PSAK 72 </w:t>
      </w:r>
      <w:r w:rsidR="00022F66">
        <w:t xml:space="preserve">implementation </w:t>
      </w:r>
      <w:r>
        <w:t>does not experience significant differences even though the company's EPS value fluctuates every year.</w:t>
      </w:r>
    </w:p>
    <w:p w14:paraId="512D7A41" w14:textId="77777777" w:rsidR="00F83D7E" w:rsidRDefault="00000000">
      <w:pPr>
        <w:tabs>
          <w:tab w:val="left" w:pos="540"/>
        </w:tabs>
        <w:spacing w:after="0" w:line="240" w:lineRule="auto"/>
        <w:ind w:firstLine="270"/>
        <w:jc w:val="both"/>
      </w:pPr>
      <w:r>
        <w:t>Investors need an in-depth study of how PSAK 72 regulates the value of recognized revenue and expenses because they are components of the profit value that will be reported by the company when conducting market analysis with PER. Profits that increase or decrease can occur because companies that apply PSAK 72 can recognize their revenue gradually or over time, which results in profits or losses that can also fluctuate. Investors will later understand that the value of revenue will be determined according to the fulfillment of customer contractual obligations which can occur at any time.</w:t>
      </w:r>
    </w:p>
    <w:p w14:paraId="58B7F391" w14:textId="795AF1BC" w:rsidR="00F83D7E" w:rsidRDefault="00000000">
      <w:pPr>
        <w:tabs>
          <w:tab w:val="left" w:pos="540"/>
        </w:tabs>
        <w:spacing w:after="0" w:line="240" w:lineRule="auto"/>
        <w:ind w:firstLine="270"/>
        <w:jc w:val="both"/>
      </w:pPr>
      <w:r>
        <w:rPr>
          <w:b/>
        </w:rPr>
        <w:t>Price Book Value</w:t>
      </w:r>
      <w:r>
        <w:t>. The results obtained show that there is a difference in PBV between</w:t>
      </w:r>
      <w:r w:rsidR="003241B5">
        <w:t xml:space="preserve"> before</w:t>
      </w:r>
      <w:r>
        <w:t xml:space="preserve"> and after PSAK 72</w:t>
      </w:r>
      <w:r w:rsidR="00022F66">
        <w:t xml:space="preserve"> implementation</w:t>
      </w:r>
      <w:r>
        <w:t xml:space="preserve">, which is this result is in accordance with the hypothesis that has been made. The results of this research are in line with positive accounting theory which states that every accounting practice carried out will have an impact/consequence from that practice </w:t>
      </w:r>
      <w:r w:rsidR="00022F66">
        <w:fldChar w:fldCharType="begin" w:fldLock="1"/>
      </w:r>
      <w:r w:rsidR="00022F66">
        <w:instrText>ADDIN CSL_CITATION {"citationItems":[{"id":"ITEM-1","itemData":{"author":[{"dropping-particle":"","family":"Watts","given":"Ross L","non-dropping-particle":"","parse-names":false,"suffix":""},{"dropping-particle":"","family":"Zimmerman","given":"Jerold L","non-dropping-particle":"","parse-names":false,"suffix":""}],"id":"ITEM-1","issued":{"date-parts":[["1986"]]},"publisher":"Prentice-Hall Inc.","title":"Positive Accounting Theory","type":"book"},"uris":["http://www.mendeley.com/documents/?uuid=3644adfd-5363-4f5f-b8be-162b8d9e166d"]}],"mendeley":{"formattedCitation":"(Watts &amp; Zimmerman, 1986)","plainTextFormattedCitation":"(Watts &amp; Zimmerman, 1986)","previouslyFormattedCitation":"(Watts &amp; Zimmerman, 1986)"},"properties":{"noteIndex":0},"schema":"https://github.com/citation-style-language/schema/raw/master/csl-citation.json"}</w:instrText>
      </w:r>
      <w:r w:rsidR="00022F66">
        <w:fldChar w:fldCharType="separate"/>
      </w:r>
      <w:r w:rsidR="00022F66" w:rsidRPr="00022F66">
        <w:rPr>
          <w:noProof/>
        </w:rPr>
        <w:t>(Watts &amp; Zimmerman, 1986)</w:t>
      </w:r>
      <w:r w:rsidR="00022F66">
        <w:fldChar w:fldCharType="end"/>
      </w:r>
      <w:r>
        <w:t xml:space="preserve">. The application of PSAK 72 as a standard that regulates revenue has a new way of recognizing revenue, namely that revenue can be recognized if the implementation of obligations in the contract has been completed to the customer </w:t>
      </w:r>
      <w:r w:rsidR="00022F66">
        <w:fldChar w:fldCharType="begin" w:fldLock="1"/>
      </w:r>
      <w:r w:rsidR="00022F66">
        <w:instrText>ADDIN CSL_CITATION {"citationItems":[{"id":"ITEM-1","itemData":{"author":[{"dropping-particle":"","family":"Indonesian Accountants Association (IAI)","given":"","non-dropping-particle":"","parse-names":false,"suffix":""}],"id":"ITEM-1","issued":{"date-parts":[["2022"]]},"number-of-pages":"PSAK 72","publisher":"Ikatan Akuntan Indonesia","publisher-place":"Jakarta","title":"Pernyataan Standar Akuntansi Keuangan No 72 Pendapatan dari Kontrak dengan Pelanggan","type":"book"},"uris":["http://www.mendeley.com/documents/?uuid=c0724733-25c1-4e84-9f93-9b5646626345"]}],"mendeley":{"formattedCitation":"(Indonesian Accountants Association (IAI), 2022)","plainTextFormattedCitation":"(Indonesian Accountants Association (IAI), 2022)","previouslyFormattedCitation":"(Indonesian Accountants Association (IAI), 2022)"},"properties":{"noteIndex":0},"schema":"https://github.com/citation-style-language/schema/raw/master/csl-citation.json"}</w:instrText>
      </w:r>
      <w:r w:rsidR="00022F66">
        <w:fldChar w:fldCharType="separate"/>
      </w:r>
      <w:r w:rsidR="00022F66" w:rsidRPr="00022F66">
        <w:rPr>
          <w:noProof/>
        </w:rPr>
        <w:t>(Indonesian Accountants Association (IAI), 2022)</w:t>
      </w:r>
      <w:r w:rsidR="00022F66">
        <w:fldChar w:fldCharType="end"/>
      </w:r>
      <w:r>
        <w:t xml:space="preserve">. This new revenue recognition will have a consequence, namely the difference in </w:t>
      </w:r>
      <w:r w:rsidR="00022F66">
        <w:t xml:space="preserve">PBV </w:t>
      </w:r>
      <w:r w:rsidR="003241B5">
        <w:t>before</w:t>
      </w:r>
      <w:r>
        <w:t xml:space="preserve"> and after PSAK 72</w:t>
      </w:r>
      <w:r w:rsidR="00022F66">
        <w:t xml:space="preserve"> implementation</w:t>
      </w:r>
      <w:r>
        <w:t>.</w:t>
      </w:r>
    </w:p>
    <w:p w14:paraId="2407E75B" w14:textId="77777777" w:rsidR="00F83D7E" w:rsidRDefault="00000000">
      <w:pPr>
        <w:tabs>
          <w:tab w:val="left" w:pos="540"/>
        </w:tabs>
        <w:spacing w:after="0" w:line="240" w:lineRule="auto"/>
        <w:ind w:firstLine="270"/>
        <w:jc w:val="both"/>
      </w:pPr>
      <w:r>
        <w:t>The implementation of PSAK 72 does not directly affect the value of PBV. PSAK 72 will affect the value of the company's profit for the current year which then affects the value of the company's equity. This equity value will later influence the book value per share. An insignificant difference can occur because the equity value of real estate companies does not experience a significant increase or decrease in value each year, which means that real estate companies have succeeded in maintaining the value of company equity as a form of accountability to shareholders. Apart from that, company share prices also tend to be stable so that PBV measurements are also stable. Investors do not need to consider the application of PSAK 72 when conducting PBV analysis because the PBV value does not take into account the company's revenue and profits, especially if the company's equity value is in good condition.</w:t>
      </w:r>
    </w:p>
    <w:p w14:paraId="5E435431" w14:textId="77777777" w:rsidR="00F83D7E" w:rsidRDefault="00F83D7E">
      <w:pPr>
        <w:spacing w:after="0" w:line="240" w:lineRule="auto"/>
        <w:jc w:val="both"/>
      </w:pPr>
    </w:p>
    <w:p w14:paraId="5801B63D" w14:textId="77777777" w:rsidR="00F83D7E" w:rsidRDefault="00000000">
      <w:pPr>
        <w:spacing w:after="0" w:line="240" w:lineRule="auto"/>
        <w:jc w:val="both"/>
        <w:rPr>
          <w:b/>
        </w:rPr>
      </w:pPr>
      <w:r>
        <w:rPr>
          <w:b/>
        </w:rPr>
        <w:t>4. CONCLUSSION</w:t>
      </w:r>
    </w:p>
    <w:p w14:paraId="54B92537" w14:textId="77777777" w:rsidR="00F83D7E" w:rsidRDefault="00F83D7E">
      <w:pPr>
        <w:spacing w:after="0" w:line="240" w:lineRule="auto"/>
        <w:jc w:val="both"/>
        <w:rPr>
          <w:b/>
        </w:rPr>
      </w:pPr>
    </w:p>
    <w:p w14:paraId="5DD58DC3" w14:textId="713D851C" w:rsidR="00F83D7E" w:rsidRDefault="00000000">
      <w:pPr>
        <w:tabs>
          <w:tab w:val="left" w:pos="540"/>
        </w:tabs>
        <w:spacing w:after="0" w:line="240" w:lineRule="auto"/>
        <w:jc w:val="both"/>
      </w:pPr>
      <w:r>
        <w:tab/>
        <w:t xml:space="preserve">There is a difference in financial performance before and after PSAK 72 </w:t>
      </w:r>
      <w:r w:rsidR="00022F66">
        <w:t xml:space="preserve">implementation </w:t>
      </w:r>
      <w:r>
        <w:t xml:space="preserve">which is proxied by </w:t>
      </w:r>
      <w:r w:rsidR="00022F66">
        <w:t>CR</w:t>
      </w:r>
      <w:r>
        <w:t>,</w:t>
      </w:r>
      <w:r w:rsidR="003241B5">
        <w:t xml:space="preserve"> ROA, ROE</w:t>
      </w:r>
      <w:r>
        <w:t xml:space="preserve">, </w:t>
      </w:r>
      <w:r w:rsidR="00022F66">
        <w:t>DER</w:t>
      </w:r>
      <w:r>
        <w:t xml:space="preserve">, and </w:t>
      </w:r>
      <w:r w:rsidR="00022F66">
        <w:t>TAT</w:t>
      </w:r>
      <w:r>
        <w:t xml:space="preserve">, but there is no difference if proxied by </w:t>
      </w:r>
      <w:r w:rsidR="00022F66">
        <w:t>DAR</w:t>
      </w:r>
      <w:r>
        <w:t xml:space="preserve">. Meanwhile, in market performance, there is a difference in </w:t>
      </w:r>
      <w:r w:rsidR="00022F66">
        <w:t xml:space="preserve">PBV </w:t>
      </w:r>
      <w:r>
        <w:t xml:space="preserve">before and after PSAK 72 </w:t>
      </w:r>
      <w:r w:rsidR="00022F66">
        <w:t xml:space="preserve">implementation, </w:t>
      </w:r>
      <w:r>
        <w:t xml:space="preserve">but there is no difference in </w:t>
      </w:r>
      <w:r w:rsidR="00022F66">
        <w:t xml:space="preserve">PER </w:t>
      </w:r>
      <w:r>
        <w:t>before and after PSAK 72</w:t>
      </w:r>
      <w:r w:rsidR="00022F66">
        <w:t xml:space="preserve"> implementation</w:t>
      </w:r>
      <w:r>
        <w:t>.</w:t>
      </w:r>
    </w:p>
    <w:p w14:paraId="64AC696C" w14:textId="77777777" w:rsidR="00F83D7E" w:rsidRDefault="00000000">
      <w:pPr>
        <w:spacing w:line="240" w:lineRule="auto"/>
        <w:ind w:firstLine="272"/>
        <w:jc w:val="both"/>
      </w:pPr>
      <w:r>
        <w:t xml:space="preserve">The recommendation from the researcher for further research so that the results obtained can be better, it is recommended that future research use non-cyclical consumer company sectors. The implementation of PSAK 72 occurred at the same time as the Covid-19 pandemic which caused a decline in company revenues. This type of sector can be said to be a sector whose revenue is stable and is not affected by economic conditions even in a crisis because </w:t>
      </w:r>
      <w:r>
        <w:lastRenderedPageBreak/>
        <w:t>it is a sector that produces primary necessities which are definitely consumed daily. In this way, the research results can show more accurate results regarding the impact of PSAK 72.</w:t>
      </w:r>
    </w:p>
    <w:p w14:paraId="4555508A" w14:textId="77777777" w:rsidR="00F83D7E" w:rsidRDefault="00F83D7E">
      <w:pPr>
        <w:spacing w:after="120" w:line="240" w:lineRule="auto"/>
        <w:jc w:val="both"/>
        <w:rPr>
          <w:color w:val="0E101A"/>
        </w:rPr>
      </w:pPr>
    </w:p>
    <w:p w14:paraId="74FFA515" w14:textId="77777777" w:rsidR="00F83D7E" w:rsidRDefault="00000000">
      <w:pPr>
        <w:spacing w:after="0" w:line="240" w:lineRule="auto"/>
        <w:jc w:val="both"/>
        <w:rPr>
          <w:b/>
        </w:rPr>
      </w:pPr>
      <w:commentRangeStart w:id="4"/>
      <w:r>
        <w:rPr>
          <w:b/>
        </w:rPr>
        <w:t>5. REFERENCES</w:t>
      </w:r>
      <w:commentRangeEnd w:id="4"/>
      <w:r w:rsidR="008B5F56">
        <w:rPr>
          <w:rStyle w:val="ReferensiKomentar"/>
        </w:rPr>
        <w:commentReference w:id="4"/>
      </w:r>
    </w:p>
    <w:p w14:paraId="0E6D0680" w14:textId="77777777" w:rsidR="00F83D7E" w:rsidRDefault="00F83D7E">
      <w:pPr>
        <w:spacing w:after="0" w:line="240" w:lineRule="auto"/>
        <w:jc w:val="both"/>
        <w:rPr>
          <w:b/>
        </w:rPr>
      </w:pPr>
    </w:p>
    <w:p w14:paraId="767C2B98" w14:textId="0A2F1949" w:rsidR="003C4039" w:rsidRPr="003C4039" w:rsidRDefault="00022F66" w:rsidP="003C4039">
      <w:pPr>
        <w:widowControl w:val="0"/>
        <w:autoSpaceDE w:val="0"/>
        <w:autoSpaceDN w:val="0"/>
        <w:adjustRightInd w:val="0"/>
        <w:spacing w:after="0" w:line="240" w:lineRule="auto"/>
        <w:ind w:left="480" w:hanging="480"/>
        <w:jc w:val="both"/>
        <w:rPr>
          <w:noProof/>
        </w:rPr>
      </w:pPr>
      <w:r>
        <w:rPr>
          <w:b/>
        </w:rPr>
        <w:fldChar w:fldCharType="begin" w:fldLock="1"/>
      </w:r>
      <w:r>
        <w:rPr>
          <w:b/>
        </w:rPr>
        <w:instrText xml:space="preserve">ADDIN Mendeley Bibliography CSL_BIBLIOGRAPHY </w:instrText>
      </w:r>
      <w:r>
        <w:rPr>
          <w:b/>
        </w:rPr>
        <w:fldChar w:fldCharType="separate"/>
      </w:r>
      <w:r w:rsidR="003C4039" w:rsidRPr="003C4039">
        <w:rPr>
          <w:noProof/>
        </w:rPr>
        <w:t xml:space="preserve">Aboud, A., Roberts, C., &amp; Zalata, A. M. (2018). The Impact of IFRS 8 on Financial Analysts’ Earnings Forecast Errors: EU Evidence. </w:t>
      </w:r>
      <w:r w:rsidR="003C4039" w:rsidRPr="003C4039">
        <w:rPr>
          <w:i/>
          <w:iCs/>
          <w:noProof/>
        </w:rPr>
        <w:t>Journal of International Accounting, Auditing and Taxation</w:t>
      </w:r>
      <w:r w:rsidR="003C4039" w:rsidRPr="003C4039">
        <w:rPr>
          <w:noProof/>
        </w:rPr>
        <w:t xml:space="preserve">, </w:t>
      </w:r>
      <w:r w:rsidR="003C4039" w:rsidRPr="003C4039">
        <w:rPr>
          <w:i/>
          <w:iCs/>
          <w:noProof/>
        </w:rPr>
        <w:t>33</w:t>
      </w:r>
      <w:r w:rsidR="003C4039" w:rsidRPr="003C4039">
        <w:rPr>
          <w:noProof/>
        </w:rPr>
        <w:t>, 2–17. https://doi.org/10.1016/j.intaccaudtax.2018.08.001</w:t>
      </w:r>
    </w:p>
    <w:p w14:paraId="14A14C6D"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Amalia, D. (2022). </w:t>
      </w:r>
      <w:r w:rsidRPr="003C4039">
        <w:rPr>
          <w:i/>
          <w:iCs/>
          <w:noProof/>
        </w:rPr>
        <w:t>Cara Mengukur Kinerja Keuangan Sebuah Perusahaan</w:t>
      </w:r>
      <w:r w:rsidRPr="003C4039">
        <w:rPr>
          <w:noProof/>
        </w:rPr>
        <w:t>. Jurnal.Id. https://www.jurnal.id/id/blog/2018-laporan-keuangan-tepat-untuk-penilaian-kinerja-keuangan-perusahaan/</w:t>
      </w:r>
    </w:p>
    <w:p w14:paraId="0AFD9BC9"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Amyulianthy, R., Rahmat, T. I., &amp; Munira, M. (2022). Analisis Dampak Implementasi PSAK 72 Terhadap Kinerja Keuangan pada Perusahaan Manufaktur di Indonesia. </w:t>
      </w:r>
      <w:r w:rsidRPr="003C4039">
        <w:rPr>
          <w:i/>
          <w:iCs/>
          <w:noProof/>
        </w:rPr>
        <w:t>Jurnal Riset Akuntansi &amp; Perpajakan</w:t>
      </w:r>
      <w:r w:rsidRPr="003C4039">
        <w:rPr>
          <w:noProof/>
        </w:rPr>
        <w:t xml:space="preserve">, </w:t>
      </w:r>
      <w:r w:rsidRPr="003C4039">
        <w:rPr>
          <w:i/>
          <w:iCs/>
          <w:noProof/>
        </w:rPr>
        <w:t>9</w:t>
      </w:r>
      <w:r w:rsidRPr="003C4039">
        <w:rPr>
          <w:noProof/>
        </w:rPr>
        <w:t>(2), 159–169. https://doi.org/https://doi.org/10.35838/jrap.2022.009.02.13</w:t>
      </w:r>
    </w:p>
    <w:p w14:paraId="3E4E2B9C"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Atho, I. A., &amp; Rahayu, D. (2022). Impact Analysis Before and After the Implementation of PSAK 72 on the Company’s Financial Performance in Real Estate Companies on the Indonesia Stock Exchange in 2018-2021. </w:t>
      </w:r>
      <w:r w:rsidRPr="003C4039">
        <w:rPr>
          <w:i/>
          <w:iCs/>
          <w:noProof/>
        </w:rPr>
        <w:t>Indonesian Journal of Innovation Studies</w:t>
      </w:r>
      <w:r w:rsidRPr="003C4039">
        <w:rPr>
          <w:noProof/>
        </w:rPr>
        <w:t xml:space="preserve">, </w:t>
      </w:r>
      <w:r w:rsidRPr="003C4039">
        <w:rPr>
          <w:i/>
          <w:iCs/>
          <w:noProof/>
        </w:rPr>
        <w:t>20</w:t>
      </w:r>
      <w:r w:rsidRPr="003C4039">
        <w:rPr>
          <w:noProof/>
        </w:rPr>
        <w:t>, 1–14. https://doi.org/https://doi.org/10.21070/ijins.v20i.722</w:t>
      </w:r>
    </w:p>
    <w:p w14:paraId="57EBE559"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Atul, U., Sari, Y., &amp; Lestari, Y. (2022). Analisis Rasio Keuangan untuk Mengukur Kinerja Keuangan Perusahaan. </w:t>
      </w:r>
      <w:r w:rsidRPr="003C4039">
        <w:rPr>
          <w:i/>
          <w:iCs/>
          <w:noProof/>
        </w:rPr>
        <w:t>E-Jurnal Akuntansi TSM</w:t>
      </w:r>
      <w:r w:rsidRPr="003C4039">
        <w:rPr>
          <w:noProof/>
        </w:rPr>
        <w:t xml:space="preserve">, </w:t>
      </w:r>
      <w:r w:rsidRPr="003C4039">
        <w:rPr>
          <w:i/>
          <w:iCs/>
          <w:noProof/>
        </w:rPr>
        <w:t>2</w:t>
      </w:r>
      <w:r w:rsidRPr="003C4039">
        <w:rPr>
          <w:noProof/>
        </w:rPr>
        <w:t>(3), 89–96. https://doi.org/http://jurnaltsm.id/index.php/EJATSM</w:t>
      </w:r>
    </w:p>
    <w:p w14:paraId="0FCA73D5"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Brigham, E. F., &amp; Houston, J. F. (2019a). </w:t>
      </w:r>
      <w:r w:rsidRPr="003C4039">
        <w:rPr>
          <w:i/>
          <w:iCs/>
          <w:noProof/>
        </w:rPr>
        <w:t>Dasar-Dasar Manajemen Keuangan</w:t>
      </w:r>
      <w:r w:rsidRPr="003C4039">
        <w:rPr>
          <w:noProof/>
        </w:rPr>
        <w:t xml:space="preserve"> (14th ed.). Jakarta: Salemba Empat.</w:t>
      </w:r>
    </w:p>
    <w:p w14:paraId="64CA6674"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Brigham, E. F., &amp; Houston, J. F. (2019b). </w:t>
      </w:r>
      <w:r w:rsidRPr="003C4039">
        <w:rPr>
          <w:i/>
          <w:iCs/>
          <w:noProof/>
        </w:rPr>
        <w:t>Fundamentals of Financial Management</w:t>
      </w:r>
      <w:r w:rsidRPr="003C4039">
        <w:rPr>
          <w:noProof/>
        </w:rPr>
        <w:t xml:space="preserve"> (15th ed.). Cengage.</w:t>
      </w:r>
    </w:p>
    <w:p w14:paraId="43C95332"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Budhiman, I. (2020). </w:t>
      </w:r>
      <w:r w:rsidRPr="003C4039">
        <w:rPr>
          <w:i/>
          <w:iCs/>
          <w:noProof/>
        </w:rPr>
        <w:t>Emiten Properti Khawatirkan Dampak Penerapan PSAK 72</w:t>
      </w:r>
      <w:r w:rsidRPr="003C4039">
        <w:rPr>
          <w:noProof/>
        </w:rPr>
        <w:t>. Bisnis.Com. https://ekonomi.bisnis.com/read/20200225/47/1205564/emiten-properti-khawatirkan-dampak-penerapan-psak-72</w:t>
      </w:r>
    </w:p>
    <w:p w14:paraId="1D8983F3"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Casnila, I., &amp; Nurfitriana, A. (2020). Analisis Dampak Kinerja Keuangan Sebelum dan Sesudah Penerapan PSAK 72 Pada Perusahaan Telekomunikasi Yang Terdaftar Di Bursa Efek Indonesia (BEI). </w:t>
      </w:r>
      <w:r w:rsidRPr="003C4039">
        <w:rPr>
          <w:i/>
          <w:iCs/>
          <w:noProof/>
        </w:rPr>
        <w:t>Jurnal Riset Akuntansi Dan Perbankan</w:t>
      </w:r>
      <w:r w:rsidRPr="003C4039">
        <w:rPr>
          <w:noProof/>
        </w:rPr>
        <w:t xml:space="preserve">, </w:t>
      </w:r>
      <w:r w:rsidRPr="003C4039">
        <w:rPr>
          <w:i/>
          <w:iCs/>
          <w:noProof/>
        </w:rPr>
        <w:t>14</w:t>
      </w:r>
      <w:r w:rsidRPr="003C4039">
        <w:rPr>
          <w:noProof/>
        </w:rPr>
        <w:t>(1), 220–240.</w:t>
      </w:r>
    </w:p>
    <w:p w14:paraId="3F97D280"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Fahmi, I. (2017). </w:t>
      </w:r>
      <w:r w:rsidRPr="003C4039">
        <w:rPr>
          <w:i/>
          <w:iCs/>
          <w:noProof/>
        </w:rPr>
        <w:t>Analisis Kinerja Keuangan</w:t>
      </w:r>
      <w:r w:rsidRPr="003C4039">
        <w:rPr>
          <w:noProof/>
        </w:rPr>
        <w:t>. Alfabeta.</w:t>
      </w:r>
    </w:p>
    <w:p w14:paraId="3E734E71"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Febriandhani, F., Akbar, F. S., Bagus, G. W. P., &amp; Syahputra, R. (2022). Revenue from Contracts with Customer (Studi pada Perusahaan Sektor Property, Real Estate and Building Construction yang Terdaftar di Bursa Efek Indonesia tahun 2018-2020). </w:t>
      </w:r>
      <w:r w:rsidRPr="003C4039">
        <w:rPr>
          <w:i/>
          <w:iCs/>
          <w:noProof/>
        </w:rPr>
        <w:t>Jurnal Manajemen, Bisnis, Dan Kewirausahaan</w:t>
      </w:r>
      <w:r w:rsidRPr="003C4039">
        <w:rPr>
          <w:noProof/>
        </w:rPr>
        <w:t xml:space="preserve">, </w:t>
      </w:r>
      <w:r w:rsidRPr="003C4039">
        <w:rPr>
          <w:i/>
          <w:iCs/>
          <w:noProof/>
        </w:rPr>
        <w:t>2</w:t>
      </w:r>
      <w:r w:rsidRPr="003C4039">
        <w:rPr>
          <w:noProof/>
        </w:rPr>
        <w:t>(2), 11–15. https://doi.org/https://doi.org/10.55606/jumbiku.v2i2.258</w:t>
      </w:r>
    </w:p>
    <w:p w14:paraId="68952C00"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Ferdinand, A. (2014). </w:t>
      </w:r>
      <w:r w:rsidRPr="003C4039">
        <w:rPr>
          <w:i/>
          <w:iCs/>
          <w:noProof/>
        </w:rPr>
        <w:t>Metode Penelitian Manajemen</w:t>
      </w:r>
      <w:r w:rsidRPr="003C4039">
        <w:rPr>
          <w:noProof/>
        </w:rPr>
        <w:t xml:space="preserve"> (kelima). Badan Penerbit Universitas Diponegoro.</w:t>
      </w:r>
    </w:p>
    <w:p w14:paraId="3DC5EBDE"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Fransisca, J., &amp; Ahalik, A. (2021). Effect Of PSAK 72 Implementation In Property And Real Estate’s Financial Health. </w:t>
      </w:r>
      <w:r w:rsidRPr="003C4039">
        <w:rPr>
          <w:i/>
          <w:iCs/>
          <w:noProof/>
        </w:rPr>
        <w:t>Research In Management and Accounting</w:t>
      </w:r>
      <w:r w:rsidRPr="003C4039">
        <w:rPr>
          <w:noProof/>
        </w:rPr>
        <w:t xml:space="preserve">, </w:t>
      </w:r>
      <w:r w:rsidRPr="003C4039">
        <w:rPr>
          <w:i/>
          <w:iCs/>
          <w:noProof/>
        </w:rPr>
        <w:t>4</w:t>
      </w:r>
      <w:r w:rsidRPr="003C4039">
        <w:rPr>
          <w:noProof/>
        </w:rPr>
        <w:t>(2), 106–117. https://doi.org/https://doi.org/10.33508/rima.v4i2.3529</w:t>
      </w:r>
    </w:p>
    <w:p w14:paraId="6CF684C1"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Galib, M., &amp; Hidayat, M. (2018). Analisis Kinerja Perusahaan Dengan Menggunakan Pendekatan Balanced Scorecard Pada PT. Bosowa Propertindo. </w:t>
      </w:r>
      <w:r w:rsidRPr="003C4039">
        <w:rPr>
          <w:i/>
          <w:iCs/>
          <w:noProof/>
        </w:rPr>
        <w:t>SEIKO: Journal of Management &amp; Business</w:t>
      </w:r>
      <w:r w:rsidRPr="003C4039">
        <w:rPr>
          <w:noProof/>
        </w:rPr>
        <w:t xml:space="preserve">, </w:t>
      </w:r>
      <w:r w:rsidRPr="003C4039">
        <w:rPr>
          <w:i/>
          <w:iCs/>
          <w:noProof/>
        </w:rPr>
        <w:t>2</w:t>
      </w:r>
      <w:r w:rsidRPr="003C4039">
        <w:rPr>
          <w:noProof/>
        </w:rPr>
        <w:t>(1), 92–112. https://doi.org/https://doi.org/10.37531/sejaman.v2i1.345</w:t>
      </w:r>
    </w:p>
    <w:p w14:paraId="484FC98A"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lastRenderedPageBreak/>
        <w:t xml:space="preserve">Ghozali, I. (2018). </w:t>
      </w:r>
      <w:r w:rsidRPr="003C4039">
        <w:rPr>
          <w:i/>
          <w:iCs/>
          <w:noProof/>
        </w:rPr>
        <w:t>Aplikasi Analisis Multivariate dengan Program IBM SPSS 25</w:t>
      </w:r>
      <w:r w:rsidRPr="003C4039">
        <w:rPr>
          <w:noProof/>
        </w:rPr>
        <w:t xml:space="preserve"> (9th ed.). Badan Penerbit Universitas Diponegoro.</w:t>
      </w:r>
    </w:p>
    <w:p w14:paraId="37F37C7D"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Halim, C. N., &amp; Herawati, T. D. (2020). Pengaruh Implementasi Pengakuan Pendapatan PSAK 72 Terhadap Kinerja Keuangan (Studi Empiris pada Perusahaan Real Estate Tahun 2018-2019). </w:t>
      </w:r>
      <w:r w:rsidRPr="003C4039">
        <w:rPr>
          <w:i/>
          <w:iCs/>
          <w:noProof/>
        </w:rPr>
        <w:t>Jurnal Ilmiah Mahasiswa FEB Universitas Brawijaya</w:t>
      </w:r>
      <w:r w:rsidRPr="003C4039">
        <w:rPr>
          <w:noProof/>
        </w:rPr>
        <w:t xml:space="preserve">, </w:t>
      </w:r>
      <w:r w:rsidRPr="003C4039">
        <w:rPr>
          <w:i/>
          <w:iCs/>
          <w:noProof/>
        </w:rPr>
        <w:t>8</w:t>
      </w:r>
      <w:r w:rsidRPr="003C4039">
        <w:rPr>
          <w:noProof/>
        </w:rPr>
        <w:t>(2), 2–14.</w:t>
      </w:r>
    </w:p>
    <w:p w14:paraId="12FB9A95"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Harjito, A., &amp; Martono. (2018). </w:t>
      </w:r>
      <w:r w:rsidRPr="003C4039">
        <w:rPr>
          <w:i/>
          <w:iCs/>
          <w:noProof/>
        </w:rPr>
        <w:t>Manajemen Keuangan</w:t>
      </w:r>
      <w:r w:rsidRPr="003C4039">
        <w:rPr>
          <w:noProof/>
        </w:rPr>
        <w:t xml:space="preserve"> (second). EKONISIA.</w:t>
      </w:r>
    </w:p>
    <w:p w14:paraId="5966116E"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Harnanto. (2019). </w:t>
      </w:r>
      <w:r w:rsidRPr="003C4039">
        <w:rPr>
          <w:i/>
          <w:iCs/>
          <w:noProof/>
        </w:rPr>
        <w:t>Dasar-Dasar Akuntansi</w:t>
      </w:r>
      <w:r w:rsidRPr="003C4039">
        <w:rPr>
          <w:noProof/>
        </w:rPr>
        <w:t>. ANDI.</w:t>
      </w:r>
    </w:p>
    <w:p w14:paraId="3BB797DB"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Hayat, A. (2018). </w:t>
      </w:r>
      <w:r w:rsidRPr="003C4039">
        <w:rPr>
          <w:i/>
          <w:iCs/>
          <w:noProof/>
        </w:rPr>
        <w:t>Manajemen Keuangan</w:t>
      </w:r>
      <w:r w:rsidRPr="003C4039">
        <w:rPr>
          <w:noProof/>
        </w:rPr>
        <w:t>. Madenatera.</w:t>
      </w:r>
    </w:p>
    <w:p w14:paraId="57B8D41B"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Indonesian Accountants Association (IAI). (2018). </w:t>
      </w:r>
      <w:r w:rsidRPr="003C4039">
        <w:rPr>
          <w:i/>
          <w:iCs/>
          <w:noProof/>
        </w:rPr>
        <w:t>Pernyataan Standar Akuntansi Keuangan No 23 Pendapatan</w:t>
      </w:r>
      <w:r w:rsidRPr="003C4039">
        <w:rPr>
          <w:noProof/>
        </w:rPr>
        <w:t>. Ikatan Akuntan Indonesia.</w:t>
      </w:r>
    </w:p>
    <w:p w14:paraId="68ADFA94"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Indonesian Accountants Association (IAI). (2022). </w:t>
      </w:r>
      <w:r w:rsidRPr="003C4039">
        <w:rPr>
          <w:i/>
          <w:iCs/>
          <w:noProof/>
        </w:rPr>
        <w:t>Pernyataan Standar Akuntansi Keuangan No 72 Pendapatan dari Kontrak dengan Pelanggan</w:t>
      </w:r>
      <w:r w:rsidRPr="003C4039">
        <w:rPr>
          <w:noProof/>
        </w:rPr>
        <w:t>. Ikatan Akuntan Indonesia.</w:t>
      </w:r>
    </w:p>
    <w:p w14:paraId="7572F9BF"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Kasmir. (2019). </w:t>
      </w:r>
      <w:r w:rsidRPr="003C4039">
        <w:rPr>
          <w:i/>
          <w:iCs/>
          <w:noProof/>
        </w:rPr>
        <w:t>Analisis Laporan Keuangan</w:t>
      </w:r>
      <w:r w:rsidRPr="003C4039">
        <w:rPr>
          <w:noProof/>
        </w:rPr>
        <w:t xml:space="preserve"> (Pertama). PT Raja Grafindo Persada.</w:t>
      </w:r>
    </w:p>
    <w:p w14:paraId="56E40980"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Kieso, D. E., Weygandt, J. J., &amp; Warfield, T. D. (2024). </w:t>
      </w:r>
      <w:r w:rsidRPr="003C4039">
        <w:rPr>
          <w:i/>
          <w:iCs/>
          <w:noProof/>
        </w:rPr>
        <w:t>Intermediate Accounting</w:t>
      </w:r>
      <w:r w:rsidRPr="003C4039">
        <w:rPr>
          <w:noProof/>
        </w:rPr>
        <w:t xml:space="preserve"> (IFRS Editi). John Wiley &amp; Sons, Inc.</w:t>
      </w:r>
    </w:p>
    <w:p w14:paraId="054D49BF"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Listiyowati, &amp; Mayasari, D. A. (2021). Pengaruh Penerapan PSAK 72 terhadap Price Earning Ratio dengan Ukuran Perusahaan sebagai Variabel Kontrol. </w:t>
      </w:r>
      <w:r w:rsidRPr="003C4039">
        <w:rPr>
          <w:i/>
          <w:iCs/>
          <w:noProof/>
        </w:rPr>
        <w:t>Jurnal Ilmiah Aset</w:t>
      </w:r>
      <w:r w:rsidRPr="003C4039">
        <w:rPr>
          <w:noProof/>
        </w:rPr>
        <w:t xml:space="preserve">, </w:t>
      </w:r>
      <w:r w:rsidRPr="003C4039">
        <w:rPr>
          <w:i/>
          <w:iCs/>
          <w:noProof/>
        </w:rPr>
        <w:t>23</w:t>
      </w:r>
      <w:r w:rsidRPr="003C4039">
        <w:rPr>
          <w:noProof/>
        </w:rPr>
        <w:t>(1), 31–42. https://doi.org/https://doi.org/10.37470/1.23.1.175</w:t>
      </w:r>
    </w:p>
    <w:p w14:paraId="0112DA7D"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Martika, L. D., Rahmawati, T., &amp; Yunus, S. (2021). Konservatisme Akuntansi: Telaah Mendalam dalam Kerangka Teori Akuntansi Positif. </w:t>
      </w:r>
      <w:r w:rsidRPr="003C4039">
        <w:rPr>
          <w:i/>
          <w:iCs/>
          <w:noProof/>
        </w:rPr>
        <w:t>Jurnal Penelitian Universitas Kuningan</w:t>
      </w:r>
      <w:r w:rsidRPr="003C4039">
        <w:rPr>
          <w:noProof/>
        </w:rPr>
        <w:t xml:space="preserve">, </w:t>
      </w:r>
      <w:r w:rsidRPr="003C4039">
        <w:rPr>
          <w:i/>
          <w:iCs/>
          <w:noProof/>
        </w:rPr>
        <w:t>12</w:t>
      </w:r>
      <w:r w:rsidRPr="003C4039">
        <w:rPr>
          <w:noProof/>
        </w:rPr>
        <w:t>(2), 119–129. https://doi.org/https://doi.org/10.25134/logika.v12i2.5539</w:t>
      </w:r>
    </w:p>
    <w:p w14:paraId="4B54A66E"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Mashuri, A. A. S., &amp; Sari, R. H. D. P. (2022). Impact of Implementing Revenue Recognition Based on Psak 72 in the COVID-19 Pandemic Period. </w:t>
      </w:r>
      <w:r w:rsidRPr="003C4039">
        <w:rPr>
          <w:i/>
          <w:iCs/>
          <w:noProof/>
        </w:rPr>
        <w:t>Journal Research of Social Science, Economics, and Management</w:t>
      </w:r>
      <w:r w:rsidRPr="003C4039">
        <w:rPr>
          <w:noProof/>
        </w:rPr>
        <w:t xml:space="preserve">, </w:t>
      </w:r>
      <w:r w:rsidRPr="003C4039">
        <w:rPr>
          <w:i/>
          <w:iCs/>
          <w:noProof/>
        </w:rPr>
        <w:t>1</w:t>
      </w:r>
      <w:r w:rsidRPr="003C4039">
        <w:rPr>
          <w:noProof/>
        </w:rPr>
        <w:t>(10), 1621–1632. https://doi.org/10.59141/jrssem.v1i10.179</w:t>
      </w:r>
    </w:p>
    <w:p w14:paraId="0981AC92"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Mokoginta, P. F. (2019). Pengakuan dan Pengukuran Pendapatan Menurut PSAK 23 Pada CV. Nyiur Trans Kawanua. </w:t>
      </w:r>
      <w:r w:rsidRPr="003C4039">
        <w:rPr>
          <w:i/>
          <w:iCs/>
          <w:noProof/>
        </w:rPr>
        <w:t>Jurnal EMBA</w:t>
      </w:r>
      <w:r w:rsidRPr="003C4039">
        <w:rPr>
          <w:noProof/>
        </w:rPr>
        <w:t xml:space="preserve">, </w:t>
      </w:r>
      <w:r w:rsidRPr="003C4039">
        <w:rPr>
          <w:i/>
          <w:iCs/>
          <w:noProof/>
        </w:rPr>
        <w:t>7</w:t>
      </w:r>
      <w:r w:rsidRPr="003C4039">
        <w:rPr>
          <w:noProof/>
        </w:rPr>
        <w:t>(1), 941–950. https://doi.org/https://doi.org/10.35794/emba.7.1.2019.22923</w:t>
      </w:r>
    </w:p>
    <w:p w14:paraId="4EC61D7A"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Mubarika, N. R., &amp; Handayani, R. S. (2022). Value Relevance of Accounting Information from PSAK 72. </w:t>
      </w:r>
      <w:r w:rsidRPr="003C4039">
        <w:rPr>
          <w:i/>
          <w:iCs/>
          <w:noProof/>
        </w:rPr>
        <w:t>Jurnal Akuntansi Dan Keuangan</w:t>
      </w:r>
      <w:r w:rsidRPr="003C4039">
        <w:rPr>
          <w:noProof/>
        </w:rPr>
        <w:t xml:space="preserve">, </w:t>
      </w:r>
      <w:r w:rsidRPr="003C4039">
        <w:rPr>
          <w:i/>
          <w:iCs/>
          <w:noProof/>
        </w:rPr>
        <w:t>24</w:t>
      </w:r>
      <w:r w:rsidRPr="003C4039">
        <w:rPr>
          <w:noProof/>
        </w:rPr>
        <w:t>(1), 1–9. https://doi.org/https://doi.org/10.9744/jak.24.1.1−9</w:t>
      </w:r>
    </w:p>
    <w:p w14:paraId="2165B341"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Pradanti, A., &amp; Lestari, U. (2022). Analisis Dampak Sebelum dan Sesudah Berlakunya PSAK 72 pada Penjualan Bangunan Terhadap Kinerja Keuangan Perusahaan Subsektor Properti dan Real Estat yang Terdaftar di Bursa Efek Indonesia Tahun 2020. </w:t>
      </w:r>
      <w:r w:rsidRPr="003C4039">
        <w:rPr>
          <w:i/>
          <w:iCs/>
          <w:noProof/>
        </w:rPr>
        <w:t>Seminar Nasional Akuntansi Dan Manajemen</w:t>
      </w:r>
      <w:r w:rsidRPr="003C4039">
        <w:rPr>
          <w:noProof/>
        </w:rPr>
        <w:t>, 3.</w:t>
      </w:r>
    </w:p>
    <w:p w14:paraId="559A8799"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PriceWaterhouseCoopers. (2020). </w:t>
      </w:r>
      <w:r w:rsidRPr="003C4039">
        <w:rPr>
          <w:i/>
          <w:iCs/>
          <w:noProof/>
        </w:rPr>
        <w:t>PSAK 72, Perusahaan Real Estat Jual Barang atau Jasa? Ini kata PwC</w:t>
      </w:r>
      <w:r w:rsidRPr="003C4039">
        <w:rPr>
          <w:noProof/>
        </w:rPr>
        <w:t>. https://www.pwc.com/id/en/media-centre/pwc-in news/2020/indonesian/psak-72--perusahaan-real-estat-jual-barang-atau-jasa--ini-kata-p.html</w:t>
      </w:r>
    </w:p>
    <w:p w14:paraId="2450E142"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Riyosef, M. C., &amp; Agustin, H. (2022). Event Study Peristiwa Pemberlakuan Efektif Pernyataan Standar Akuntansi Keuangan 72 di Sektor Telekomunikasi dan Farmasi. </w:t>
      </w:r>
      <w:r w:rsidRPr="003C4039">
        <w:rPr>
          <w:i/>
          <w:iCs/>
          <w:noProof/>
        </w:rPr>
        <w:t>JIAFE (Jurnal Ilmiah Akuntansi Fakultas Ekonomi)</w:t>
      </w:r>
      <w:r w:rsidRPr="003C4039">
        <w:rPr>
          <w:noProof/>
        </w:rPr>
        <w:t xml:space="preserve">, </w:t>
      </w:r>
      <w:r w:rsidRPr="003C4039">
        <w:rPr>
          <w:i/>
          <w:iCs/>
          <w:noProof/>
        </w:rPr>
        <w:t>8</w:t>
      </w:r>
      <w:r w:rsidRPr="003C4039">
        <w:rPr>
          <w:noProof/>
        </w:rPr>
        <w:t>(1), 121–132. https://doi.org/https://doi.org/10.34204/jiafe.v 8i1.4278</w:t>
      </w:r>
    </w:p>
    <w:p w14:paraId="4DDE714D"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Sodikin, S., &amp; Sahroni, N. (2016). Analisis Kinerja Keuangan dan Kinerja Pasar Sebelum dan Sesudah Akuisisi (Kasus pada Akuisisi PT. Agung Podomoro Land Tbk.). </w:t>
      </w:r>
      <w:r w:rsidRPr="003C4039">
        <w:rPr>
          <w:i/>
          <w:iCs/>
          <w:noProof/>
        </w:rPr>
        <w:t>Jurnal Ekonomi Manajemen</w:t>
      </w:r>
      <w:r w:rsidRPr="003C4039">
        <w:rPr>
          <w:noProof/>
        </w:rPr>
        <w:t xml:space="preserve">, </w:t>
      </w:r>
      <w:r w:rsidRPr="003C4039">
        <w:rPr>
          <w:i/>
          <w:iCs/>
          <w:noProof/>
        </w:rPr>
        <w:t>2</w:t>
      </w:r>
      <w:r w:rsidRPr="003C4039">
        <w:rPr>
          <w:noProof/>
        </w:rPr>
        <w:t>(2), 81–90.</w:t>
      </w:r>
    </w:p>
    <w:p w14:paraId="69AD6605"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Sudana, I. M. (2018). </w:t>
      </w:r>
      <w:r w:rsidRPr="003C4039">
        <w:rPr>
          <w:i/>
          <w:iCs/>
          <w:noProof/>
        </w:rPr>
        <w:t>Manajemen Keuangan Teori dan Praktik</w:t>
      </w:r>
      <w:r w:rsidRPr="003C4039">
        <w:rPr>
          <w:noProof/>
        </w:rPr>
        <w:t>. Airlangga University Press.</w:t>
      </w:r>
    </w:p>
    <w:p w14:paraId="3C2FBFDC"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Sujarweni, V. W. (2017). </w:t>
      </w:r>
      <w:r w:rsidRPr="003C4039">
        <w:rPr>
          <w:i/>
          <w:iCs/>
          <w:noProof/>
        </w:rPr>
        <w:t>Analisis Laporan Keuangan: Teori, Aplikasi, dan Hasil Penelitian</w:t>
      </w:r>
      <w:r w:rsidRPr="003C4039">
        <w:rPr>
          <w:noProof/>
        </w:rPr>
        <w:t xml:space="preserve">. </w:t>
      </w:r>
      <w:r w:rsidRPr="003C4039">
        <w:rPr>
          <w:noProof/>
        </w:rPr>
        <w:lastRenderedPageBreak/>
        <w:t>Pustaka Baru Press.</w:t>
      </w:r>
    </w:p>
    <w:p w14:paraId="0EE01FEF"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Veronica, Lestari, U. P., &amp; Metekohy, E. Y. (2019). Analisis Dampak Penerapan Pengakuan Pendapatan Berdasarkan PSAK 72 Terhadap Kinerja Keuangan Perusahaan Real Estate di Indonesia yang Terdaftar di Bursa Efek Indonesia Tahun 2018. </w:t>
      </w:r>
      <w:r w:rsidRPr="003C4039">
        <w:rPr>
          <w:i/>
          <w:iCs/>
          <w:noProof/>
        </w:rPr>
        <w:t>Journal Accounting</w:t>
      </w:r>
      <w:r w:rsidRPr="003C4039">
        <w:rPr>
          <w:noProof/>
        </w:rPr>
        <w:t xml:space="preserve">, </w:t>
      </w:r>
      <w:r w:rsidRPr="003C4039">
        <w:rPr>
          <w:i/>
          <w:iCs/>
          <w:noProof/>
        </w:rPr>
        <w:t>34</w:t>
      </w:r>
      <w:r w:rsidRPr="003C4039">
        <w:rPr>
          <w:noProof/>
        </w:rPr>
        <w:t>(4), 965–972. https://doi.org/https://doi.org/10.35313/irwns.v10i1.1451</w:t>
      </w:r>
    </w:p>
    <w:p w14:paraId="4735D277"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Watts, R. L., &amp; Zimmerman, J. L. (1986). </w:t>
      </w:r>
      <w:r w:rsidRPr="003C4039">
        <w:rPr>
          <w:i/>
          <w:iCs/>
          <w:noProof/>
        </w:rPr>
        <w:t>Positive Accounting Theory</w:t>
      </w:r>
      <w:r w:rsidRPr="003C4039">
        <w:rPr>
          <w:noProof/>
        </w:rPr>
        <w:t>. Prentice-Hall Inc.</w:t>
      </w:r>
    </w:p>
    <w:p w14:paraId="76D7F35F" w14:textId="77777777" w:rsidR="003C4039" w:rsidRPr="003C4039" w:rsidRDefault="003C4039" w:rsidP="003C4039">
      <w:pPr>
        <w:widowControl w:val="0"/>
        <w:autoSpaceDE w:val="0"/>
        <w:autoSpaceDN w:val="0"/>
        <w:adjustRightInd w:val="0"/>
        <w:spacing w:after="0" w:line="240" w:lineRule="auto"/>
        <w:ind w:left="480" w:hanging="480"/>
        <w:jc w:val="both"/>
        <w:rPr>
          <w:noProof/>
        </w:rPr>
      </w:pPr>
      <w:r w:rsidRPr="003C4039">
        <w:rPr>
          <w:noProof/>
        </w:rPr>
        <w:t xml:space="preserve">Wibowo, O. V. C., &amp; Lindrawati. (2019). Pengaruh Kontrak Utang, Biaya Politik, dan Asimetri Informasi terhadap Keputusan Revaluasi Aset Tetap. </w:t>
      </w:r>
      <w:r w:rsidRPr="003C4039">
        <w:rPr>
          <w:i/>
          <w:iCs/>
          <w:noProof/>
        </w:rPr>
        <w:t>Jurnal Akuntansi Kontemporer (JAKO)</w:t>
      </w:r>
      <w:r w:rsidRPr="003C4039">
        <w:rPr>
          <w:noProof/>
        </w:rPr>
        <w:t xml:space="preserve">, </w:t>
      </w:r>
      <w:r w:rsidRPr="003C4039">
        <w:rPr>
          <w:i/>
          <w:iCs/>
          <w:noProof/>
        </w:rPr>
        <w:t>11</w:t>
      </w:r>
      <w:r w:rsidRPr="003C4039">
        <w:rPr>
          <w:noProof/>
        </w:rPr>
        <w:t>(2), 93–106. https://doi.org/10.33508/jako.v11i2.2080</w:t>
      </w:r>
    </w:p>
    <w:p w14:paraId="0DD36874" w14:textId="0489BBD8" w:rsidR="00F83D7E" w:rsidRDefault="00022F66" w:rsidP="003C4039">
      <w:pPr>
        <w:spacing w:after="0" w:line="240" w:lineRule="auto"/>
        <w:jc w:val="both"/>
        <w:rPr>
          <w:b/>
        </w:rPr>
      </w:pPr>
      <w:r>
        <w:rPr>
          <w:b/>
        </w:rPr>
        <w:fldChar w:fldCharType="end"/>
      </w:r>
    </w:p>
    <w:p w14:paraId="025AEDBB" w14:textId="77777777" w:rsidR="00F83D7E" w:rsidRDefault="00000000">
      <w:pPr>
        <w:jc w:val="both"/>
        <w:rPr>
          <w:color w:val="000000"/>
        </w:rPr>
      </w:pPr>
      <w:r>
        <w:t xml:space="preserve">     </w:t>
      </w:r>
    </w:p>
    <w:p w14:paraId="755ECC43" w14:textId="77777777" w:rsidR="00F83D7E" w:rsidRDefault="00F83D7E">
      <w:pPr>
        <w:spacing w:before="120"/>
        <w:ind w:left="540" w:hanging="540"/>
        <w:jc w:val="both"/>
        <w:rPr>
          <w:color w:val="000000"/>
        </w:rPr>
      </w:pPr>
    </w:p>
    <w:p w14:paraId="50CF226C" w14:textId="77777777" w:rsidR="00F83D7E" w:rsidRDefault="00F83D7E">
      <w:pPr>
        <w:ind w:left="567" w:hanging="567"/>
        <w:jc w:val="both"/>
        <w:rPr>
          <w:b/>
          <w:color w:val="000000"/>
        </w:rPr>
      </w:pPr>
    </w:p>
    <w:p w14:paraId="3568725C" w14:textId="77777777" w:rsidR="00F83D7E" w:rsidRDefault="00F83D7E">
      <w:pPr>
        <w:spacing w:line="240" w:lineRule="auto"/>
        <w:jc w:val="both"/>
      </w:pPr>
    </w:p>
    <w:p w14:paraId="02F80732" w14:textId="77777777" w:rsidR="00F83D7E" w:rsidRDefault="00F83D7E">
      <w:pPr>
        <w:spacing w:line="240" w:lineRule="auto"/>
        <w:ind w:left="450" w:hanging="426"/>
        <w:jc w:val="both"/>
      </w:pPr>
    </w:p>
    <w:sectPr w:rsidR="00F83D7E">
      <w:type w:val="continuous"/>
      <w:pgSz w:w="11906" w:h="16838"/>
      <w:pgMar w:top="1135" w:right="1440" w:bottom="1440" w:left="1440" w:header="708" w:footer="89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rini lestari" w:date="2024-12-02T02:41:00Z" w:initials="al">
    <w:p w14:paraId="2F71579E" w14:textId="47438BB8" w:rsidR="008B5F56" w:rsidRDefault="008B5F56">
      <w:pPr>
        <w:pStyle w:val="TeksKomentar"/>
      </w:pPr>
      <w:r>
        <w:rPr>
          <w:rStyle w:val="ReferensiKomentar"/>
        </w:rPr>
        <w:annotationRef/>
      </w:r>
      <w:r>
        <w:t>Abstrak tidak lebih dari 150 kata</w:t>
      </w:r>
    </w:p>
  </w:comment>
  <w:comment w:id="2" w:author="arini lestari" w:date="2024-12-02T02:42:00Z" w:initials="al">
    <w:p w14:paraId="0553ECE3" w14:textId="4049E9CE" w:rsidR="008B5F56" w:rsidRDefault="008B5F56">
      <w:pPr>
        <w:pStyle w:val="TeksKomentar"/>
      </w:pPr>
      <w:r>
        <w:rPr>
          <w:rStyle w:val="ReferensiKomentar"/>
        </w:rPr>
        <w:annotationRef/>
      </w:r>
      <w:r>
        <w:t>Kata kunci disusun alfabetis</w:t>
      </w:r>
    </w:p>
  </w:comment>
  <w:comment w:id="4" w:author="arini lestari" w:date="2024-12-02T02:43:00Z" w:initials="al">
    <w:p w14:paraId="6E9B525C" w14:textId="58230FF7" w:rsidR="008B5F56" w:rsidRDefault="008B5F56">
      <w:pPr>
        <w:pStyle w:val="TeksKomentar"/>
      </w:pPr>
      <w:r>
        <w:rPr>
          <w:rStyle w:val="ReferensiKomentar"/>
        </w:rPr>
        <w:annotationRef/>
      </w:r>
      <w:r>
        <w:t>Referensi hanya diperbolehlan dari artikel jurnal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71579E" w15:done="0"/>
  <w15:commentEx w15:paraId="0553ECE3" w15:done="0"/>
  <w15:commentEx w15:paraId="6E9B52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B3A2D3" w16cex:dateUtc="2024-12-01T19:41:00Z"/>
  <w16cex:commentExtensible w16cex:durableId="1C0217FD" w16cex:dateUtc="2024-12-01T19:42:00Z"/>
  <w16cex:commentExtensible w16cex:durableId="5EEB4774" w16cex:dateUtc="2024-12-01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71579E" w16cid:durableId="09B3A2D3"/>
  <w16cid:commentId w16cid:paraId="0553ECE3" w16cid:durableId="1C0217FD"/>
  <w16cid:commentId w16cid:paraId="6E9B525C" w16cid:durableId="5EEB47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AA912" w14:textId="77777777" w:rsidR="008258AF" w:rsidRDefault="008258AF">
      <w:pPr>
        <w:spacing w:after="0" w:line="240" w:lineRule="auto"/>
      </w:pPr>
      <w:r>
        <w:separator/>
      </w:r>
    </w:p>
  </w:endnote>
  <w:endnote w:type="continuationSeparator" w:id="0">
    <w:p w14:paraId="36711169" w14:textId="77777777" w:rsidR="008258AF" w:rsidRDefault="00825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D21F7A9-6BA3-429E-91AB-1F7F71CBBBF3}"/>
    <w:embedBold r:id="rId2" w:fontKey="{90010284-F4A4-49FE-B8C8-3A1317A1081A}"/>
    <w:embedItalic r:id="rId3" w:fontKey="{1394FBAB-63E8-4D8A-95AD-06D3923C6F09}"/>
    <w:embedBoldItalic r:id="rId4" w:fontKey="{A47263A6-34D8-4318-99D6-0B16F0085A0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2F50FC1-6559-4FE4-81C6-C04144E70C2C}"/>
    <w:embedItalic r:id="rId6" w:fontKey="{E94C16A5-171E-43ED-98F9-7417FC92012D}"/>
  </w:font>
  <w:font w:name="Constantia">
    <w:panose1 w:val="02030602050306030303"/>
    <w:charset w:val="00"/>
    <w:family w:val="roman"/>
    <w:pitch w:val="variable"/>
    <w:sig w:usb0="A00002EF" w:usb1="4000204B" w:usb2="00000000" w:usb3="00000000" w:csb0="0000019F" w:csb1="00000000"/>
    <w:embedRegular r:id="rId7" w:fontKey="{F6B1218F-8E92-4C15-9EAD-005B8DC304F2}"/>
    <w:embedBold r:id="rId8" w:fontKey="{B151CFDA-8977-476A-ABA7-34F13465FFB2}"/>
    <w:embedItalic r:id="rId9" w:fontKey="{34C5C85A-A63C-4A6C-923B-3501EA54D24A}"/>
    <w:embedBoldItalic r:id="rId10" w:fontKey="{DCDF7B28-62B8-4E94-B1B2-EE57CE989E97}"/>
  </w:font>
  <w:font w:name="Roboto">
    <w:charset w:val="00"/>
    <w:family w:val="auto"/>
    <w:pitch w:val="variable"/>
    <w:sig w:usb0="E0000AFF" w:usb1="5000217F" w:usb2="00000021" w:usb3="00000000" w:csb0="0000019F" w:csb1="00000000"/>
    <w:embedRegular r:id="rId11" w:fontKey="{4090CF2C-00E3-4C6D-AAFF-5AD4A1C6830D}"/>
    <w:embedBold r:id="rId12" w:fontKey="{E85F7AF2-32D3-4635-BCA1-8637D2479C5D}"/>
  </w:font>
  <w:font w:name="Arial Rounded">
    <w:altName w:val="Arial"/>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3" w:fontKey="{5B80C881-B6D9-45A6-B0C6-D21FB6DE3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B4AE9"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FF"/>
        <w:sz w:val="20"/>
        <w:szCs w:val="20"/>
        <w:highlight w:val="white"/>
        <w:u w:val="single"/>
      </w:rPr>
    </w:pPr>
    <w:r>
      <w:rPr>
        <w:rFonts w:ascii="Times New Roman" w:eastAsia="Times New Roman" w:hAnsi="Times New Roman" w:cs="Times New Roman"/>
        <w:color w:val="666666"/>
        <w:sz w:val="20"/>
        <w:szCs w:val="20"/>
        <w:highlight w:val="white"/>
      </w:rPr>
      <w:t>DOI: </w:t>
    </w:r>
    <w:hyperlink r:id="rId1">
      <w:r w:rsidR="00F83D7E">
        <w:rPr>
          <w:rFonts w:ascii="Times New Roman" w:eastAsia="Times New Roman" w:hAnsi="Times New Roman" w:cs="Times New Roman"/>
          <w:color w:val="0000FF"/>
          <w:sz w:val="20"/>
          <w:szCs w:val="20"/>
          <w:highlight w:val="white"/>
          <w:u w:val="single"/>
        </w:rPr>
        <w:t>http://dx.doi.org/10.17509/xxxx.xx</w:t>
      </w:r>
    </w:hyperlink>
    <w:r>
      <w:rPr>
        <w:rFonts w:ascii="Times New Roman" w:eastAsia="Times New Roman" w:hAnsi="Times New Roman" w:cs="Times New Roman"/>
        <w:color w:val="0000FF"/>
        <w:sz w:val="20"/>
        <w:szCs w:val="20"/>
        <w:highlight w:val="white"/>
        <w:u w:val="single"/>
      </w:rPr>
      <w:t>x</w:t>
    </w:r>
  </w:p>
  <w:p w14:paraId="1975B03A"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666666"/>
        <w:sz w:val="20"/>
        <w:szCs w:val="20"/>
        <w:highlight w:val="white"/>
      </w:rPr>
      <w:t xml:space="preserve">p- </w:t>
    </w:r>
    <w:r>
      <w:rPr>
        <w:rFonts w:ascii="Times New Roman" w:eastAsia="Times New Roman" w:hAnsi="Times New Roman" w:cs="Times New Roman"/>
        <w:color w:val="AEAAAA"/>
        <w:sz w:val="20"/>
        <w:szCs w:val="20"/>
        <w:highlight w:val="white"/>
      </w:rPr>
      <w:t xml:space="preserve">ISSN 2338-1507 </w:t>
    </w:r>
    <w:r>
      <w:rPr>
        <w:rFonts w:ascii="Times New Roman" w:eastAsia="Times New Roman" w:hAnsi="Times New Roman" w:cs="Times New Roman"/>
        <w:color w:val="666666"/>
        <w:sz w:val="20"/>
        <w:szCs w:val="20"/>
        <w:highlight w:val="white"/>
      </w:rPr>
      <w:t xml:space="preserve">e- </w:t>
    </w:r>
    <w:r>
      <w:rPr>
        <w:rFonts w:ascii="Times New Roman" w:eastAsia="Times New Roman" w:hAnsi="Times New Roman" w:cs="Times New Roman"/>
        <w:color w:val="AEAAAA"/>
        <w:sz w:val="20"/>
        <w:szCs w:val="20"/>
        <w:highlight w:val="white"/>
      </w:rPr>
      <w:t xml:space="preserve">ISSN 2541-061X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9605"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666666"/>
        <w:sz w:val="20"/>
        <w:szCs w:val="20"/>
        <w:highlight w:val="white"/>
      </w:rPr>
      <w:t>DOI: </w:t>
    </w:r>
    <w:hyperlink r:id="rId1">
      <w:r w:rsidR="00F83D7E">
        <w:rPr>
          <w:rFonts w:ascii="Times New Roman" w:eastAsia="Times New Roman" w:hAnsi="Times New Roman" w:cs="Times New Roman"/>
          <w:color w:val="0000FF"/>
          <w:sz w:val="20"/>
          <w:szCs w:val="20"/>
          <w:highlight w:val="white"/>
          <w:u w:val="single"/>
        </w:rPr>
        <w:t>http://dx.doi.org/10.xxxxx/ijost.v2i2</w:t>
      </w:r>
    </w:hyperlink>
  </w:p>
  <w:p w14:paraId="747F1661"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color w:val="000000"/>
        <w:sz w:val="20"/>
        <w:szCs w:val="20"/>
      </w:rPr>
    </w:pPr>
    <w:r>
      <w:rPr>
        <w:rFonts w:ascii="Times New Roman" w:eastAsia="Times New Roman" w:hAnsi="Times New Roman" w:cs="Times New Roman"/>
        <w:color w:val="666666"/>
        <w:sz w:val="20"/>
        <w:szCs w:val="20"/>
        <w:highlight w:val="white"/>
      </w:rPr>
      <w:t>p- ISSN 2528-1410 e- ISSN 2527-8045</w:t>
    </w:r>
  </w:p>
  <w:p w14:paraId="4A8A7BE7" w14:textId="77777777" w:rsidR="00F83D7E" w:rsidRDefault="00F83D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5BD7A"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FF"/>
        <w:sz w:val="20"/>
        <w:szCs w:val="20"/>
        <w:highlight w:val="white"/>
        <w:u w:val="single"/>
      </w:rPr>
    </w:pPr>
    <w:r>
      <w:rPr>
        <w:rFonts w:ascii="Times New Roman" w:eastAsia="Times New Roman" w:hAnsi="Times New Roman" w:cs="Times New Roman"/>
        <w:color w:val="666666"/>
        <w:sz w:val="20"/>
        <w:szCs w:val="20"/>
        <w:highlight w:val="white"/>
      </w:rPr>
      <w:t>DOI: </w:t>
    </w:r>
    <w:hyperlink r:id="rId1">
      <w:r w:rsidR="00F83D7E">
        <w:rPr>
          <w:rFonts w:ascii="Times New Roman" w:eastAsia="Times New Roman" w:hAnsi="Times New Roman" w:cs="Times New Roman"/>
          <w:color w:val="0000FF"/>
          <w:sz w:val="20"/>
          <w:szCs w:val="20"/>
          <w:highlight w:val="white"/>
          <w:u w:val="single"/>
        </w:rPr>
        <w:t>http://dx.doi.org/10.17509/xxxx.xx</w:t>
      </w:r>
    </w:hyperlink>
    <w:r>
      <w:rPr>
        <w:rFonts w:ascii="Times New Roman" w:eastAsia="Times New Roman" w:hAnsi="Times New Roman" w:cs="Times New Roman"/>
        <w:color w:val="0000FF"/>
        <w:sz w:val="20"/>
        <w:szCs w:val="20"/>
        <w:highlight w:val="white"/>
        <w:u w:val="single"/>
      </w:rPr>
      <w:t>x</w:t>
    </w:r>
  </w:p>
  <w:p w14:paraId="5C42C28B" w14:textId="77777777" w:rsidR="00F83D7E"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666666"/>
        <w:sz w:val="20"/>
        <w:szCs w:val="20"/>
        <w:highlight w:val="white"/>
      </w:rPr>
      <w:t xml:space="preserve">p- </w:t>
    </w:r>
    <w:r>
      <w:rPr>
        <w:rFonts w:ascii="Times New Roman" w:eastAsia="Times New Roman" w:hAnsi="Times New Roman" w:cs="Times New Roman"/>
        <w:color w:val="AEAAAA"/>
        <w:sz w:val="20"/>
        <w:szCs w:val="20"/>
        <w:highlight w:val="white"/>
      </w:rPr>
      <w:t xml:space="preserve">ISSN 2338-1507 </w:t>
    </w:r>
    <w:r>
      <w:rPr>
        <w:rFonts w:ascii="Times New Roman" w:eastAsia="Times New Roman" w:hAnsi="Times New Roman" w:cs="Times New Roman"/>
        <w:color w:val="666666"/>
        <w:sz w:val="20"/>
        <w:szCs w:val="20"/>
        <w:highlight w:val="white"/>
      </w:rPr>
      <w:t xml:space="preserve">e- </w:t>
    </w:r>
    <w:r>
      <w:rPr>
        <w:rFonts w:ascii="Times New Roman" w:eastAsia="Times New Roman" w:hAnsi="Times New Roman" w:cs="Times New Roman"/>
        <w:color w:val="AEAAAA"/>
        <w:sz w:val="20"/>
        <w:szCs w:val="20"/>
        <w:highlight w:val="white"/>
      </w:rPr>
      <w:t xml:space="preserve">ISSN 2541-061X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FFE9C" w14:textId="77777777" w:rsidR="008258AF" w:rsidRDefault="008258AF">
      <w:pPr>
        <w:spacing w:after="0" w:line="240" w:lineRule="auto"/>
      </w:pPr>
      <w:r>
        <w:separator/>
      </w:r>
    </w:p>
  </w:footnote>
  <w:footnote w:type="continuationSeparator" w:id="0">
    <w:p w14:paraId="6BD8BA30" w14:textId="77777777" w:rsidR="008258AF" w:rsidRDefault="00825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3A818" w14:textId="77777777" w:rsidR="00F83D7E"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i/>
        <w:color w:val="000000"/>
        <w:sz w:val="20"/>
        <w:szCs w:val="20"/>
      </w:rPr>
      <w:t xml:space="preserve">Odagoma et al., </w:t>
    </w:r>
    <w:r>
      <w:rPr>
        <w:rFonts w:ascii="Constantia" w:eastAsia="Constantia" w:hAnsi="Constantia" w:cs="Constantia"/>
        <w:b/>
        <w:color w:val="000000"/>
        <w:sz w:val="20"/>
        <w:szCs w:val="20"/>
      </w:rPr>
      <w:t xml:space="preserve">Analysis of Implementation PSAK 72 on Real Estate Company Performance </w:t>
    </w:r>
    <w:r>
      <w:rPr>
        <w:color w:val="000000"/>
        <w:sz w:val="20"/>
        <w:szCs w:val="20"/>
      </w:rPr>
      <w:t xml:space="preserve">| </w:t>
    </w:r>
    <w:r>
      <w:rPr>
        <w:rFonts w:ascii="Arial Rounded" w:eastAsia="Arial Rounded" w:hAnsi="Arial Rounded" w:cs="Arial Rounded"/>
        <w:b/>
        <w:color w:val="000000"/>
        <w:sz w:val="20"/>
        <w:szCs w:val="20"/>
      </w:rPr>
      <w: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8769C" w14:textId="77777777" w:rsidR="00F83D7E" w:rsidRDefault="00000000">
    <w:pPr>
      <w:spacing w:after="0"/>
      <w:rPr>
        <w:rFonts w:ascii="Constantia" w:eastAsia="Constantia" w:hAnsi="Constantia" w:cs="Constantia"/>
        <w:sz w:val="20"/>
        <w:szCs w:val="20"/>
      </w:rPr>
    </w:pPr>
    <w:r>
      <w:rPr>
        <w:rFonts w:ascii="Arial Rounded" w:eastAsia="Arial Rounded" w:hAnsi="Arial Rounded" w:cs="Arial Rounded"/>
        <w:b/>
        <w:sz w:val="18"/>
        <w:szCs w:val="18"/>
      </w:rPr>
      <w:t>xxx</w:t>
    </w:r>
    <w:r>
      <w:rPr>
        <w:rFonts w:ascii="Arial Rounded" w:eastAsia="Arial Rounded" w:hAnsi="Arial Rounded" w:cs="Arial Rounded"/>
        <w:b/>
        <w:sz w:val="20"/>
        <w:szCs w:val="20"/>
      </w:rPr>
      <w:t xml:space="preserve"> |</w:t>
    </w:r>
    <w:r>
      <w:rPr>
        <w:rFonts w:ascii="Arial Rounded" w:eastAsia="Arial Rounded" w:hAnsi="Arial Rounded" w:cs="Arial Rounded"/>
        <w:b/>
      </w:rPr>
      <w:t xml:space="preserve"> </w:t>
    </w:r>
    <w:r>
      <w:rPr>
        <w:rFonts w:ascii="Constantia" w:eastAsia="Constantia" w:hAnsi="Constantia" w:cs="Constantia"/>
        <w:b/>
        <w:i/>
        <w:sz w:val="18"/>
        <w:szCs w:val="18"/>
      </w:rPr>
      <w:t>Jurnal Riset Akuntansi dan Keuangan</w:t>
    </w:r>
    <w:r>
      <w:rPr>
        <w:rFonts w:ascii="Constantia" w:eastAsia="Constantia" w:hAnsi="Constantia" w:cs="Constantia"/>
        <w:b/>
        <w:i/>
        <w:sz w:val="20"/>
        <w:szCs w:val="20"/>
      </w:rPr>
      <w:t>,</w:t>
    </w:r>
    <w:r>
      <w:rPr>
        <w:rFonts w:ascii="Constantia" w:eastAsia="Constantia" w:hAnsi="Constantia" w:cs="Constantia"/>
        <w:sz w:val="20"/>
        <w:szCs w:val="20"/>
      </w:rPr>
      <w:t xml:space="preserve"> </w:t>
    </w:r>
    <w:r>
      <w:rPr>
        <w:rFonts w:ascii="Constantia" w:eastAsia="Constantia" w:hAnsi="Constantia" w:cs="Constantia"/>
        <w:sz w:val="16"/>
        <w:szCs w:val="16"/>
      </w:rPr>
      <w:t>Volume</w:t>
    </w:r>
    <w:r>
      <w:rPr>
        <w:rFonts w:ascii="Constantia" w:eastAsia="Constantia" w:hAnsi="Constantia" w:cs="Constantia"/>
        <w:sz w:val="20"/>
        <w:szCs w:val="20"/>
      </w:rPr>
      <w:t xml:space="preserve"> 12 </w:t>
    </w:r>
    <w:r>
      <w:rPr>
        <w:rFonts w:ascii="Constantia" w:eastAsia="Constantia" w:hAnsi="Constantia" w:cs="Constantia"/>
        <w:sz w:val="16"/>
        <w:szCs w:val="16"/>
      </w:rPr>
      <w:t>Issue</w:t>
    </w:r>
    <w:r>
      <w:rPr>
        <w:rFonts w:ascii="Constantia" w:eastAsia="Constantia" w:hAnsi="Constantia" w:cs="Constantia"/>
        <w:sz w:val="20"/>
        <w:szCs w:val="20"/>
      </w:rPr>
      <w:t xml:space="preserve"> 3, </w:t>
    </w:r>
    <w:r>
      <w:rPr>
        <w:rFonts w:ascii="Constantia" w:eastAsia="Constantia" w:hAnsi="Constantia" w:cs="Constantia"/>
        <w:sz w:val="16"/>
        <w:szCs w:val="16"/>
      </w:rPr>
      <w:t xml:space="preserve">December </w:t>
    </w:r>
    <w:r>
      <w:rPr>
        <w:rFonts w:ascii="Constantia" w:eastAsia="Constantia" w:hAnsi="Constantia" w:cs="Constantia"/>
        <w:sz w:val="20"/>
        <w:szCs w:val="20"/>
      </w:rPr>
      <w:t xml:space="preserve">2024 </w:t>
    </w:r>
    <w:r>
      <w:rPr>
        <w:rFonts w:ascii="Constantia" w:eastAsia="Constantia" w:hAnsi="Constantia" w:cs="Constantia"/>
        <w:sz w:val="16"/>
        <w:szCs w:val="16"/>
      </w:rPr>
      <w:t>Hal</w:t>
    </w:r>
    <w:r>
      <w:rPr>
        <w:rFonts w:ascii="Constantia" w:eastAsia="Constantia" w:hAnsi="Constantia" w:cs="Constantia"/>
        <w:sz w:val="20"/>
        <w:szCs w:val="20"/>
      </w:rPr>
      <w:t xml:space="preserve"> xxx-xxx</w:t>
    </w:r>
  </w:p>
  <w:p w14:paraId="54DB0D6C" w14:textId="77777777" w:rsidR="00F83D7E" w:rsidRDefault="00F83D7E">
    <w:pPr>
      <w:spacing w:after="0"/>
      <w:rPr>
        <w:rFonts w:ascii="Constantia" w:eastAsia="Constantia" w:hAnsi="Constantia" w:cs="Constantia"/>
        <w:b/>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D7E4F" w14:textId="77777777" w:rsidR="00F83D7E" w:rsidRDefault="00000000">
    <w:pPr>
      <w:pBdr>
        <w:top w:val="nil"/>
        <w:left w:val="nil"/>
        <w:bottom w:val="nil"/>
        <w:right w:val="nil"/>
        <w:between w:val="nil"/>
      </w:pBdr>
      <w:tabs>
        <w:tab w:val="center" w:pos="4680"/>
        <w:tab w:val="right" w:pos="9360"/>
      </w:tabs>
      <w:spacing w:after="0" w:line="240" w:lineRule="auto"/>
      <w:rPr>
        <w:color w:val="FFFFFF"/>
        <w:sz w:val="20"/>
        <w:szCs w:val="20"/>
      </w:rPr>
    </w:pPr>
    <w:r>
      <w:rPr>
        <w:color w:val="FFFFFF"/>
        <w:sz w:val="20"/>
        <w:szCs w:val="20"/>
      </w:rPr>
      <w:fldChar w:fldCharType="begin"/>
    </w:r>
    <w:r>
      <w:rPr>
        <w:color w:val="FFFFFF"/>
        <w:sz w:val="20"/>
        <w:szCs w:val="20"/>
      </w:rPr>
      <w:instrText>PAGE</w:instrText>
    </w:r>
    <w:r>
      <w:rPr>
        <w:color w:val="FFFFFF"/>
        <w:sz w:val="20"/>
        <w:szCs w:val="20"/>
      </w:rPr>
      <w:fldChar w:fldCharType="separate"/>
    </w:r>
    <w:r w:rsidR="00327D28">
      <w:rPr>
        <w:noProof/>
        <w:color w:val="FFFFFF"/>
        <w:sz w:val="20"/>
        <w:szCs w:val="20"/>
      </w:rPr>
      <w:t>435</w:t>
    </w:r>
    <w:r>
      <w:rPr>
        <w:color w:val="FFFFFF"/>
        <w:sz w:val="20"/>
        <w:szCs w:val="20"/>
      </w:rPr>
      <w:fldChar w:fldCharType="end"/>
    </w:r>
  </w:p>
  <w:p w14:paraId="65335378" w14:textId="77777777" w:rsidR="00F83D7E" w:rsidRDefault="00000000">
    <w:pPr>
      <w:pBdr>
        <w:top w:val="nil"/>
        <w:left w:val="nil"/>
        <w:bottom w:val="nil"/>
        <w:right w:val="nil"/>
        <w:between w:val="nil"/>
      </w:pBdr>
      <w:tabs>
        <w:tab w:val="center" w:pos="4680"/>
        <w:tab w:val="right" w:pos="9360"/>
        <w:tab w:val="left" w:pos="7797"/>
      </w:tabs>
      <w:spacing w:after="0" w:line="240" w:lineRule="auto"/>
      <w:rPr>
        <w:color w:val="000000"/>
        <w:sz w:val="20"/>
        <w:szCs w:val="20"/>
      </w:rPr>
    </w:pPr>
    <w:r>
      <w:rPr>
        <w:color w:val="000000"/>
        <w:sz w:val="20"/>
        <w:szCs w:val="20"/>
      </w:rPr>
      <w:tab/>
    </w:r>
  </w:p>
  <w:p w14:paraId="7D161A53" w14:textId="77777777" w:rsidR="00F83D7E" w:rsidRDefault="00F83D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8C3A3" w14:textId="77777777" w:rsidR="00F83D7E"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35B63415" w14:textId="77777777" w:rsidR="00F83D7E" w:rsidRDefault="00F83D7E">
    <w:pPr>
      <w:pBdr>
        <w:top w:val="nil"/>
        <w:left w:val="nil"/>
        <w:bottom w:val="nil"/>
        <w:right w:val="nil"/>
        <w:between w:val="nil"/>
      </w:pBdr>
      <w:tabs>
        <w:tab w:val="center" w:pos="4680"/>
        <w:tab w:val="right" w:pos="9360"/>
      </w:tabs>
      <w:spacing w:after="0" w:line="240" w:lineRule="auto"/>
      <w:rPr>
        <w:color w:val="000000"/>
        <w:sz w:val="20"/>
        <w:szCs w:val="20"/>
      </w:rPr>
    </w:pPr>
  </w:p>
  <w:p w14:paraId="29F8EAD0" w14:textId="77777777" w:rsidR="00F83D7E" w:rsidRDefault="00F83D7E"/>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ini lestari">
    <w15:presenceInfo w15:providerId="Windows Live" w15:userId="0361aaa44d27be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D7E"/>
    <w:rsid w:val="00022F66"/>
    <w:rsid w:val="000413CA"/>
    <w:rsid w:val="00042818"/>
    <w:rsid w:val="00043E1E"/>
    <w:rsid w:val="00082192"/>
    <w:rsid w:val="000878D6"/>
    <w:rsid w:val="000A05A0"/>
    <w:rsid w:val="000A0ACE"/>
    <w:rsid w:val="000A4EE8"/>
    <w:rsid w:val="000B33EC"/>
    <w:rsid w:val="000B4334"/>
    <w:rsid w:val="000B61AE"/>
    <w:rsid w:val="000C3660"/>
    <w:rsid w:val="000E28E0"/>
    <w:rsid w:val="000F1CA5"/>
    <w:rsid w:val="00101282"/>
    <w:rsid w:val="001035D3"/>
    <w:rsid w:val="00113FF9"/>
    <w:rsid w:val="00124480"/>
    <w:rsid w:val="00142F4C"/>
    <w:rsid w:val="00145548"/>
    <w:rsid w:val="00191E24"/>
    <w:rsid w:val="001A56E3"/>
    <w:rsid w:val="001B750F"/>
    <w:rsid w:val="001C159D"/>
    <w:rsid w:val="001E29DD"/>
    <w:rsid w:val="001E3DEF"/>
    <w:rsid w:val="001E6D5E"/>
    <w:rsid w:val="001F4429"/>
    <w:rsid w:val="002055F9"/>
    <w:rsid w:val="002141B8"/>
    <w:rsid w:val="00216350"/>
    <w:rsid w:val="00234C25"/>
    <w:rsid w:val="00257EFA"/>
    <w:rsid w:val="0029084D"/>
    <w:rsid w:val="00293CAD"/>
    <w:rsid w:val="0029402C"/>
    <w:rsid w:val="002A20A8"/>
    <w:rsid w:val="002A2F21"/>
    <w:rsid w:val="002B4121"/>
    <w:rsid w:val="002C129B"/>
    <w:rsid w:val="002D402B"/>
    <w:rsid w:val="002F2FFE"/>
    <w:rsid w:val="00301588"/>
    <w:rsid w:val="0031261F"/>
    <w:rsid w:val="00315FF4"/>
    <w:rsid w:val="00320E99"/>
    <w:rsid w:val="003241B5"/>
    <w:rsid w:val="00327D28"/>
    <w:rsid w:val="003305D5"/>
    <w:rsid w:val="00347A9B"/>
    <w:rsid w:val="00365554"/>
    <w:rsid w:val="00367035"/>
    <w:rsid w:val="00391CFF"/>
    <w:rsid w:val="00395BFD"/>
    <w:rsid w:val="00397EC8"/>
    <w:rsid w:val="003C4039"/>
    <w:rsid w:val="003C6DC0"/>
    <w:rsid w:val="003D1450"/>
    <w:rsid w:val="003E02F4"/>
    <w:rsid w:val="003E1191"/>
    <w:rsid w:val="003E5960"/>
    <w:rsid w:val="003F256D"/>
    <w:rsid w:val="00402B7B"/>
    <w:rsid w:val="00420F03"/>
    <w:rsid w:val="00426A7B"/>
    <w:rsid w:val="00440AB8"/>
    <w:rsid w:val="00476390"/>
    <w:rsid w:val="00490880"/>
    <w:rsid w:val="004B29FE"/>
    <w:rsid w:val="004B5C67"/>
    <w:rsid w:val="004B7340"/>
    <w:rsid w:val="004D0044"/>
    <w:rsid w:val="004D3420"/>
    <w:rsid w:val="004D6CF5"/>
    <w:rsid w:val="004E086E"/>
    <w:rsid w:val="005038E1"/>
    <w:rsid w:val="005222A9"/>
    <w:rsid w:val="00533D93"/>
    <w:rsid w:val="00583C54"/>
    <w:rsid w:val="005A4A1D"/>
    <w:rsid w:val="005A5EA3"/>
    <w:rsid w:val="005C43A4"/>
    <w:rsid w:val="005C5AC3"/>
    <w:rsid w:val="005E3E83"/>
    <w:rsid w:val="00606444"/>
    <w:rsid w:val="0061333B"/>
    <w:rsid w:val="00622DD9"/>
    <w:rsid w:val="00637D3B"/>
    <w:rsid w:val="00645158"/>
    <w:rsid w:val="00650DE7"/>
    <w:rsid w:val="006552AE"/>
    <w:rsid w:val="006C4CDB"/>
    <w:rsid w:val="006D5EE7"/>
    <w:rsid w:val="00705392"/>
    <w:rsid w:val="00715F20"/>
    <w:rsid w:val="00734665"/>
    <w:rsid w:val="00735401"/>
    <w:rsid w:val="00735A26"/>
    <w:rsid w:val="007709FD"/>
    <w:rsid w:val="007973EA"/>
    <w:rsid w:val="007C72BB"/>
    <w:rsid w:val="007D115F"/>
    <w:rsid w:val="007D2DFB"/>
    <w:rsid w:val="007E0C7E"/>
    <w:rsid w:val="007F1F6E"/>
    <w:rsid w:val="007F38FA"/>
    <w:rsid w:val="007F3A63"/>
    <w:rsid w:val="007F506C"/>
    <w:rsid w:val="0080485F"/>
    <w:rsid w:val="00810244"/>
    <w:rsid w:val="008120F5"/>
    <w:rsid w:val="00814936"/>
    <w:rsid w:val="008258AF"/>
    <w:rsid w:val="0083245F"/>
    <w:rsid w:val="00853FE3"/>
    <w:rsid w:val="00877A75"/>
    <w:rsid w:val="00880768"/>
    <w:rsid w:val="00885E46"/>
    <w:rsid w:val="0089292C"/>
    <w:rsid w:val="008A347F"/>
    <w:rsid w:val="008A42C8"/>
    <w:rsid w:val="008B5F56"/>
    <w:rsid w:val="008C4BC1"/>
    <w:rsid w:val="008E25BA"/>
    <w:rsid w:val="009004ED"/>
    <w:rsid w:val="00922419"/>
    <w:rsid w:val="00933A69"/>
    <w:rsid w:val="00962AB7"/>
    <w:rsid w:val="0098292D"/>
    <w:rsid w:val="009C219D"/>
    <w:rsid w:val="009C25CD"/>
    <w:rsid w:val="009C61FC"/>
    <w:rsid w:val="009C6647"/>
    <w:rsid w:val="009F7D7C"/>
    <w:rsid w:val="00A11067"/>
    <w:rsid w:val="00A21D18"/>
    <w:rsid w:val="00A348FF"/>
    <w:rsid w:val="00A44A42"/>
    <w:rsid w:val="00A66670"/>
    <w:rsid w:val="00A835A5"/>
    <w:rsid w:val="00A8619C"/>
    <w:rsid w:val="00A92391"/>
    <w:rsid w:val="00AB0B16"/>
    <w:rsid w:val="00AB3D07"/>
    <w:rsid w:val="00AD73C6"/>
    <w:rsid w:val="00AF7D89"/>
    <w:rsid w:val="00B019C1"/>
    <w:rsid w:val="00B27D18"/>
    <w:rsid w:val="00B3502A"/>
    <w:rsid w:val="00B3503B"/>
    <w:rsid w:val="00B41061"/>
    <w:rsid w:val="00B41B4E"/>
    <w:rsid w:val="00B43E31"/>
    <w:rsid w:val="00B477DE"/>
    <w:rsid w:val="00B5728D"/>
    <w:rsid w:val="00B63BED"/>
    <w:rsid w:val="00B64D03"/>
    <w:rsid w:val="00B82AF4"/>
    <w:rsid w:val="00B97232"/>
    <w:rsid w:val="00BA1125"/>
    <w:rsid w:val="00BA3653"/>
    <w:rsid w:val="00BD5687"/>
    <w:rsid w:val="00BD751A"/>
    <w:rsid w:val="00BF1D97"/>
    <w:rsid w:val="00BF671B"/>
    <w:rsid w:val="00C13372"/>
    <w:rsid w:val="00C13FE2"/>
    <w:rsid w:val="00C1644C"/>
    <w:rsid w:val="00C41804"/>
    <w:rsid w:val="00C71839"/>
    <w:rsid w:val="00C826AC"/>
    <w:rsid w:val="00CA575F"/>
    <w:rsid w:val="00CD4AD0"/>
    <w:rsid w:val="00CD78AC"/>
    <w:rsid w:val="00CD792B"/>
    <w:rsid w:val="00CF2494"/>
    <w:rsid w:val="00CF5302"/>
    <w:rsid w:val="00D20A79"/>
    <w:rsid w:val="00D34F9D"/>
    <w:rsid w:val="00D413F4"/>
    <w:rsid w:val="00D43F0F"/>
    <w:rsid w:val="00D45F79"/>
    <w:rsid w:val="00D56A17"/>
    <w:rsid w:val="00D92A7B"/>
    <w:rsid w:val="00DA6ED3"/>
    <w:rsid w:val="00DD2D68"/>
    <w:rsid w:val="00DE3FCA"/>
    <w:rsid w:val="00DE4024"/>
    <w:rsid w:val="00DF26E2"/>
    <w:rsid w:val="00E06471"/>
    <w:rsid w:val="00E11981"/>
    <w:rsid w:val="00E13359"/>
    <w:rsid w:val="00E144D8"/>
    <w:rsid w:val="00E534F8"/>
    <w:rsid w:val="00E816C9"/>
    <w:rsid w:val="00ED3280"/>
    <w:rsid w:val="00F13772"/>
    <w:rsid w:val="00F20CFA"/>
    <w:rsid w:val="00F50EC3"/>
    <w:rsid w:val="00F70D31"/>
    <w:rsid w:val="00F83D7E"/>
    <w:rsid w:val="00F87D94"/>
    <w:rsid w:val="00F87FDC"/>
    <w:rsid w:val="00FA1AD6"/>
    <w:rsid w:val="00FB5D23"/>
    <w:rsid w:val="00FC7CFC"/>
    <w:rsid w:val="00FD0F56"/>
    <w:rsid w:val="00FD3D76"/>
    <w:rsid w:val="00FD4BAF"/>
    <w:rsid w:val="00FE08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DABFD9"/>
  <w15:docId w15:val="{7DF63885-4721-4EA7-A36A-A9361EB3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spacing w:before="240" w:after="240" w:line="240" w:lineRule="auto"/>
      <w:jc w:val="center"/>
      <w:outlineLvl w:val="0"/>
    </w:pPr>
    <w:rPr>
      <w:b/>
      <w:smallCaps/>
    </w:rPr>
  </w:style>
  <w:style w:type="paragraph" w:styleId="Judul2">
    <w:name w:val="heading 2"/>
    <w:basedOn w:val="Normal"/>
    <w:next w:val="Normal"/>
    <w:uiPriority w:val="9"/>
    <w:semiHidden/>
    <w:unhideWhenUsed/>
    <w:qFormat/>
    <w:pPr>
      <w:keepNext/>
      <w:spacing w:before="240" w:after="240" w:line="240" w:lineRule="auto"/>
      <w:jc w:val="center"/>
      <w:outlineLvl w:val="1"/>
    </w:pPr>
    <w:rPr>
      <w:b/>
    </w:rPr>
  </w:style>
  <w:style w:type="paragraph" w:styleId="Judul3">
    <w:name w:val="heading 3"/>
    <w:basedOn w:val="Normal"/>
    <w:next w:val="Normal"/>
    <w:uiPriority w:val="9"/>
    <w:semiHidden/>
    <w:unhideWhenUsed/>
    <w:qFormat/>
    <w:pPr>
      <w:keepNext/>
      <w:spacing w:before="240" w:after="60" w:line="240" w:lineRule="auto"/>
      <w:outlineLvl w:val="2"/>
    </w:pPr>
    <w:rPr>
      <w:rFonts w:ascii="Arial" w:eastAsia="Arial" w:hAnsi="Arial" w:cs="Arial"/>
      <w:b/>
      <w:sz w:val="26"/>
      <w:szCs w:val="26"/>
    </w:rPr>
  </w:style>
  <w:style w:type="paragraph" w:styleId="Judul4">
    <w:name w:val="heading 4"/>
    <w:basedOn w:val="Normal"/>
    <w:next w:val="Normal"/>
    <w:uiPriority w:val="9"/>
    <w:semiHidden/>
    <w:unhideWhenUsed/>
    <w:qFormat/>
    <w:pPr>
      <w:keepNext/>
      <w:spacing w:before="240" w:after="60" w:line="240" w:lineRule="auto"/>
      <w:ind w:left="1152" w:hanging="720"/>
      <w:outlineLvl w:val="3"/>
    </w:pPr>
    <w:rPr>
      <w:rFonts w:ascii="Times New Roman" w:eastAsia="Times New Roman" w:hAnsi="Times New Roman" w:cs="Times New Roman"/>
      <w:i/>
      <w:sz w:val="18"/>
      <w:szCs w:val="18"/>
    </w:rPr>
  </w:style>
  <w:style w:type="paragraph" w:styleId="Judul5">
    <w:name w:val="heading 5"/>
    <w:basedOn w:val="Normal"/>
    <w:next w:val="Normal"/>
    <w:uiPriority w:val="9"/>
    <w:semiHidden/>
    <w:unhideWhenUsed/>
    <w:qFormat/>
    <w:pPr>
      <w:spacing w:before="240" w:after="60" w:line="240" w:lineRule="auto"/>
      <w:ind w:left="1872" w:hanging="720"/>
      <w:outlineLvl w:val="4"/>
    </w:pPr>
    <w:rPr>
      <w:rFonts w:ascii="Times New Roman" w:eastAsia="Times New Roman" w:hAnsi="Times New Roman" w:cs="Times New Roman"/>
      <w:sz w:val="18"/>
      <w:szCs w:val="18"/>
    </w:rPr>
  </w:style>
  <w:style w:type="paragraph" w:styleId="Judul6">
    <w:name w:val="heading 6"/>
    <w:basedOn w:val="Normal"/>
    <w:next w:val="Normal"/>
    <w:uiPriority w:val="9"/>
    <w:semiHidden/>
    <w:unhideWhenUsed/>
    <w:qFormat/>
    <w:pPr>
      <w:spacing w:before="240" w:after="60" w:line="240" w:lineRule="auto"/>
      <w:ind w:left="2592" w:hanging="720"/>
      <w:outlineLvl w:val="5"/>
    </w:pPr>
    <w:rPr>
      <w:rFonts w:ascii="Times New Roman" w:eastAsia="Times New Roman" w:hAnsi="Times New Roman" w:cs="Times New Roman"/>
      <w:i/>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jc w:val="right"/>
    </w:pPr>
    <w:rPr>
      <w:rFonts w:ascii="Times New Roman" w:eastAsia="Times New Roman" w:hAnsi="Times New Roman" w:cs="Times New Roman"/>
      <w:color w:val="000000"/>
      <w:sz w:val="22"/>
      <w:szCs w:val="22"/>
    </w:rPr>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top w:w="15" w:type="dxa"/>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pPr>
      <w:jc w:val="right"/>
    </w:pPr>
    <w:rPr>
      <w:rFonts w:ascii="Times New Roman" w:eastAsia="Times New Roman" w:hAnsi="Times New Roman" w:cs="Times New Roman"/>
      <w:color w:val="000000"/>
      <w:sz w:val="22"/>
      <w:szCs w:val="22"/>
    </w:rPr>
    <w:tblPr>
      <w:tblStyleRowBandSize w:val="1"/>
      <w:tblStyleColBandSize w:val="1"/>
      <w:tblCellMar>
        <w:left w:w="115" w:type="dxa"/>
        <w:right w:w="115" w:type="dxa"/>
      </w:tblCellMar>
    </w:tblPr>
  </w:style>
  <w:style w:type="character" w:styleId="ReferensiKomentar">
    <w:name w:val="annotation reference"/>
    <w:basedOn w:val="FontParagrafDefault"/>
    <w:uiPriority w:val="99"/>
    <w:semiHidden/>
    <w:unhideWhenUsed/>
    <w:rsid w:val="008B5F56"/>
    <w:rPr>
      <w:sz w:val="16"/>
      <w:szCs w:val="16"/>
    </w:rPr>
  </w:style>
  <w:style w:type="paragraph" w:styleId="TeksKomentar">
    <w:name w:val="annotation text"/>
    <w:basedOn w:val="Normal"/>
    <w:link w:val="TeksKomentarKAR"/>
    <w:uiPriority w:val="99"/>
    <w:semiHidden/>
    <w:unhideWhenUsed/>
    <w:rsid w:val="008B5F56"/>
    <w:pPr>
      <w:spacing w:line="240" w:lineRule="auto"/>
    </w:pPr>
    <w:rPr>
      <w:sz w:val="20"/>
      <w:szCs w:val="20"/>
    </w:rPr>
  </w:style>
  <w:style w:type="character" w:customStyle="1" w:styleId="TeksKomentarKAR">
    <w:name w:val="Teks Komentar KAR"/>
    <w:basedOn w:val="FontParagrafDefault"/>
    <w:link w:val="TeksKomentar"/>
    <w:uiPriority w:val="99"/>
    <w:semiHidden/>
    <w:rsid w:val="008B5F56"/>
    <w:rPr>
      <w:sz w:val="20"/>
      <w:szCs w:val="20"/>
    </w:rPr>
  </w:style>
  <w:style w:type="paragraph" w:styleId="SubjekKomentar">
    <w:name w:val="annotation subject"/>
    <w:basedOn w:val="TeksKomentar"/>
    <w:next w:val="TeksKomentar"/>
    <w:link w:val="SubjekKomentarKAR"/>
    <w:uiPriority w:val="99"/>
    <w:semiHidden/>
    <w:unhideWhenUsed/>
    <w:rsid w:val="008B5F56"/>
    <w:rPr>
      <w:b/>
      <w:bCs/>
    </w:rPr>
  </w:style>
  <w:style w:type="character" w:customStyle="1" w:styleId="SubjekKomentarKAR">
    <w:name w:val="Subjek Komentar KAR"/>
    <w:basedOn w:val="TeksKomentarKAR"/>
    <w:link w:val="SubjekKomentar"/>
    <w:uiPriority w:val="99"/>
    <w:semiHidden/>
    <w:rsid w:val="008B5F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4.png"/><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yperlink" Target="https://finance.yahoo.com/"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3.png"/><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eader" Target="header4.xml"/><Relationship Id="rId28"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microsoft.com/office/2016/09/relationships/commentsIds" Target="commentsIds.xml"/><Relationship Id="rId22" Type="http://schemas.openxmlformats.org/officeDocument/2006/relationships/footer" Target="footer3.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49AB3-2746-460A-9E41-B57016EB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18</Pages>
  <Words>22457</Words>
  <Characters>126439</Characters>
  <Application>Microsoft Office Word</Application>
  <DocSecurity>0</DocSecurity>
  <Lines>14048</Lines>
  <Paragraphs>5955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arini lestari</cp:lastModifiedBy>
  <cp:revision>194</cp:revision>
  <dcterms:created xsi:type="dcterms:W3CDTF">2024-11-12T08:07:00Z</dcterms:created>
  <dcterms:modified xsi:type="dcterms:W3CDTF">2024-12-01T19:46:00Z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bb658ee2-b352-3a5c-a613-5d0fdf561fec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0x0101006676EB79F3F64C45BFA78B70C36B2A08</vt:lpwstr>
  </property>
  <property fmtid="{D5CDD505-2E9C-101B-9397-08002B2CF9AE}" pid="26" name="GrammarlyDocumentId">
    <vt:lpwstr>226138b4f46baececb3be45831c645220bdf121eefa861a1df3eec88b6cfd11a</vt:lpwstr>
  </property>
</Properties>
</file>