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77441" w14:textId="75CA62E9" w:rsidR="004420F0" w:rsidRPr="00931280" w:rsidRDefault="00992CC8">
      <w:pPr>
        <w:spacing w:line="240" w:lineRule="auto"/>
        <w:rPr>
          <w:lang w:val="en-US"/>
        </w:rPr>
      </w:pPr>
      <w:bookmarkStart w:id="0" w:name="_Hlk161910460"/>
      <w:r w:rsidRPr="00931280">
        <w:rPr>
          <w:noProof/>
          <w:lang w:val="en-US"/>
        </w:rPr>
        <w:drawing>
          <wp:anchor distT="0" distB="0" distL="114300" distR="114300" simplePos="0" relativeHeight="251665408" behindDoc="0" locked="0" layoutInCell="1" allowOverlap="1" wp14:anchorId="4C709273" wp14:editId="25556247">
            <wp:simplePos x="0" y="0"/>
            <wp:positionH relativeFrom="column">
              <wp:posOffset>5543849</wp:posOffset>
            </wp:positionH>
            <wp:positionV relativeFrom="paragraph">
              <wp:posOffset>-48895</wp:posOffset>
            </wp:positionV>
            <wp:extent cx="735106" cy="1040378"/>
            <wp:effectExtent l="0" t="0" r="1905" b="1270"/>
            <wp:wrapNone/>
            <wp:docPr id="161540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05607" name="Picture 16154056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106" cy="1040378"/>
                    </a:xfrm>
                    <a:prstGeom prst="rect">
                      <a:avLst/>
                    </a:prstGeom>
                  </pic:spPr>
                </pic:pic>
              </a:graphicData>
            </a:graphic>
            <wp14:sizeRelH relativeFrom="page">
              <wp14:pctWidth>0</wp14:pctWidth>
            </wp14:sizeRelH>
            <wp14:sizeRelV relativeFrom="page">
              <wp14:pctHeight>0</wp14:pctHeight>
            </wp14:sizeRelV>
          </wp:anchor>
        </w:drawing>
      </w:r>
      <w:r w:rsidR="00E211AA" w:rsidRPr="00931280">
        <w:rPr>
          <w:noProof/>
          <w:lang w:val="en-US"/>
        </w:rPr>
        <mc:AlternateContent>
          <mc:Choice Requires="wps">
            <w:drawing>
              <wp:anchor distT="0" distB="0" distL="114300" distR="114300" simplePos="0" relativeHeight="251658240" behindDoc="0" locked="0" layoutInCell="1" hidden="0" allowOverlap="1" wp14:anchorId="191D9D3F" wp14:editId="361F0291">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12C8E717" w14:textId="624D85A1" w:rsidR="00175090" w:rsidRDefault="00175090" w:rsidP="00751946">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Jurnal Riset Akuntansi</w:t>
                            </w:r>
                          </w:p>
                          <w:p w14:paraId="19DAE561" w14:textId="54B3F803" w:rsidR="00175090" w:rsidRDefault="00175090" w:rsidP="00751946">
                            <w:pPr>
                              <w:spacing w:line="240" w:lineRule="auto"/>
                              <w:jc w:val="center"/>
                              <w:textDirection w:val="btLr"/>
                            </w:pPr>
                            <w:r>
                              <w:rPr>
                                <w:rFonts w:ascii="Constantia" w:eastAsia="Constantia" w:hAnsi="Constantia" w:cs="Constantia"/>
                                <w:color w:val="000000"/>
                                <w:sz w:val="36"/>
                              </w:rPr>
                              <w:t>dan Keuangan</w:t>
                            </w:r>
                          </w:p>
                          <w:p w14:paraId="405628BC" w14:textId="3CF5DF04" w:rsidR="00175090" w:rsidRDefault="00175090">
                            <w:pPr>
                              <w:spacing w:line="240" w:lineRule="auto"/>
                              <w:jc w:val="center"/>
                              <w:textDirection w:val="btLr"/>
                            </w:pPr>
                            <w:r>
                              <w:rPr>
                                <w:color w:val="000000"/>
                              </w:rPr>
                              <w:t xml:space="preserve">Journal homepage: </w:t>
                            </w:r>
                            <w:hyperlink r:id="rId10" w:history="1">
                              <w:r w:rsidRPr="002A6D45">
                                <w:rPr>
                                  <w:rStyle w:val="Hyperlink"/>
                                </w:rPr>
                                <w:t>https://ejournal.upi.edu/index.php/JRAK/</w:t>
                              </w:r>
                            </w:hyperlink>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91D9D3F"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" stroked="f">
                <v:textbox inset="2.53958mm,1.2694mm,2.53958mm,1.2694mm">
                  <w:txbxContent>
                    <w:p w14:paraId="12C8E717" w14:textId="624D85A1" w:rsidR="00175090" w:rsidRDefault="00175090" w:rsidP="00751946">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Jurnal Riset Akuntansi</w:t>
                      </w:r>
                    </w:p>
                    <w:p w14:paraId="19DAE561" w14:textId="54B3F803" w:rsidR="00175090" w:rsidRDefault="00175090" w:rsidP="00751946">
                      <w:pPr>
                        <w:spacing w:line="240" w:lineRule="auto"/>
                        <w:jc w:val="center"/>
                        <w:textDirection w:val="btLr"/>
                      </w:pPr>
                      <w:r>
                        <w:rPr>
                          <w:rFonts w:ascii="Constantia" w:eastAsia="Constantia" w:hAnsi="Constantia" w:cs="Constantia"/>
                          <w:color w:val="000000"/>
                          <w:sz w:val="36"/>
                        </w:rPr>
                        <w:t>dan Keuangan</w:t>
                      </w:r>
                    </w:p>
                    <w:p w14:paraId="405628BC" w14:textId="3CF5DF04" w:rsidR="00175090" w:rsidRDefault="00175090">
                      <w:pPr>
                        <w:spacing w:line="240" w:lineRule="auto"/>
                        <w:jc w:val="center"/>
                        <w:textDirection w:val="btLr"/>
                      </w:pPr>
                      <w:r>
                        <w:rPr>
                          <w:color w:val="000000"/>
                        </w:rPr>
                        <w:t xml:space="preserve">Journal homepage: </w:t>
                      </w:r>
                      <w:hyperlink r:id="rId11" w:history="1">
                        <w:r w:rsidRPr="002A6D45">
                          <w:rPr>
                            <w:rStyle w:val="Hyperlink"/>
                          </w:rPr>
                          <w:t>https://ejournal.upi.edu/index.php/JRAK/</w:t>
                        </w:r>
                      </w:hyperlink>
                      <w:r>
                        <w:rPr>
                          <w:color w:val="000000"/>
                        </w:rPr>
                        <w:t xml:space="preserve">  </w:t>
                      </w:r>
                    </w:p>
                  </w:txbxContent>
                </v:textbox>
              </v:rect>
            </w:pict>
          </mc:Fallback>
        </mc:AlternateContent>
      </w:r>
      <w:r w:rsidR="00E211AA" w:rsidRPr="00931280">
        <w:rPr>
          <w:noProof/>
          <w:lang w:val="en-US"/>
        </w:rPr>
        <mc:AlternateContent>
          <mc:Choice Requires="wps">
            <w:drawing>
              <wp:anchor distT="0" distB="0" distL="114300" distR="114300" simplePos="0" relativeHeight="251666432" behindDoc="0" locked="0" layoutInCell="1" hidden="0" allowOverlap="1" wp14:anchorId="76619B07" wp14:editId="3ECB22DC">
                <wp:simplePos x="0" y="0"/>
                <wp:positionH relativeFrom="column">
                  <wp:posOffset>-507999</wp:posOffset>
                </wp:positionH>
                <wp:positionV relativeFrom="paragraph">
                  <wp:posOffset>-152399</wp:posOffset>
                </wp:positionV>
                <wp:extent cx="6877050" cy="28575"/>
                <wp:effectExtent l="0" t="0" r="0" b="0"/>
                <wp:wrapNone/>
                <wp:docPr id="29" name="Straight Arrow Connector 29"/>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0ACBCB51" id="_x0000_t32" coordsize="21600,21600" o:spt="32" o:oned="t" path="m,l21600,21600e" filled="f">
                <v:path arrowok="t" fillok="f" o:connecttype="none"/>
                <o:lock v:ext="edit" shapetype="t"/>
              </v:shapetype>
              <v:shape id="Straight Arrow Connector 29" o:spid="_x0000_s1026" type="#_x0000_t32" style="position:absolute;margin-left:-40pt;margin-top:-12pt;width:541.5pt;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" strokecolor="#5b9bd5">
                <v:stroke startarrowwidth="narrow" startarrowlength="short" endarrowwidth="narrow" endarrowlength="short" joinstyle="miter"/>
              </v:shape>
            </w:pict>
          </mc:Fallback>
        </mc:AlternateContent>
      </w:r>
      <w:r w:rsidR="00E211AA" w:rsidRPr="00931280">
        <w:rPr>
          <w:noProof/>
          <w:lang w:val="en-US"/>
        </w:rPr>
        <mc:AlternateContent>
          <mc:Choice Requires="wpg">
            <w:drawing>
              <wp:anchor distT="0" distB="0" distL="114300" distR="114300" simplePos="0" relativeHeight="251660288" behindDoc="0" locked="0" layoutInCell="1" hidden="0" allowOverlap="1" wp14:anchorId="2B73E7B1" wp14:editId="188C314B">
                <wp:simplePos x="0" y="0"/>
                <wp:positionH relativeFrom="column">
                  <wp:posOffset>-533399</wp:posOffset>
                </wp:positionH>
                <wp:positionV relativeFrom="paragraph">
                  <wp:posOffset>1016000</wp:posOffset>
                </wp:positionV>
                <wp:extent cx="6924675" cy="76200"/>
                <wp:effectExtent l="0" t="0" r="0" b="0"/>
                <wp:wrapNone/>
                <wp:docPr id="30" name="Straight Arrow Connector 30"/>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57150" cap="flat" cmpd="dbl">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-533399</wp:posOffset>
                </wp:positionH>
                <wp:positionV relativeFrom="paragraph">
                  <wp:posOffset>1016000</wp:posOffset>
                </wp:positionV>
                <wp:extent cx="6924675" cy="76200"/>
                <wp:effectExtent b="0" l="0" r="0" t="0"/>
                <wp:wrapNone/>
                <wp:docPr id="3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924675" cy="76200"/>
                        </a:xfrm>
                        <a:prstGeom prst="rect"/>
                        <a:ln/>
                      </pic:spPr>
                    </pic:pic>
                  </a:graphicData>
                </a:graphic>
              </wp:anchor>
            </w:drawing>
          </mc:Fallback>
        </mc:AlternateContent>
      </w:r>
      <w:r w:rsidR="00E211AA" w:rsidRPr="00931280">
        <w:rPr>
          <w:noProof/>
          <w:lang w:val="en-US"/>
        </w:rPr>
        <mc:AlternateContent>
          <mc:Choice Requires="wps">
            <w:drawing>
              <wp:anchor distT="45720" distB="45720" distL="114300" distR="114300" simplePos="0" relativeHeight="251661312" behindDoc="0" locked="0" layoutInCell="1" hidden="0" allowOverlap="1" wp14:anchorId="554BC25E" wp14:editId="566C6BDC">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57DF83D" w14:textId="35D177F8" w:rsidR="00175090" w:rsidRDefault="00175090">
                            <w:pPr>
                              <w:spacing w:line="258" w:lineRule="auto"/>
                              <w:jc w:val="center"/>
                              <w:textDirection w:val="btLr"/>
                            </w:pPr>
                            <w:r>
                              <w:rPr>
                                <w:rFonts w:ascii="Constantia" w:eastAsia="Constantia" w:hAnsi="Constantia" w:cs="Constantia"/>
                                <w:i/>
                                <w:color w:val="000000"/>
                                <w:sz w:val="20"/>
                              </w:rPr>
                              <w:t>Jurnal Riset Akuntansi dan Keuangan 12</w:t>
                            </w:r>
                            <w:r>
                              <w:rPr>
                                <w:rFonts w:ascii="Constantia" w:eastAsia="Constantia" w:hAnsi="Constantia" w:cs="Constantia"/>
                                <w:color w:val="000000"/>
                                <w:sz w:val="20"/>
                              </w:rPr>
                              <w:t>(x) (2024) xxx-xxx</w:t>
                            </w:r>
                          </w:p>
                        </w:txbxContent>
                      </wps:txbx>
                      <wps:bodyPr spcFirstLastPara="1" wrap="square" lIns="91425" tIns="45700" rIns="91425" bIns="45700" anchor="t" anchorCtr="0">
                        <a:noAutofit/>
                      </wps:bodyPr>
                    </wps:wsp>
                  </a:graphicData>
                </a:graphic>
              </wp:anchor>
            </w:drawing>
          </mc:Choice>
          <mc:Fallback>
            <w:pict>
              <v:rect w14:anchorId="554BC25E"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" stroked="f">
                <v:textbox inset="2.53958mm,1.2694mm,2.53958mm,1.2694mm">
                  <w:txbxContent>
                    <w:p w14:paraId="057DF83D" w14:textId="35D177F8" w:rsidR="00175090" w:rsidRDefault="00175090">
                      <w:pPr>
                        <w:spacing w:line="258" w:lineRule="auto"/>
                        <w:jc w:val="center"/>
                        <w:textDirection w:val="btLr"/>
                      </w:pPr>
                      <w:r>
                        <w:rPr>
                          <w:rFonts w:ascii="Constantia" w:eastAsia="Constantia" w:hAnsi="Constantia" w:cs="Constantia"/>
                          <w:i/>
                          <w:color w:val="000000"/>
                          <w:sz w:val="20"/>
                        </w:rPr>
                        <w:t>Jurnal Riset Akuntansi dan Keuangan 12</w:t>
                      </w:r>
                      <w:r>
                        <w:rPr>
                          <w:rFonts w:ascii="Constantia" w:eastAsia="Constantia" w:hAnsi="Constantia" w:cs="Constantia"/>
                          <w:color w:val="000000"/>
                          <w:sz w:val="20"/>
                        </w:rPr>
                        <w:t>(x) (2024) xxx-xxx</w:t>
                      </w:r>
                    </w:p>
                  </w:txbxContent>
                </v:textbox>
              </v:rect>
            </w:pict>
          </mc:Fallback>
        </mc:AlternateContent>
      </w:r>
      <w:r w:rsidR="00E211AA" w:rsidRPr="00931280">
        <w:rPr>
          <w:noProof/>
          <w:lang w:val="en-US"/>
        </w:rPr>
        <w:drawing>
          <wp:anchor distT="0" distB="0" distL="114300" distR="114300" simplePos="0" relativeHeight="251662336" behindDoc="0" locked="0" layoutInCell="1" hidden="0" allowOverlap="1" wp14:anchorId="1872BD5A" wp14:editId="04D6E4CA">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l="10304" t="11761" r="12420" b="33532"/>
                    <a:stretch>
                      <a:fillRect/>
                    </a:stretch>
                  </pic:blipFill>
                  <pic:spPr>
                    <a:xfrm>
                      <a:off x="0" y="0"/>
                      <a:ext cx="990600" cy="990600"/>
                    </a:xfrm>
                    <a:prstGeom prst="rect">
                      <a:avLst/>
                    </a:prstGeom>
                    <a:ln/>
                  </pic:spPr>
                </pic:pic>
              </a:graphicData>
            </a:graphic>
          </wp:anchor>
        </w:drawing>
      </w:r>
    </w:p>
    <w:p w14:paraId="1653C56C" w14:textId="2B80585B" w:rsidR="004420F0" w:rsidRPr="00931280" w:rsidRDefault="004420F0">
      <w:pPr>
        <w:spacing w:line="240" w:lineRule="auto"/>
        <w:rPr>
          <w:lang w:val="en-US"/>
        </w:rPr>
      </w:pPr>
    </w:p>
    <w:p w14:paraId="26C9719D" w14:textId="6280CF19" w:rsidR="004420F0" w:rsidRPr="00931280" w:rsidRDefault="004420F0">
      <w:pPr>
        <w:spacing w:line="240" w:lineRule="auto"/>
        <w:rPr>
          <w:lang w:val="en-US"/>
        </w:rPr>
      </w:pPr>
    </w:p>
    <w:p w14:paraId="1918626A" w14:textId="6032B088" w:rsidR="004420F0" w:rsidRPr="00931280" w:rsidRDefault="004420F0">
      <w:pPr>
        <w:spacing w:line="240" w:lineRule="auto"/>
        <w:rPr>
          <w:lang w:val="en-US"/>
        </w:rPr>
      </w:pPr>
    </w:p>
    <w:p w14:paraId="57842FD5" w14:textId="52647C75" w:rsidR="004420F0" w:rsidRPr="00931280" w:rsidRDefault="004420F0">
      <w:pPr>
        <w:pBdr>
          <w:top w:val="nil"/>
          <w:left w:val="nil"/>
          <w:bottom w:val="nil"/>
          <w:right w:val="nil"/>
          <w:between w:val="nil"/>
        </w:pBdr>
        <w:spacing w:after="0" w:line="240" w:lineRule="auto"/>
        <w:jc w:val="center"/>
        <w:rPr>
          <w:color w:val="000000"/>
          <w:lang w:val="en-US"/>
        </w:rPr>
      </w:pPr>
      <w:bookmarkStart w:id="1" w:name="bookmark=id.gjdgxs" w:colFirst="0" w:colLast="0"/>
      <w:bookmarkEnd w:id="1"/>
    </w:p>
    <w:p w14:paraId="052BE87B" w14:textId="7FAF7B96" w:rsidR="004420F0" w:rsidRPr="00931280" w:rsidRDefault="008D25DE">
      <w:pPr>
        <w:jc w:val="center"/>
        <w:rPr>
          <w:rFonts w:ascii="Constantia" w:eastAsia="Constantia" w:hAnsi="Constantia" w:cs="Constantia"/>
          <w:sz w:val="32"/>
          <w:szCs w:val="32"/>
          <w:lang w:val="en-US"/>
        </w:rPr>
      </w:pPr>
      <w:r w:rsidRPr="00931280">
        <w:rPr>
          <w:rFonts w:ascii="Constantia" w:eastAsia="Constantia" w:hAnsi="Constantia" w:cs="Constantia"/>
          <w:sz w:val="32"/>
          <w:szCs w:val="32"/>
          <w:lang w:val="en-US"/>
        </w:rPr>
        <w:t>IOS, Company Growth, and Profitability to Firm Value Moderated By Dividend Policy</w:t>
      </w:r>
    </w:p>
    <w:p w14:paraId="008271F5" w14:textId="4A6E2D21" w:rsidR="004420F0" w:rsidRPr="00931280" w:rsidRDefault="008D25DE">
      <w:pPr>
        <w:spacing w:before="240" w:after="240"/>
        <w:jc w:val="center"/>
        <w:rPr>
          <w:i/>
          <w:sz w:val="20"/>
          <w:szCs w:val="20"/>
          <w:vertAlign w:val="superscript"/>
          <w:lang w:val="en-US"/>
        </w:rPr>
      </w:pPr>
      <w:r w:rsidRPr="00931280">
        <w:rPr>
          <w:i/>
          <w:sz w:val="20"/>
          <w:szCs w:val="20"/>
          <w:lang w:val="en-US"/>
        </w:rPr>
        <w:t>Aini Hulaila1</w:t>
      </w:r>
      <w:r w:rsidR="00F41C49" w:rsidRPr="00931280">
        <w:rPr>
          <w:i/>
          <w:sz w:val="20"/>
          <w:szCs w:val="20"/>
          <w:lang w:val="en-US"/>
        </w:rPr>
        <w:t xml:space="preserve">*, </w:t>
      </w:r>
      <w:bookmarkStart w:id="2" w:name="_Hlk181647567"/>
      <w:r w:rsidRPr="00931280">
        <w:rPr>
          <w:i/>
          <w:sz w:val="20"/>
          <w:szCs w:val="20"/>
          <w:lang w:val="en-US"/>
        </w:rPr>
        <w:t>Maretha Ika Prajawati</w:t>
      </w:r>
      <w:bookmarkEnd w:id="2"/>
      <w:r w:rsidRPr="00931280">
        <w:rPr>
          <w:i/>
          <w:sz w:val="20"/>
          <w:szCs w:val="20"/>
          <w:lang w:val="en-US"/>
        </w:rPr>
        <w:t>2</w:t>
      </w:r>
      <w:r w:rsidR="00751946" w:rsidRPr="00931280">
        <w:rPr>
          <w:i/>
          <w:sz w:val="20"/>
          <w:szCs w:val="20"/>
          <w:vertAlign w:val="superscript"/>
          <w:lang w:val="en-US"/>
        </w:rPr>
        <w:t>2</w:t>
      </w:r>
    </w:p>
    <w:p w14:paraId="52CC30B2" w14:textId="041F960C" w:rsidR="004420F0" w:rsidRPr="00931280" w:rsidRDefault="00E211AA" w:rsidP="00F41C49">
      <w:pPr>
        <w:shd w:val="clear" w:color="auto" w:fill="FFFFFF"/>
        <w:spacing w:after="0" w:line="240" w:lineRule="auto"/>
        <w:jc w:val="center"/>
        <w:rPr>
          <w:sz w:val="20"/>
          <w:szCs w:val="20"/>
          <w:lang w:val="en-US"/>
        </w:rPr>
      </w:pPr>
      <w:r w:rsidRPr="00931280">
        <w:rPr>
          <w:sz w:val="20"/>
          <w:szCs w:val="20"/>
          <w:vertAlign w:val="superscript"/>
          <w:lang w:val="en-US"/>
        </w:rPr>
        <w:t> </w:t>
      </w:r>
      <w:r w:rsidR="008D25DE" w:rsidRPr="00931280">
        <w:rPr>
          <w:sz w:val="20"/>
          <w:szCs w:val="20"/>
          <w:lang w:val="en-US"/>
        </w:rPr>
        <w:t xml:space="preserve">Faculty of Economics, </w:t>
      </w:r>
      <w:r w:rsidR="008D1BD3">
        <w:rPr>
          <w:sz w:val="20"/>
          <w:szCs w:val="20"/>
          <w:lang w:val="en-US"/>
        </w:rPr>
        <w:t xml:space="preserve">UIN </w:t>
      </w:r>
      <w:r w:rsidR="008D25DE" w:rsidRPr="00931280">
        <w:rPr>
          <w:sz w:val="20"/>
          <w:szCs w:val="20"/>
          <w:lang w:val="en-US"/>
        </w:rPr>
        <w:t>Maulana Malik Ibrahim Malang, Indonesia</w:t>
      </w:r>
    </w:p>
    <w:p w14:paraId="7E74F6FD" w14:textId="4059F932" w:rsidR="004420F0" w:rsidRPr="00931280" w:rsidRDefault="00F41C49">
      <w:pPr>
        <w:tabs>
          <w:tab w:val="left" w:pos="1560"/>
        </w:tabs>
        <w:spacing w:line="276" w:lineRule="auto"/>
        <w:jc w:val="center"/>
        <w:rPr>
          <w:sz w:val="20"/>
          <w:szCs w:val="20"/>
          <w:lang w:val="en-US"/>
        </w:rPr>
      </w:pPr>
      <w:r w:rsidRPr="00931280">
        <w:rPr>
          <w:sz w:val="20"/>
          <w:szCs w:val="20"/>
          <w:lang w:val="en-US"/>
        </w:rPr>
        <w:t>*</w:t>
      </w:r>
      <w:r w:rsidR="00E211AA" w:rsidRPr="00931280">
        <w:rPr>
          <w:sz w:val="20"/>
          <w:szCs w:val="20"/>
          <w:lang w:val="en-US"/>
        </w:rPr>
        <w:t xml:space="preserve">Correspondence: E-mail: </w:t>
      </w:r>
      <w:r w:rsidR="005147AF" w:rsidRPr="00931280">
        <w:rPr>
          <w:color w:val="00B0F0"/>
          <w:sz w:val="20"/>
          <w:szCs w:val="20"/>
          <w:lang w:val="en-US"/>
        </w:rPr>
        <w:t>ainihulaila30@gmail.com</w:t>
      </w:r>
      <w:r w:rsidR="00E211AA" w:rsidRPr="00931280">
        <w:rPr>
          <w:color w:val="00B0F0"/>
          <w:sz w:val="20"/>
          <w:szCs w:val="20"/>
          <w:lang w:val="en-US"/>
        </w:rPr>
        <w:t xml:space="preserve"> </w:t>
      </w:r>
    </w:p>
    <w:tbl>
      <w:tblPr>
        <w:tblStyle w:val="a"/>
        <w:tblW w:w="9090" w:type="dxa"/>
        <w:tblLayout w:type="fixed"/>
        <w:tblLook w:val="0400" w:firstRow="0" w:lastRow="0" w:firstColumn="0" w:lastColumn="0" w:noHBand="0" w:noVBand="1"/>
      </w:tblPr>
      <w:tblGrid>
        <w:gridCol w:w="6102"/>
        <w:gridCol w:w="317"/>
        <w:gridCol w:w="2671"/>
      </w:tblGrid>
      <w:tr w:rsidR="004420F0" w:rsidRPr="00931280" w14:paraId="5B9B9897" w14:textId="77777777">
        <w:tc>
          <w:tcPr>
            <w:tcW w:w="6102" w:type="dxa"/>
            <w:tcBorders>
              <w:top w:val="single" w:sz="12" w:space="0" w:color="9CC2E5"/>
              <w:bottom w:val="single" w:sz="12" w:space="0" w:color="9CC2E5"/>
            </w:tcBorders>
            <w:shd w:val="clear" w:color="auto" w:fill="auto"/>
          </w:tcPr>
          <w:p w14:paraId="683433A8" w14:textId="77777777" w:rsidR="004420F0" w:rsidRPr="00931280" w:rsidRDefault="00E211AA">
            <w:pPr>
              <w:spacing w:after="0" w:line="240" w:lineRule="auto"/>
              <w:rPr>
                <w:rFonts w:ascii="Roboto" w:eastAsia="Roboto" w:hAnsi="Roboto" w:cs="Roboto"/>
                <w:b/>
                <w:lang w:val="en-US"/>
              </w:rPr>
            </w:pPr>
            <w:r w:rsidRPr="00931280">
              <w:rPr>
                <w:rFonts w:ascii="Roboto" w:eastAsia="Roboto" w:hAnsi="Roboto" w:cs="Roboto"/>
                <w:b/>
                <w:lang w:val="en-US"/>
              </w:rPr>
              <w:t xml:space="preserve">A B S T R A C T </w:t>
            </w:r>
          </w:p>
        </w:tc>
        <w:tc>
          <w:tcPr>
            <w:tcW w:w="317" w:type="dxa"/>
            <w:shd w:val="clear" w:color="auto" w:fill="auto"/>
          </w:tcPr>
          <w:p w14:paraId="35AE95AA" w14:textId="77777777" w:rsidR="004420F0" w:rsidRPr="00931280" w:rsidRDefault="004420F0">
            <w:pPr>
              <w:spacing w:after="0" w:line="240" w:lineRule="auto"/>
              <w:jc w:val="center"/>
              <w:rPr>
                <w:lang w:val="en-US"/>
              </w:rPr>
            </w:pPr>
          </w:p>
        </w:tc>
        <w:tc>
          <w:tcPr>
            <w:tcW w:w="2671" w:type="dxa"/>
            <w:tcBorders>
              <w:top w:val="single" w:sz="12" w:space="0" w:color="9CC2E5"/>
              <w:left w:val="nil"/>
              <w:bottom w:val="single" w:sz="12" w:space="0" w:color="9CC2E5"/>
            </w:tcBorders>
            <w:shd w:val="clear" w:color="auto" w:fill="auto"/>
          </w:tcPr>
          <w:p w14:paraId="05B0683D" w14:textId="563A5134" w:rsidR="004420F0" w:rsidRPr="00931280" w:rsidRDefault="00751946">
            <w:pPr>
              <w:spacing w:after="0" w:line="240" w:lineRule="auto"/>
              <w:jc w:val="center"/>
              <w:rPr>
                <w:rFonts w:ascii="Roboto" w:eastAsia="Roboto" w:hAnsi="Roboto" w:cs="Roboto"/>
                <w:b/>
                <w:lang w:val="en-US"/>
              </w:rPr>
            </w:pPr>
            <w:r w:rsidRPr="00931280">
              <w:rPr>
                <w:rFonts w:ascii="Roboto" w:eastAsia="Roboto" w:hAnsi="Roboto" w:cs="Roboto"/>
                <w:b/>
                <w:lang w:val="en-US"/>
              </w:rPr>
              <w:t>I N F O  A R T I K E L</w:t>
            </w:r>
          </w:p>
        </w:tc>
      </w:tr>
      <w:tr w:rsidR="004420F0" w:rsidRPr="00931280" w14:paraId="273837F2" w14:textId="77777777">
        <w:trPr>
          <w:trHeight w:val="4803"/>
        </w:trPr>
        <w:tc>
          <w:tcPr>
            <w:tcW w:w="6102" w:type="dxa"/>
            <w:tcBorders>
              <w:top w:val="single" w:sz="12" w:space="0" w:color="9CC2E5"/>
            </w:tcBorders>
            <w:shd w:val="clear" w:color="auto" w:fill="auto"/>
          </w:tcPr>
          <w:p w14:paraId="7B39CE0A" w14:textId="606856DD" w:rsidR="004420F0" w:rsidRPr="00931280" w:rsidRDefault="00A5009E" w:rsidP="00A86694">
            <w:pPr>
              <w:pBdr>
                <w:top w:val="nil"/>
                <w:left w:val="nil"/>
                <w:bottom w:val="nil"/>
                <w:right w:val="nil"/>
                <w:between w:val="nil"/>
              </w:pBdr>
              <w:spacing w:before="240" w:line="240" w:lineRule="auto"/>
              <w:jc w:val="both"/>
              <w:rPr>
                <w:color w:val="000000"/>
                <w:lang w:val="en-US"/>
              </w:rPr>
            </w:pPr>
            <w:r w:rsidRPr="00931280">
              <w:rPr>
                <w:color w:val="000000"/>
                <w:lang w:val="en-US"/>
              </w:rPr>
              <w:t>This study aims</w:t>
            </w:r>
            <w:r w:rsidR="005147AF" w:rsidRPr="00931280">
              <w:rPr>
                <w:color w:val="000000"/>
                <w:lang w:val="en-US"/>
              </w:rPr>
              <w:t xml:space="preserve"> to quantify how IOS, growth, and profitability affect firm value while taking dividend policy into account as</w:t>
            </w:r>
            <w:r w:rsidRPr="00931280">
              <w:rPr>
                <w:color w:val="000000"/>
                <w:lang w:val="en-US"/>
              </w:rPr>
              <w:t xml:space="preserve"> a</w:t>
            </w:r>
            <w:r w:rsidR="005147AF" w:rsidRPr="00931280">
              <w:rPr>
                <w:color w:val="000000"/>
                <w:lang w:val="en-US"/>
              </w:rPr>
              <w:t xml:space="preserve"> moderator. Firm value is regarded as a crucial metric that shows how well a business can generate value for its investors. There are 27 samples of financial sector companies that have distributed dividends and are listed on </w:t>
            </w:r>
            <w:r w:rsidRPr="00931280">
              <w:rPr>
                <w:color w:val="000000"/>
                <w:lang w:val="en-US"/>
              </w:rPr>
              <w:t>IDX</w:t>
            </w:r>
            <w:r w:rsidR="005147AF" w:rsidRPr="00931280">
              <w:rPr>
                <w:color w:val="000000"/>
                <w:lang w:val="en-US"/>
              </w:rPr>
              <w:t xml:space="preserve"> for</w:t>
            </w:r>
            <w:r w:rsidRPr="00931280">
              <w:rPr>
                <w:color w:val="000000"/>
                <w:lang w:val="en-US"/>
              </w:rPr>
              <w:t xml:space="preserve"> </w:t>
            </w:r>
            <w:r w:rsidR="005147AF" w:rsidRPr="00931280">
              <w:rPr>
                <w:color w:val="000000"/>
                <w:lang w:val="en-US"/>
              </w:rPr>
              <w:t>2020-2023</w:t>
            </w:r>
            <w:r w:rsidRPr="00931280">
              <w:rPr>
                <w:color w:val="000000"/>
                <w:lang w:val="en-US"/>
              </w:rPr>
              <w:t xml:space="preserve"> periods</w:t>
            </w:r>
            <w:r w:rsidR="005147AF" w:rsidRPr="00931280">
              <w:rPr>
                <w:color w:val="000000"/>
                <w:lang w:val="en-US"/>
              </w:rPr>
              <w:t xml:space="preserve"> as samples</w:t>
            </w:r>
            <w:r w:rsidR="006E37B9">
              <w:rPr>
                <w:color w:val="000000"/>
                <w:lang w:val="en-US"/>
              </w:rPr>
              <w:t>.</w:t>
            </w:r>
            <w:r w:rsidR="006E37B9">
              <w:t xml:space="preserve"> </w:t>
            </w:r>
            <w:r w:rsidR="006E37B9" w:rsidRPr="006E37B9">
              <w:rPr>
                <w:color w:val="000000"/>
                <w:lang w:val="en-US"/>
              </w:rPr>
              <w:t>Data analysis using panel data linear regression and MRA methods through SPSS version 27 shows IOS correlates positively to firm value, while growth and profitability are not significant</w:t>
            </w:r>
            <w:r w:rsidR="005147AF" w:rsidRPr="00931280">
              <w:rPr>
                <w:color w:val="000000"/>
                <w:lang w:val="en-US"/>
              </w:rPr>
              <w:t xml:space="preserve">. Dividend policy is found to moderate the relationship between firm growth and firm value, but not IOS and profitability. </w:t>
            </w:r>
            <w:r w:rsidR="00755681">
              <w:rPr>
                <w:color w:val="000000"/>
                <w:lang w:val="en-US"/>
              </w:rPr>
              <w:t>T</w:t>
            </w:r>
            <w:r w:rsidR="00755681" w:rsidRPr="00755681">
              <w:rPr>
                <w:color w:val="000000"/>
                <w:lang w:val="en-US"/>
              </w:rPr>
              <w:t>his study will contribute an empirical study in financial</w:t>
            </w:r>
            <w:r w:rsidR="00755681">
              <w:rPr>
                <w:color w:val="000000"/>
                <w:lang w:val="en-US"/>
              </w:rPr>
              <w:t xml:space="preserve"> </w:t>
            </w:r>
            <w:r w:rsidR="005147AF" w:rsidRPr="00931280">
              <w:rPr>
                <w:color w:val="000000"/>
                <w:lang w:val="en-US"/>
              </w:rPr>
              <w:t>literature and have implications for investors, corporate management, and capital market regulators.</w:t>
            </w:r>
          </w:p>
          <w:p w14:paraId="73A25921" w14:textId="77777777" w:rsidR="004420F0" w:rsidRPr="00931280" w:rsidRDefault="00E211AA">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931280">
              <w:rPr>
                <w:color w:val="000000"/>
                <w:sz w:val="18"/>
                <w:szCs w:val="18"/>
                <w:lang w:val="en-US"/>
              </w:rPr>
              <w:t>© 202</w:t>
            </w:r>
            <w:r w:rsidR="000B3F70" w:rsidRPr="00931280">
              <w:rPr>
                <w:color w:val="000000"/>
                <w:sz w:val="18"/>
                <w:szCs w:val="18"/>
                <w:lang w:val="en-US"/>
              </w:rPr>
              <w:t>3</w:t>
            </w:r>
            <w:r w:rsidRPr="00931280">
              <w:rPr>
                <w:color w:val="000000"/>
                <w:sz w:val="18"/>
                <w:szCs w:val="18"/>
                <w:lang w:val="en-US"/>
              </w:rPr>
              <w:t xml:space="preserve"> </w:t>
            </w:r>
            <w:r w:rsidRPr="00931280">
              <w:rPr>
                <w:sz w:val="18"/>
                <w:szCs w:val="18"/>
                <w:lang w:val="en-US"/>
              </w:rPr>
              <w:t>Kantor Jurnal dan Publikasi UPI</w:t>
            </w:r>
          </w:p>
        </w:tc>
        <w:tc>
          <w:tcPr>
            <w:tcW w:w="317" w:type="dxa"/>
            <w:shd w:val="clear" w:color="auto" w:fill="auto"/>
          </w:tcPr>
          <w:p w14:paraId="36423ECD" w14:textId="77777777" w:rsidR="004420F0" w:rsidRPr="00931280" w:rsidRDefault="004420F0">
            <w:pPr>
              <w:spacing w:after="0" w:line="240" w:lineRule="auto"/>
              <w:rPr>
                <w:i/>
                <w:lang w:val="en-US"/>
              </w:rPr>
            </w:pPr>
          </w:p>
        </w:tc>
        <w:tc>
          <w:tcPr>
            <w:tcW w:w="2671" w:type="dxa"/>
            <w:tcBorders>
              <w:top w:val="single" w:sz="12" w:space="0" w:color="9CC2E5"/>
            </w:tcBorders>
            <w:shd w:val="clear" w:color="auto" w:fill="auto"/>
          </w:tcPr>
          <w:p w14:paraId="26700309" w14:textId="77777777" w:rsidR="004420F0" w:rsidRPr="00931280" w:rsidRDefault="00E211AA">
            <w:pPr>
              <w:spacing w:after="0" w:line="240" w:lineRule="auto"/>
              <w:rPr>
                <w:b/>
                <w:i/>
                <w:sz w:val="18"/>
                <w:szCs w:val="18"/>
                <w:lang w:val="en-US"/>
              </w:rPr>
            </w:pPr>
            <w:r w:rsidRPr="00931280">
              <w:rPr>
                <w:b/>
                <w:i/>
                <w:sz w:val="18"/>
                <w:szCs w:val="18"/>
                <w:lang w:val="en-US"/>
              </w:rPr>
              <w:t>Article History:</w:t>
            </w:r>
          </w:p>
          <w:p w14:paraId="32312B77" w14:textId="5BB5C7DE" w:rsidR="004420F0" w:rsidRPr="00931280" w:rsidRDefault="00E9521F">
            <w:pPr>
              <w:spacing w:after="0" w:line="240" w:lineRule="auto"/>
              <w:rPr>
                <w:i/>
                <w:sz w:val="18"/>
                <w:szCs w:val="18"/>
                <w:lang w:val="en-US"/>
              </w:rPr>
            </w:pPr>
            <w:r w:rsidRPr="00931280">
              <w:rPr>
                <w:i/>
                <w:sz w:val="18"/>
                <w:szCs w:val="18"/>
                <w:lang w:val="en-US"/>
              </w:rPr>
              <w:t>Submitted/</w:t>
            </w:r>
            <w:r w:rsidR="00E211AA" w:rsidRPr="00931280">
              <w:rPr>
                <w:i/>
                <w:sz w:val="18"/>
                <w:szCs w:val="18"/>
                <w:lang w:val="en-US"/>
              </w:rPr>
              <w:t xml:space="preserve">Received </w:t>
            </w:r>
            <w:r w:rsidR="00D91D3F" w:rsidRPr="00931280">
              <w:rPr>
                <w:i/>
                <w:sz w:val="18"/>
                <w:szCs w:val="18"/>
                <w:lang w:val="en-US"/>
              </w:rPr>
              <w:t>XX XXXX XXXX</w:t>
            </w:r>
          </w:p>
          <w:p w14:paraId="235D3ABD" w14:textId="7631090C" w:rsidR="004420F0" w:rsidRPr="00931280" w:rsidRDefault="00E9521F">
            <w:pPr>
              <w:spacing w:after="0" w:line="240" w:lineRule="auto"/>
              <w:rPr>
                <w:i/>
                <w:sz w:val="18"/>
                <w:szCs w:val="18"/>
                <w:lang w:val="en-US"/>
              </w:rPr>
            </w:pPr>
            <w:r w:rsidRPr="00931280">
              <w:rPr>
                <w:i/>
                <w:sz w:val="18"/>
                <w:szCs w:val="18"/>
                <w:lang w:val="en-US"/>
              </w:rPr>
              <w:t xml:space="preserve">First </w:t>
            </w:r>
            <w:r w:rsidR="00E211AA" w:rsidRPr="00931280">
              <w:rPr>
                <w:i/>
                <w:sz w:val="18"/>
                <w:szCs w:val="18"/>
                <w:lang w:val="en-US"/>
              </w:rPr>
              <w:t xml:space="preserve">Revised </w:t>
            </w:r>
            <w:r w:rsidR="00D91D3F" w:rsidRPr="00931280">
              <w:rPr>
                <w:i/>
                <w:sz w:val="18"/>
                <w:szCs w:val="18"/>
                <w:lang w:val="en-US"/>
              </w:rPr>
              <w:t>XX XXXX XXXX</w:t>
            </w:r>
          </w:p>
          <w:p w14:paraId="4AA33B94" w14:textId="01B8A737" w:rsidR="004420F0" w:rsidRPr="00931280" w:rsidRDefault="00E211AA">
            <w:pPr>
              <w:spacing w:after="0" w:line="240" w:lineRule="auto"/>
              <w:rPr>
                <w:i/>
                <w:sz w:val="18"/>
                <w:szCs w:val="18"/>
                <w:lang w:val="en-US"/>
              </w:rPr>
            </w:pPr>
            <w:r w:rsidRPr="00931280">
              <w:rPr>
                <w:i/>
                <w:sz w:val="18"/>
                <w:szCs w:val="18"/>
                <w:lang w:val="en-US"/>
              </w:rPr>
              <w:t xml:space="preserve">Accepted </w:t>
            </w:r>
            <w:r w:rsidR="00D91D3F" w:rsidRPr="00931280">
              <w:rPr>
                <w:i/>
                <w:sz w:val="18"/>
                <w:szCs w:val="18"/>
                <w:lang w:val="en-US"/>
              </w:rPr>
              <w:t>XX XXXX XXXX</w:t>
            </w:r>
          </w:p>
          <w:p w14:paraId="73316B36" w14:textId="31AC4C8D" w:rsidR="004420F0" w:rsidRPr="00931280" w:rsidRDefault="00E9521F">
            <w:pPr>
              <w:spacing w:after="0" w:line="240" w:lineRule="auto"/>
              <w:rPr>
                <w:i/>
                <w:sz w:val="18"/>
                <w:szCs w:val="18"/>
                <w:lang w:val="en-US"/>
              </w:rPr>
            </w:pPr>
            <w:r w:rsidRPr="00931280">
              <w:rPr>
                <w:i/>
                <w:sz w:val="18"/>
                <w:szCs w:val="18"/>
                <w:lang w:val="en-US"/>
              </w:rPr>
              <w:t xml:space="preserve">First </w:t>
            </w:r>
            <w:r w:rsidR="00E211AA" w:rsidRPr="00931280">
              <w:rPr>
                <w:i/>
                <w:sz w:val="18"/>
                <w:szCs w:val="18"/>
                <w:lang w:val="en-US"/>
              </w:rPr>
              <w:t xml:space="preserve">Available online </w:t>
            </w:r>
            <w:r w:rsidR="00D91D3F" w:rsidRPr="00931280">
              <w:rPr>
                <w:i/>
                <w:sz w:val="18"/>
                <w:szCs w:val="18"/>
                <w:lang w:val="en-US"/>
              </w:rPr>
              <w:t>XX XXXX XXXX</w:t>
            </w:r>
          </w:p>
          <w:p w14:paraId="57113C57" w14:textId="3A959365" w:rsidR="00E9521F" w:rsidRPr="00931280" w:rsidRDefault="00E9521F">
            <w:pPr>
              <w:spacing w:after="0" w:line="240" w:lineRule="auto"/>
              <w:rPr>
                <w:i/>
                <w:sz w:val="18"/>
                <w:szCs w:val="18"/>
                <w:lang w:val="en-US"/>
              </w:rPr>
            </w:pPr>
            <w:r w:rsidRPr="00931280">
              <w:rPr>
                <w:i/>
                <w:sz w:val="18"/>
                <w:szCs w:val="18"/>
                <w:lang w:val="en-US"/>
              </w:rPr>
              <w:t xml:space="preserve">Publication Date </w:t>
            </w:r>
            <w:r w:rsidR="00D91D3F" w:rsidRPr="00931280">
              <w:rPr>
                <w:i/>
                <w:sz w:val="18"/>
                <w:szCs w:val="18"/>
                <w:lang w:val="en-US"/>
              </w:rPr>
              <w:t>XX XXXX XXXX</w:t>
            </w:r>
          </w:p>
          <w:p w14:paraId="4B44C58C" w14:textId="77777777" w:rsidR="004420F0" w:rsidRPr="00931280" w:rsidRDefault="00E211AA">
            <w:pPr>
              <w:spacing w:after="0" w:line="240" w:lineRule="auto"/>
              <w:rPr>
                <w:color w:val="5B9BD5"/>
                <w:lang w:val="en-US"/>
              </w:rPr>
            </w:pPr>
            <w:r w:rsidRPr="00931280">
              <w:rPr>
                <w:color w:val="5B9BD5"/>
                <w:lang w:val="en-US"/>
              </w:rPr>
              <w:t>____________________</w:t>
            </w:r>
          </w:p>
          <w:p w14:paraId="72C7B97E" w14:textId="17EC3A20" w:rsidR="00992CC8" w:rsidRPr="00931280" w:rsidRDefault="00E211AA" w:rsidP="00A86694">
            <w:pPr>
              <w:spacing w:after="0" w:line="240" w:lineRule="auto"/>
              <w:rPr>
                <w:b/>
                <w:i/>
                <w:sz w:val="18"/>
                <w:szCs w:val="18"/>
                <w:lang w:val="en-US"/>
              </w:rPr>
            </w:pPr>
            <w:r w:rsidRPr="00931280">
              <w:rPr>
                <w:b/>
                <w:i/>
                <w:sz w:val="18"/>
                <w:szCs w:val="18"/>
                <w:lang w:val="en-US"/>
              </w:rPr>
              <w:t>Keyword:</w:t>
            </w:r>
          </w:p>
          <w:p w14:paraId="65E8DC97" w14:textId="629441B9" w:rsidR="00A86694" w:rsidRPr="00931280" w:rsidRDefault="005147AF" w:rsidP="00A86694">
            <w:pPr>
              <w:spacing w:after="0" w:line="240" w:lineRule="auto"/>
              <w:rPr>
                <w:i/>
                <w:color w:val="000000"/>
                <w:sz w:val="18"/>
                <w:szCs w:val="18"/>
                <w:lang w:val="en-US"/>
              </w:rPr>
            </w:pPr>
            <w:r w:rsidRPr="00931280">
              <w:rPr>
                <w:i/>
                <w:color w:val="000000"/>
                <w:sz w:val="18"/>
                <w:szCs w:val="18"/>
                <w:lang w:val="en-US"/>
              </w:rPr>
              <w:t>Company Growth, Firm Value, Dividend Policy, IOS</w:t>
            </w:r>
            <w:r w:rsidR="00A86694" w:rsidRPr="00931280">
              <w:rPr>
                <w:i/>
                <w:color w:val="000000"/>
                <w:sz w:val="18"/>
                <w:szCs w:val="18"/>
                <w:lang w:val="en-US"/>
              </w:rPr>
              <w:t>,</w:t>
            </w:r>
          </w:p>
          <w:p w14:paraId="414A19B9" w14:textId="6F5B2D78" w:rsidR="00A86694" w:rsidRPr="00931280" w:rsidRDefault="005147AF" w:rsidP="00A86694">
            <w:pPr>
              <w:spacing w:after="0" w:line="240" w:lineRule="auto"/>
              <w:rPr>
                <w:i/>
                <w:color w:val="000000"/>
                <w:sz w:val="18"/>
                <w:szCs w:val="18"/>
                <w:lang w:val="en-US"/>
              </w:rPr>
            </w:pPr>
            <w:r w:rsidRPr="00931280">
              <w:rPr>
                <w:i/>
                <w:color w:val="000000"/>
                <w:sz w:val="18"/>
                <w:szCs w:val="18"/>
                <w:lang w:val="en-US"/>
              </w:rPr>
              <w:t>Profitability</w:t>
            </w:r>
            <w:r w:rsidR="008B5D2E" w:rsidRPr="00931280">
              <w:rPr>
                <w:i/>
                <w:color w:val="000000"/>
                <w:sz w:val="18"/>
                <w:szCs w:val="18"/>
                <w:lang w:val="en-US"/>
              </w:rPr>
              <w:t>.</w:t>
            </w:r>
            <w:r w:rsidR="00A86694" w:rsidRPr="00931280">
              <w:rPr>
                <w:i/>
                <w:color w:val="000000"/>
                <w:sz w:val="18"/>
                <w:szCs w:val="18"/>
                <w:lang w:val="en-US"/>
              </w:rPr>
              <w:t>.</w:t>
            </w:r>
          </w:p>
          <w:p w14:paraId="1C1D32F2" w14:textId="77777777" w:rsidR="004420F0" w:rsidRPr="00931280" w:rsidRDefault="004420F0">
            <w:pPr>
              <w:spacing w:after="0" w:line="240" w:lineRule="auto"/>
              <w:rPr>
                <w:i/>
                <w:sz w:val="18"/>
                <w:szCs w:val="18"/>
                <w:lang w:val="en-US"/>
              </w:rPr>
            </w:pPr>
          </w:p>
        </w:tc>
      </w:tr>
    </w:tbl>
    <w:p w14:paraId="32C70413" w14:textId="77777777" w:rsidR="004420F0" w:rsidRPr="00931280" w:rsidRDefault="00E211AA">
      <w:pPr>
        <w:spacing w:line="240" w:lineRule="auto"/>
        <w:rPr>
          <w:b/>
          <w:lang w:val="en-US"/>
        </w:rPr>
        <w:sectPr w:rsidR="004420F0" w:rsidRPr="00931280" w:rsidSect="000C6D92">
          <w:headerReference w:type="even" r:id="rId14"/>
          <w:headerReference w:type="default" r:id="rId15"/>
          <w:footerReference w:type="even" r:id="rId16"/>
          <w:footerReference w:type="default" r:id="rId17"/>
          <w:headerReference w:type="first" r:id="rId18"/>
          <w:pgSz w:w="11906" w:h="16838"/>
          <w:pgMar w:top="720" w:right="1440" w:bottom="1440" w:left="1440" w:header="720" w:footer="720" w:gutter="0"/>
          <w:pgNumType w:start="435"/>
          <w:cols w:space="720"/>
          <w:titlePg/>
        </w:sectPr>
      </w:pPr>
      <w:r w:rsidRPr="00931280">
        <w:rPr>
          <w:noProof/>
          <w:lang w:val="en-US"/>
        </w:rPr>
        <mc:AlternateContent>
          <mc:Choice Requires="wpg">
            <w:drawing>
              <wp:anchor distT="4294967294" distB="4294967294" distL="114300" distR="114300" simplePos="0" relativeHeight="251664384" behindDoc="0" locked="0" layoutInCell="1" hidden="0" allowOverlap="1" wp14:anchorId="568268E3" wp14:editId="63FEB5D0">
                <wp:simplePos x="0" y="0"/>
                <wp:positionH relativeFrom="column">
                  <wp:posOffset>-546099</wp:posOffset>
                </wp:positionH>
                <wp:positionV relativeFrom="paragraph">
                  <wp:posOffset>157495</wp:posOffset>
                </wp:positionV>
                <wp:extent cx="6638925"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oel="http://schemas.microsoft.com/office/2019/extlst">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38925" cy="12700"/>
                <wp:effectExtent b="0" l="0" r="0" t="0"/>
                <wp:wrapNone/>
                <wp:docPr id="32"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6638925" cy="12700"/>
                        </a:xfrm>
                        <a:prstGeom prst="rect"/>
                        <a:ln/>
                      </pic:spPr>
                    </pic:pic>
                  </a:graphicData>
                </a:graphic>
              </wp:anchor>
            </w:drawing>
          </mc:Fallback>
        </mc:AlternateContent>
      </w:r>
    </w:p>
    <w:p w14:paraId="17F4197B" w14:textId="77777777" w:rsidR="004420F0" w:rsidRPr="00931280" w:rsidRDefault="004420F0">
      <w:pPr>
        <w:spacing w:after="0" w:line="240" w:lineRule="auto"/>
        <w:rPr>
          <w:b/>
          <w:lang w:val="en-US"/>
        </w:rPr>
        <w:sectPr w:rsidR="004420F0" w:rsidRPr="00931280" w:rsidSect="000C6D92">
          <w:footerReference w:type="default" r:id="rId20"/>
          <w:headerReference w:type="first" r:id="rId21"/>
          <w:type w:val="continuous"/>
          <w:pgSz w:w="11906" w:h="16838"/>
          <w:pgMar w:top="1135" w:right="1440" w:bottom="1440" w:left="1440" w:header="708" w:footer="890" w:gutter="0"/>
          <w:cols w:num="2" w:space="720" w:equalWidth="0">
            <w:col w:w="4371" w:space="284"/>
            <w:col w:w="4371" w:space="0"/>
          </w:cols>
        </w:sectPr>
      </w:pPr>
    </w:p>
    <w:p w14:paraId="30B02B2C" w14:textId="77777777" w:rsidR="00DD7731" w:rsidRPr="00931280" w:rsidRDefault="00DD7731">
      <w:pPr>
        <w:rPr>
          <w:b/>
          <w:lang w:val="en-US"/>
        </w:rPr>
      </w:pPr>
      <w:r w:rsidRPr="00931280">
        <w:rPr>
          <w:b/>
          <w:lang w:val="en-US"/>
        </w:rPr>
        <w:br w:type="page"/>
      </w:r>
    </w:p>
    <w:p w14:paraId="44340768" w14:textId="3D150BA8" w:rsidR="004420F0" w:rsidRPr="00931280" w:rsidRDefault="00E211AA" w:rsidP="00CB2D51">
      <w:pPr>
        <w:tabs>
          <w:tab w:val="left" w:pos="3165"/>
        </w:tabs>
        <w:spacing w:after="0" w:line="240" w:lineRule="auto"/>
        <w:jc w:val="both"/>
        <w:rPr>
          <w:b/>
          <w:lang w:val="en-US"/>
        </w:rPr>
      </w:pPr>
      <w:r w:rsidRPr="00931280">
        <w:rPr>
          <w:b/>
          <w:lang w:val="en-US"/>
        </w:rPr>
        <w:lastRenderedPageBreak/>
        <w:t xml:space="preserve">1. </w:t>
      </w:r>
      <w:r w:rsidR="008B5D2E" w:rsidRPr="00931280">
        <w:rPr>
          <w:b/>
          <w:lang w:val="en-US"/>
        </w:rPr>
        <w:t>INTRODUCTION</w:t>
      </w:r>
    </w:p>
    <w:p w14:paraId="5BC97980" w14:textId="43D692F2" w:rsidR="004420F0" w:rsidRPr="00931280" w:rsidRDefault="008B5D2E" w:rsidP="00CB2D51">
      <w:pPr>
        <w:spacing w:after="0" w:line="240" w:lineRule="auto"/>
        <w:ind w:firstLine="274"/>
        <w:jc w:val="both"/>
        <w:rPr>
          <w:color w:val="000000"/>
        </w:rPr>
      </w:pPr>
      <w:r w:rsidRPr="00931280">
        <w:rPr>
          <w:color w:val="000000"/>
        </w:rPr>
        <w:t xml:space="preserve">In an increasingly competitive business world due to global economic dynamics, companies are required to continuously adapt. </w:t>
      </w:r>
      <w:r w:rsidR="00701088" w:rsidRPr="00701088">
        <w:rPr>
          <w:color w:val="000000"/>
        </w:rPr>
        <w:t xml:space="preserve">Current companies that still growing is around 2,557,523 further tightening the competition between companies </w:t>
      </w:r>
      <w:r w:rsidR="00AF7E92" w:rsidRPr="00931280">
        <w:rPr>
          <w:color w:val="000000"/>
        </w:rPr>
        <w:t>(Kementerian Ketenagakerjaan, 2024)</w:t>
      </w:r>
      <w:r w:rsidRPr="00931280">
        <w:rPr>
          <w:color w:val="000000"/>
        </w:rPr>
        <w:t>. To reflect the company's success and define its share price, the most important benchmark is using the Firm value</w:t>
      </w:r>
      <w:r w:rsidR="00AF7E92" w:rsidRPr="00931280">
        <w:rPr>
          <w:color w:val="000000"/>
        </w:rPr>
        <w:t xml:space="preserve"> (Sujoko &amp; Soebiantoro, 2007)</w:t>
      </w:r>
      <w:r w:rsidRPr="00931280">
        <w:rPr>
          <w:color w:val="000000"/>
        </w:rPr>
        <w:t>. Besides that, companies need to show good performance and also positive stock market conditions To convince investors (shareholders)</w:t>
      </w:r>
      <w:r w:rsidR="00AF7E92" w:rsidRPr="00931280">
        <w:rPr>
          <w:color w:val="000000"/>
        </w:rPr>
        <w:t xml:space="preserve"> (Harmono, 2022)</w:t>
      </w:r>
      <w:r w:rsidRPr="00931280">
        <w:rPr>
          <w:color w:val="000000"/>
        </w:rPr>
        <w:t>. This optimal company performance can be seen through high company value</w:t>
      </w:r>
      <w:r w:rsidR="00AF7E92" w:rsidRPr="00931280">
        <w:rPr>
          <w:color w:val="000000"/>
        </w:rPr>
        <w:t xml:space="preserve"> (Gurnita et., 2021).</w:t>
      </w:r>
    </w:p>
    <w:p w14:paraId="07452E91" w14:textId="3369A9C2" w:rsidR="0060323C" w:rsidRPr="00931280" w:rsidRDefault="008B5D2E" w:rsidP="0060323C">
      <w:pPr>
        <w:spacing w:after="0" w:line="240" w:lineRule="auto"/>
        <w:ind w:firstLine="274"/>
        <w:jc w:val="both"/>
        <w:rPr>
          <w:lang w:val="en-US"/>
        </w:rPr>
      </w:pPr>
      <w:r w:rsidRPr="00931280">
        <w:rPr>
          <w:lang w:val="en-US"/>
        </w:rPr>
        <w:t>One of the important sectors that remains efficient amidst various economic instabilities is the financial sector, as evidenced by the level of ratio of company profit (ROA) that has continued to increase for several consecutive years to reach 2.74 percent</w:t>
      </w:r>
      <w:r w:rsidR="00AF7E92" w:rsidRPr="00931280">
        <w:rPr>
          <w:lang w:val="en-US"/>
        </w:rPr>
        <w:t xml:space="preserve"> (OJK, 2024)</w:t>
      </w:r>
      <w:r w:rsidRPr="00931280">
        <w:rPr>
          <w:lang w:val="en-US"/>
        </w:rPr>
        <w:t>. Minister of Finance, Sri Mulyani, stated the importance of the financial sector as a driver of progress and development as well as the stability of the country</w:t>
      </w:r>
      <w:r w:rsidR="000C0FD0" w:rsidRPr="00931280">
        <w:rPr>
          <w:lang w:val="en-US"/>
        </w:rPr>
        <w:t xml:space="preserve"> (Kemenkeu.go.id, 2022)</w:t>
      </w:r>
      <w:r w:rsidRPr="00931280">
        <w:rPr>
          <w:lang w:val="en-US"/>
        </w:rPr>
        <w:t xml:space="preserve">. The stability of the sector is supported by the strong capitalization and good performance of various financial institutions </w:t>
      </w:r>
      <w:r w:rsidR="000C0FD0" w:rsidRPr="00931280">
        <w:rPr>
          <w:lang w:val="en-US"/>
        </w:rPr>
        <w:t>(OJK, 2024).</w:t>
      </w:r>
    </w:p>
    <w:p w14:paraId="6DC20B56" w14:textId="77777777" w:rsidR="00EC786D" w:rsidRPr="00931280" w:rsidRDefault="00EC786D" w:rsidP="00EC786D">
      <w:pPr>
        <w:spacing w:after="0" w:line="240" w:lineRule="auto"/>
        <w:ind w:firstLine="274"/>
        <w:jc w:val="both"/>
        <w:rPr>
          <w:lang w:val="en-US"/>
        </w:rPr>
      </w:pPr>
      <w:r w:rsidRPr="00931280">
        <w:rPr>
          <w:lang w:val="en-US"/>
        </w:rPr>
        <w:t>Based on Market Cap data that compares with current market price conditions, the ranking of sectors that have the largest impact on market capitalization can be described as follows:</w:t>
      </w:r>
    </w:p>
    <w:p w14:paraId="1738EF53" w14:textId="14A0DBDF" w:rsidR="00EC786D" w:rsidRPr="00931280" w:rsidRDefault="00EC786D" w:rsidP="00EC786D">
      <w:pPr>
        <w:spacing w:after="0" w:line="240" w:lineRule="auto"/>
        <w:ind w:firstLine="274"/>
        <w:jc w:val="center"/>
        <w:rPr>
          <w:lang w:val="en-US"/>
        </w:rPr>
      </w:pPr>
      <w:r w:rsidRPr="00931280">
        <w:rPr>
          <w:noProof/>
        </w:rPr>
        <w:drawing>
          <wp:inline distT="0" distB="0" distL="0" distR="0" wp14:anchorId="7A1FB5BA" wp14:editId="7406E536">
            <wp:extent cx="4904600" cy="3087584"/>
            <wp:effectExtent l="0" t="0" r="10795" b="17780"/>
            <wp:docPr id="7" name="Chart 7">
              <a:extLst xmlns:a="http://schemas.openxmlformats.org/drawingml/2006/main">
                <a:ext uri="{FF2B5EF4-FFF2-40B4-BE49-F238E27FC236}">
                  <a16:creationId xmlns:a16="http://schemas.microsoft.com/office/drawing/2014/main" id="{EBA58E0F-15B0-4484-8B08-279A10B66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81ABBF" w14:textId="2AC68F4F" w:rsidR="00E70668" w:rsidRPr="00931280" w:rsidRDefault="00E70668" w:rsidP="00EC786D">
      <w:pPr>
        <w:spacing w:after="0" w:line="240" w:lineRule="auto"/>
        <w:ind w:firstLine="274"/>
        <w:jc w:val="center"/>
        <w:rPr>
          <w:sz w:val="20"/>
          <w:szCs w:val="20"/>
          <w:lang w:val="en-US"/>
        </w:rPr>
      </w:pPr>
      <w:r w:rsidRPr="00931280">
        <w:rPr>
          <w:sz w:val="20"/>
          <w:szCs w:val="20"/>
          <w:lang w:val="en-US"/>
        </w:rPr>
        <w:t xml:space="preserve">Source: Data processed by researchers from the Indonesia Stock Exchange, </w:t>
      </w:r>
      <w:r w:rsidR="00C578E5" w:rsidRPr="00931280">
        <w:rPr>
          <w:sz w:val="20"/>
          <w:szCs w:val="20"/>
          <w:lang w:val="en-US"/>
        </w:rPr>
        <w:t>(</w:t>
      </w:r>
      <w:r w:rsidRPr="00931280">
        <w:rPr>
          <w:sz w:val="20"/>
          <w:szCs w:val="20"/>
          <w:lang w:val="en-US"/>
        </w:rPr>
        <w:t>2023</w:t>
      </w:r>
      <w:r w:rsidR="00C578E5" w:rsidRPr="00931280">
        <w:rPr>
          <w:sz w:val="20"/>
          <w:szCs w:val="20"/>
          <w:lang w:val="en-US"/>
        </w:rPr>
        <w:t>)</w:t>
      </w:r>
    </w:p>
    <w:p w14:paraId="4839D81B" w14:textId="29413B03" w:rsidR="00EC786D" w:rsidRPr="00931280" w:rsidRDefault="00EC786D" w:rsidP="00EC786D">
      <w:pPr>
        <w:spacing w:after="0" w:line="240" w:lineRule="auto"/>
        <w:ind w:firstLine="274"/>
        <w:jc w:val="center"/>
        <w:rPr>
          <w:lang w:val="en-US"/>
        </w:rPr>
      </w:pPr>
      <w:r w:rsidRPr="00931280">
        <w:rPr>
          <w:b/>
          <w:bCs/>
          <w:lang w:val="en-US"/>
        </w:rPr>
        <w:t>Figure 1</w:t>
      </w:r>
      <w:r w:rsidRPr="00931280">
        <w:rPr>
          <w:lang w:val="en-US"/>
        </w:rPr>
        <w:t xml:space="preserve"> Diagram of Market Cap on the Stock Exchange</w:t>
      </w:r>
    </w:p>
    <w:p w14:paraId="6E245301" w14:textId="77777777" w:rsidR="00EC786D" w:rsidRPr="00931280" w:rsidRDefault="00EC786D" w:rsidP="00C56918">
      <w:pPr>
        <w:spacing w:after="0" w:line="240" w:lineRule="auto"/>
        <w:jc w:val="both"/>
        <w:rPr>
          <w:lang w:val="en-US"/>
        </w:rPr>
      </w:pPr>
      <w:r w:rsidRPr="00931280">
        <w:rPr>
          <w:lang w:val="en-US"/>
        </w:rPr>
        <w:t>Recorded in the IDX, the financial sector still ranks at the top of capitalization in the stock market in December, 2023.  This sector has the highest contribution of 35% compared to other industrial sectors. This shows the importance of the financial sector as the main sector driving economic growth.</w:t>
      </w:r>
    </w:p>
    <w:p w14:paraId="5A1092DC" w14:textId="70C18DC3" w:rsidR="00C56918" w:rsidRPr="00931280" w:rsidRDefault="002D7EB4" w:rsidP="00EC786D">
      <w:pPr>
        <w:spacing w:after="0" w:line="240" w:lineRule="auto"/>
        <w:ind w:firstLine="274"/>
        <w:jc w:val="both"/>
      </w:pPr>
      <w:r w:rsidRPr="00931280">
        <w:rPr>
          <w:lang w:val="en-US"/>
        </w:rPr>
        <w:t>The financial sector that has a track record will be favored by investors so that they invest capital to buy these company stocks so</w:t>
      </w:r>
      <w:r w:rsidR="00175090">
        <w:rPr>
          <w:lang w:val="en-US"/>
        </w:rPr>
        <w:t xml:space="preserve"> it can increase</w:t>
      </w:r>
      <w:r w:rsidRPr="00931280">
        <w:rPr>
          <w:lang w:val="en-US"/>
        </w:rPr>
        <w:t xml:space="preserve"> company's </w:t>
      </w:r>
      <w:r w:rsidR="00175090">
        <w:rPr>
          <w:lang w:val="en-US"/>
        </w:rPr>
        <w:t>worth</w:t>
      </w:r>
      <w:r w:rsidRPr="00931280">
        <w:rPr>
          <w:lang w:val="en-US"/>
        </w:rPr>
        <w:t xml:space="preserve"> (Hakim, 2019)</w:t>
      </w:r>
      <w:r w:rsidR="00B41A97" w:rsidRPr="00931280">
        <w:t xml:space="preserve">. </w:t>
      </w:r>
      <w:r w:rsidR="00B41A97" w:rsidRPr="00931280">
        <w:rPr>
          <w:lang w:val="en-US"/>
        </w:rPr>
        <w:t>This condition will create a positive cycle, where the value of the company that experiences an increasing rate will also interest more investors</w:t>
      </w:r>
      <w:r w:rsidR="00EC786D" w:rsidRPr="00931280">
        <w:rPr>
          <w:lang w:val="en-US"/>
        </w:rPr>
        <w:t xml:space="preserve">. </w:t>
      </w:r>
      <w:r w:rsidR="00AF7E92" w:rsidRPr="00931280">
        <w:rPr>
          <w:lang w:val="en-US"/>
        </w:rPr>
        <w:t>Yunita et. al (2013)</w:t>
      </w:r>
      <w:r w:rsidR="00C56918" w:rsidRPr="00931280">
        <w:rPr>
          <w:lang w:val="en-US"/>
        </w:rPr>
        <w:t>,</w:t>
      </w:r>
      <w:r w:rsidR="00EC786D" w:rsidRPr="00931280">
        <w:rPr>
          <w:lang w:val="en-US"/>
        </w:rPr>
        <w:t xml:space="preserve"> state that one of the ratios that can be used to measure company value compared to total equity is by calculating Price to Book Value (PBV).</w:t>
      </w:r>
      <w:r w:rsidR="00C56918" w:rsidRPr="00931280">
        <w:t xml:space="preserve"> </w:t>
      </w:r>
    </w:p>
    <w:p w14:paraId="02914D58" w14:textId="7C563B38" w:rsidR="00EC786D" w:rsidRPr="00931280" w:rsidRDefault="00701088" w:rsidP="00EC786D">
      <w:pPr>
        <w:spacing w:after="0" w:line="240" w:lineRule="auto"/>
        <w:ind w:firstLine="274"/>
        <w:jc w:val="both"/>
        <w:rPr>
          <w:lang w:val="en-US"/>
        </w:rPr>
      </w:pPr>
      <w:r w:rsidRPr="00701088">
        <w:rPr>
          <w:lang w:val="en-US"/>
        </w:rPr>
        <w:lastRenderedPageBreak/>
        <w:t>PBV value illustrates that financial performance management is positively correlated with market valuation</w:t>
      </w:r>
      <w:r w:rsidR="00AF7E92" w:rsidRPr="00931280">
        <w:rPr>
          <w:lang w:val="en-US"/>
        </w:rPr>
        <w:t xml:space="preserve"> (Nini et al., 2020).</w:t>
      </w:r>
      <w:r w:rsidR="00C56918" w:rsidRPr="00931280">
        <w:rPr>
          <w:lang w:val="en-US"/>
        </w:rPr>
        <w:t xml:space="preserve"> </w:t>
      </w:r>
      <w:r w:rsidR="00AF7E92" w:rsidRPr="00931280">
        <w:rPr>
          <w:lang w:val="en-US"/>
        </w:rPr>
        <w:t>Ikhsan et al. (2022),</w:t>
      </w:r>
      <w:r w:rsidR="00C56918" w:rsidRPr="00931280">
        <w:rPr>
          <w:lang w:val="en-US"/>
        </w:rPr>
        <w:t xml:space="preserve"> cite PBV is stated to be more stable than the market price assessment which can influence investors in investing. Based on PBV measurement indicators, a good company has a PBV value&gt; 1</w:t>
      </w:r>
      <w:r w:rsidR="00F87C2E" w:rsidRPr="00931280">
        <w:rPr>
          <w:lang w:val="en-US"/>
        </w:rPr>
        <w:t xml:space="preserve"> (Markonah et al., 2020)</w:t>
      </w:r>
      <w:r w:rsidR="00C56918" w:rsidRPr="00931280">
        <w:rPr>
          <w:lang w:val="en-US"/>
        </w:rPr>
        <w:t>.</w:t>
      </w:r>
      <w:r w:rsidR="00C56918" w:rsidRPr="00931280">
        <w:t xml:space="preserve"> </w:t>
      </w:r>
      <w:r w:rsidR="00C56918" w:rsidRPr="00931280">
        <w:rPr>
          <w:lang w:val="en-US"/>
        </w:rPr>
        <w:t>Figure 2 shows research on the calculation of the PBV ratio in the financial sector in 2020-2023.</w:t>
      </w:r>
    </w:p>
    <w:p w14:paraId="56A45931" w14:textId="24D4A90A" w:rsidR="00EC786D" w:rsidRPr="00931280" w:rsidRDefault="00C56918" w:rsidP="003310FF">
      <w:pPr>
        <w:spacing w:after="0" w:line="240" w:lineRule="auto"/>
        <w:ind w:firstLine="274"/>
        <w:jc w:val="center"/>
        <w:rPr>
          <w:lang w:val="en-US"/>
        </w:rPr>
      </w:pPr>
      <w:r w:rsidRPr="00931280">
        <w:rPr>
          <w:noProof/>
        </w:rPr>
        <w:drawing>
          <wp:inline distT="0" distB="0" distL="0" distR="0" wp14:anchorId="7C86F501" wp14:editId="607234AD">
            <wp:extent cx="2752725" cy="1790700"/>
            <wp:effectExtent l="0" t="0" r="9525" b="0"/>
            <wp:docPr id="4" name="Chart 4">
              <a:extLst xmlns:a="http://schemas.openxmlformats.org/drawingml/2006/main">
                <a:ext uri="{FF2B5EF4-FFF2-40B4-BE49-F238E27FC236}">
                  <a16:creationId xmlns:a16="http://schemas.microsoft.com/office/drawing/2014/main" id="{FAB38D38-93E1-4F05-BD03-AE4F819F9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A09347" w14:textId="1B482E89" w:rsidR="003310FF" w:rsidRPr="00931280" w:rsidRDefault="003310FF" w:rsidP="00C56918">
      <w:pPr>
        <w:spacing w:after="0" w:line="240" w:lineRule="auto"/>
        <w:ind w:firstLine="274"/>
        <w:jc w:val="center"/>
        <w:rPr>
          <w:sz w:val="20"/>
          <w:szCs w:val="20"/>
          <w:lang w:val="en-US"/>
        </w:rPr>
      </w:pPr>
      <w:r w:rsidRPr="00931280">
        <w:rPr>
          <w:sz w:val="20"/>
          <w:szCs w:val="20"/>
          <w:lang w:val="en-US"/>
        </w:rPr>
        <w:t>Source: Data processed by researchers from the Indonesia Stock Exchange, 2020-2023</w:t>
      </w:r>
    </w:p>
    <w:p w14:paraId="11D62A51" w14:textId="0C0E51B0" w:rsidR="003310FF" w:rsidRPr="00931280" w:rsidRDefault="00C56918" w:rsidP="003310FF">
      <w:pPr>
        <w:spacing w:after="0" w:line="240" w:lineRule="auto"/>
        <w:ind w:firstLine="274"/>
        <w:jc w:val="center"/>
        <w:rPr>
          <w:lang w:val="en-US"/>
        </w:rPr>
      </w:pPr>
      <w:r w:rsidRPr="00931280">
        <w:rPr>
          <w:b/>
          <w:bCs/>
          <w:lang w:val="en-US"/>
        </w:rPr>
        <w:t>Figure 2</w:t>
      </w:r>
      <w:r w:rsidRPr="00931280">
        <w:rPr>
          <w:lang w:val="en-US"/>
        </w:rPr>
        <w:t xml:space="preserve"> PBV ratio of the financial sector in 2020-2023</w:t>
      </w:r>
    </w:p>
    <w:p w14:paraId="1A29F28F" w14:textId="79891E0D" w:rsidR="00EC786D" w:rsidRPr="00931280" w:rsidRDefault="00C56918" w:rsidP="00EC786D">
      <w:pPr>
        <w:spacing w:after="0" w:line="240" w:lineRule="auto"/>
        <w:ind w:firstLine="274"/>
        <w:jc w:val="both"/>
        <w:rPr>
          <w:lang w:val="en-US"/>
        </w:rPr>
      </w:pPr>
      <w:r w:rsidRPr="00931280">
        <w:rPr>
          <w:lang w:val="en-US"/>
        </w:rPr>
        <w:t>From the data recorded on the I</w:t>
      </w:r>
      <w:r w:rsidR="00B41A97" w:rsidRPr="00931280">
        <w:rPr>
          <w:lang w:val="en-US"/>
        </w:rPr>
        <w:t>DX</w:t>
      </w:r>
      <w:r w:rsidRPr="00931280">
        <w:rPr>
          <w:lang w:val="en-US"/>
        </w:rPr>
        <w:t xml:space="preserve"> in 2020-2023 above, the PBV ratio in the financial sector has an average value of&gt; 1 which refers to companies that have a higher value than their book value. It is shown that in the 2020-2023 period PBV in the financial sector continued to decline. This condition worsened with the decline in the Composite Stock Price Index (JCI) in trading on the IDX</w:t>
      </w:r>
      <w:r w:rsidR="00701088">
        <w:rPr>
          <w:lang w:val="en-US"/>
        </w:rPr>
        <w:t xml:space="preserve"> </w:t>
      </w:r>
      <w:r w:rsidRPr="00931280">
        <w:rPr>
          <w:lang w:val="en-US"/>
        </w:rPr>
        <w:t>by 0.56 percent at the level of 6,674.48 (Bprtaruna.com, 2023). Based on these conditions, there is a phenomenon gap that contradicts signal theory where information about the capitalization and impact of the financial sector to investors is not enough to provide a positive signal to increase firm value.</w:t>
      </w:r>
    </w:p>
    <w:p w14:paraId="68F5FA7B" w14:textId="77777777" w:rsidR="00F87C2E" w:rsidRPr="00931280" w:rsidRDefault="00F87C2E" w:rsidP="00A34140">
      <w:pPr>
        <w:spacing w:after="0" w:line="240" w:lineRule="auto"/>
        <w:ind w:firstLine="274"/>
        <w:jc w:val="both"/>
        <w:rPr>
          <w:lang w:val="en-US"/>
        </w:rPr>
      </w:pPr>
      <w:r w:rsidRPr="00931280">
        <w:rPr>
          <w:lang w:val="en-US"/>
        </w:rPr>
        <w:t>Signal theory by Michael Spence (1973), states that good businesses typically give the public access to clear financial information as an indication that the business is sound and worthy of investment  (Selfiana &amp; Fidiana, 2016). Information about this financial performance is obtained from the final results in a financial report (Harinurdin, 2023). The connection between stakeholders and corporate reputation simultaneously has a common signal that leads positively to the company (Aqueveque, 2005). With a positive company value, it will encourage a perception of good performance so it is expected that investors will invest in these shares (Harinurdin, 2023). Several factors affecting the company value include investment decisions, company growth, ratio of company profit and dividend policy (Atmaja, 2008).</w:t>
      </w:r>
    </w:p>
    <w:p w14:paraId="20E19414" w14:textId="77777777" w:rsidR="00F87C2E" w:rsidRPr="00931280" w:rsidRDefault="00F87C2E" w:rsidP="00A34140">
      <w:pPr>
        <w:spacing w:after="0" w:line="240" w:lineRule="auto"/>
        <w:ind w:firstLine="274"/>
        <w:jc w:val="both"/>
        <w:rPr>
          <w:lang w:val="en-US"/>
        </w:rPr>
      </w:pPr>
      <w:r w:rsidRPr="00931280">
        <w:rPr>
          <w:lang w:val="en-US"/>
        </w:rPr>
        <w:t>The relationship among Company's assessment and company's value can be influenced by several factors, one of which is the Investment Opportunity Cost (IOS) (Dharmawan &amp; Riza, 2019). Kallapur &amp; Trombley (1999), state that IOS determines the company's perspective which will provide an overview of future prospects so that the more choices the greater the benefits. Empirical research from several researchers states that IOS has a positive or one-way correlation with firm value as evidenced by research from Khoeriyah (2020), Afridi et al. (2022),  Dharmawan &amp; Riza (2019), and Ariyanti et al. (2022), which calculate the value of IOS from MVBVA. However, a research gap was found where Anggraini &amp; Yan Nyale (2022), stated a negative relationship as evidenced by the t-test results which were less than 1.69. This negative relationship is also supported by Chabachib et al. (2020), who states the same thing. This condition shows the inconsistency of these factors.</w:t>
      </w:r>
    </w:p>
    <w:p w14:paraId="0DBB10E7" w14:textId="77777777" w:rsidR="00F87C2E" w:rsidRPr="00931280" w:rsidRDefault="00F87C2E" w:rsidP="00A34140">
      <w:pPr>
        <w:spacing w:after="0" w:line="240" w:lineRule="auto"/>
        <w:ind w:firstLine="274"/>
        <w:jc w:val="both"/>
        <w:rPr>
          <w:lang w:val="en-US"/>
        </w:rPr>
      </w:pPr>
    </w:p>
    <w:p w14:paraId="49A7E474" w14:textId="08FA8488" w:rsidR="00A34140" w:rsidRPr="00931280" w:rsidRDefault="00A34140" w:rsidP="00A34140">
      <w:pPr>
        <w:spacing w:after="0" w:line="240" w:lineRule="auto"/>
        <w:ind w:firstLine="274"/>
        <w:jc w:val="both"/>
        <w:rPr>
          <w:lang w:val="en-US"/>
        </w:rPr>
      </w:pPr>
      <w:r w:rsidRPr="00931280">
        <w:rPr>
          <w:lang w:val="en-US"/>
        </w:rPr>
        <w:lastRenderedPageBreak/>
        <w:t>Growing companies can also be an indicator in estimating its performance in order to heighten company worth (Prastyatini et al., 2024). The variable growth of this company is measured through growth that describes changes in company assets in a certain period (Ariyanti et al., 2022). This asset growth will give a signal to external and internal parties with the hope that it is directly proportional to the company's value (Dhani &amp; Utama, 2017). Previous research that states a positive relationship is Ariyanti et al. (2022), found that CG and firm value reciprocally influence.</w:t>
      </w:r>
    </w:p>
    <w:p w14:paraId="3F59E82E" w14:textId="61544C26" w:rsidR="00A34140" w:rsidRPr="00931280" w:rsidRDefault="00A34140" w:rsidP="00A34140">
      <w:pPr>
        <w:spacing w:after="0" w:line="240" w:lineRule="auto"/>
        <w:ind w:firstLine="274"/>
        <w:jc w:val="both"/>
        <w:rPr>
          <w:lang w:val="en-US"/>
        </w:rPr>
      </w:pPr>
      <w:r w:rsidRPr="00931280">
        <w:rPr>
          <w:lang w:val="en-US"/>
        </w:rPr>
        <w:t>In addition, company value is also measured through the profitability ratio which describes its performance that is considered good if they are able to achieve maximum profit (Wulanningsih &amp; Agustin, 2020). Maximum profit reflects that the company can manage its resources and wealth effectively and efficiently (Suwardika &amp; Mustanda, 2017). In addition, Nikmah &amp; Amanah (2019), state that if the higher company's profit is obtained, it’s in accordance with increment in stock prices which serve a strong signal for investors on company worth.</w:t>
      </w:r>
    </w:p>
    <w:p w14:paraId="5D54789A" w14:textId="46AA9E43" w:rsidR="00A34140" w:rsidRPr="00931280" w:rsidRDefault="00C5513B" w:rsidP="00A34140">
      <w:pPr>
        <w:spacing w:after="0" w:line="240" w:lineRule="auto"/>
        <w:ind w:firstLine="274"/>
        <w:jc w:val="both"/>
        <w:rPr>
          <w:lang w:val="en-US"/>
        </w:rPr>
      </w:pPr>
      <w:r>
        <w:rPr>
          <w:lang w:val="en-US"/>
        </w:rPr>
        <w:t xml:space="preserve">Dividend </w:t>
      </w:r>
      <w:r w:rsidR="00A34140" w:rsidRPr="00931280">
        <w:rPr>
          <w:lang w:val="en-US"/>
        </w:rPr>
        <w:t xml:space="preserve">policy as a moderator to determine whether dividend distribution can establish or diminish relationship between independent variables on firm value. This policy refers to a form of corporate decision through </w:t>
      </w:r>
      <w:r>
        <w:rPr>
          <w:lang w:val="en-US"/>
        </w:rPr>
        <w:t>dividend</w:t>
      </w:r>
      <w:r w:rsidR="00A34140" w:rsidRPr="00931280">
        <w:rPr>
          <w:lang w:val="en-US"/>
        </w:rPr>
        <w:t xml:space="preserve"> distribution </w:t>
      </w:r>
      <w:r>
        <w:rPr>
          <w:lang w:val="en-US"/>
        </w:rPr>
        <w:t>that</w:t>
      </w:r>
      <w:r w:rsidR="00A34140" w:rsidRPr="00931280">
        <w:rPr>
          <w:lang w:val="en-US"/>
        </w:rPr>
        <w:t xml:space="preserve"> can be used for future investment (Rahmatina et al., 2022). Dividend policy is also a form of return to shareholders with an important role in influencing firm value (Hidayat et al., 2022). This supports the research of Ilyas &amp; Hertati (2022),</w:t>
      </w:r>
      <w:r w:rsidR="00395117" w:rsidRPr="00931280">
        <w:rPr>
          <w:lang w:val="en-US"/>
        </w:rPr>
        <w:t xml:space="preserve"> </w:t>
      </w:r>
      <w:r w:rsidR="00A34140" w:rsidRPr="00931280">
        <w:rPr>
          <w:lang w:val="en-US"/>
        </w:rPr>
        <w:t>who state</w:t>
      </w:r>
      <w:r>
        <w:rPr>
          <w:lang w:val="en-US"/>
        </w:rPr>
        <w:t>s</w:t>
      </w:r>
      <w:r w:rsidR="00A34140" w:rsidRPr="00931280">
        <w:rPr>
          <w:lang w:val="en-US"/>
        </w:rPr>
        <w:t xml:space="preserve"> that there is a positive relationship that is directly proportional between dividend policy and firm value. In signal theory, firms, especially managers, </w:t>
      </w:r>
      <w:r>
        <w:rPr>
          <w:lang w:val="en-US"/>
        </w:rPr>
        <w:t>g</w:t>
      </w:r>
      <w:r w:rsidR="006C13EC">
        <w:rPr>
          <w:lang w:val="en-US"/>
        </w:rPr>
        <w:t>e</w:t>
      </w:r>
      <w:r>
        <w:rPr>
          <w:lang w:val="en-US"/>
        </w:rPr>
        <w:t>t</w:t>
      </w:r>
      <w:r w:rsidR="00A34140" w:rsidRPr="00931280">
        <w:rPr>
          <w:lang w:val="en-US"/>
        </w:rPr>
        <w:t xml:space="preserve"> </w:t>
      </w:r>
      <w:r w:rsidR="00175090">
        <w:rPr>
          <w:lang w:val="en-US"/>
        </w:rPr>
        <w:t xml:space="preserve">optimal data about </w:t>
      </w:r>
      <w:r w:rsidR="00A34140" w:rsidRPr="00931280">
        <w:rPr>
          <w:lang w:val="en-US"/>
        </w:rPr>
        <w:t xml:space="preserve">company's prospects and operations that describe the company's performance and value.  </w:t>
      </w:r>
      <w:r w:rsidR="006C13EC" w:rsidRPr="006C13EC">
        <w:rPr>
          <w:lang w:val="en-US"/>
        </w:rPr>
        <w:t>However, another Theory called “Dividend Irrelevance Theory” by Miller and Modigliani (1961) states that investors do not sufficiently focus on the amounts of dividends so dividend policy doesn’t have significant implications for the company value intrinsic (Dasman et al., 2023).</w:t>
      </w:r>
      <w:r w:rsidR="006C13EC">
        <w:rPr>
          <w:lang w:val="en-US"/>
        </w:rPr>
        <w:t xml:space="preserve"> </w:t>
      </w:r>
      <w:r w:rsidR="00A34140" w:rsidRPr="00931280">
        <w:rPr>
          <w:lang w:val="en-US"/>
        </w:rPr>
        <w:t>The findings of these theoretical differences, it is the basis for the dividend policy variable to be used as moderation in influencing the relationship between other indicators and measures of firm value.</w:t>
      </w:r>
    </w:p>
    <w:p w14:paraId="162D7B74" w14:textId="4E01B3B6" w:rsidR="00A34140" w:rsidRPr="00931280" w:rsidRDefault="006C13EC" w:rsidP="00CB2D51">
      <w:pPr>
        <w:spacing w:after="0" w:line="240" w:lineRule="auto"/>
        <w:ind w:firstLine="274"/>
        <w:jc w:val="both"/>
        <w:rPr>
          <w:lang w:val="en-US"/>
        </w:rPr>
      </w:pPr>
      <w:r w:rsidRPr="006C13EC">
        <w:rPr>
          <w:lang w:val="en-US"/>
        </w:rPr>
        <w:t>Referring to previous studies and theory examines IOS, CG, and ratio of profit influence on firm value with dividend policy that moderate it in the 2020-2023 period, especially in the financial sector</w:t>
      </w:r>
      <w:r w:rsidR="00A34140" w:rsidRPr="00931280">
        <w:rPr>
          <w:lang w:val="en-US"/>
        </w:rPr>
        <w:t>. By replicating the research of Ariyani et al. (2024), with a similar title, researchers add one company growth variable as a renewal where the application of company growth information well responded by investor so that it can increase stock prices which also affect company value (Chabachib et al., 2020). Similar findings are supported by Ariyanti et al. (2022), stating that their research is positively significant to the company's value. However, some differences are found in the Wulanningsih &amp; Agustin’s (2020) explain that company's growth is not consistent with the direction of the hypothesis and it’s unable to significantly prove this factor. Hopefully, based on this study, it helps company owners and management to always prioritise IOS, company growth, and profitability on firm value and become the basis for investor consideration in seeing company value in investing.</w:t>
      </w:r>
    </w:p>
    <w:p w14:paraId="42CCEEA9" w14:textId="4AEC9E70" w:rsidR="005B34FB" w:rsidRPr="00931280" w:rsidRDefault="00205458" w:rsidP="00205458">
      <w:pPr>
        <w:rPr>
          <w:lang w:val="en-US"/>
        </w:rPr>
      </w:pPr>
      <w:r w:rsidRPr="00931280">
        <w:rPr>
          <w:lang w:val="en-US"/>
        </w:rPr>
        <w:br w:type="page"/>
      </w:r>
    </w:p>
    <w:p w14:paraId="5B471876" w14:textId="6D36C4E3" w:rsidR="004420F0" w:rsidRPr="00931280" w:rsidRDefault="00E211AA" w:rsidP="00CB2D51">
      <w:pPr>
        <w:spacing w:after="0" w:line="240" w:lineRule="auto"/>
        <w:jc w:val="both"/>
        <w:rPr>
          <w:b/>
          <w:lang w:val="en-US"/>
        </w:rPr>
      </w:pPr>
      <w:r w:rsidRPr="00931280">
        <w:rPr>
          <w:b/>
          <w:lang w:val="en-US"/>
        </w:rPr>
        <w:lastRenderedPageBreak/>
        <w:t xml:space="preserve">2. </w:t>
      </w:r>
      <w:r w:rsidR="000C600E" w:rsidRPr="00931280">
        <w:rPr>
          <w:b/>
          <w:lang w:val="en-US"/>
        </w:rPr>
        <w:t>METHODOLOGY</w:t>
      </w:r>
    </w:p>
    <w:p w14:paraId="51825576" w14:textId="0F6024D8" w:rsidR="004420F0" w:rsidRPr="00931280" w:rsidRDefault="000C600E" w:rsidP="00CB2D51">
      <w:pPr>
        <w:spacing w:after="0" w:line="240" w:lineRule="auto"/>
        <w:jc w:val="both"/>
        <w:rPr>
          <w:b/>
          <w:lang w:val="en-US"/>
        </w:rPr>
      </w:pPr>
      <w:r w:rsidRPr="00931280">
        <w:rPr>
          <w:b/>
          <w:lang w:val="en-US"/>
        </w:rPr>
        <w:t xml:space="preserve">     Sample Data</w:t>
      </w:r>
    </w:p>
    <w:p w14:paraId="330A35B3" w14:textId="30B84B0C" w:rsidR="004420F0" w:rsidRPr="00931280" w:rsidRDefault="000C600E" w:rsidP="00CB2D51">
      <w:pPr>
        <w:spacing w:after="0" w:line="240" w:lineRule="auto"/>
        <w:ind w:firstLine="274"/>
        <w:jc w:val="both"/>
        <w:rPr>
          <w:lang w:val="en-US"/>
        </w:rPr>
      </w:pPr>
      <w:r w:rsidRPr="00931280">
        <w:rPr>
          <w:lang w:val="en-US"/>
        </w:rPr>
        <w:t xml:space="preserve">This research uses quantitative methods that use secondary data using documentation techniques. Documentation technique is used to collect relevant data and information, especially secondary data from written sources, both in the form of report notes and documented sources. </w:t>
      </w:r>
      <w:r w:rsidR="002A3917" w:rsidRPr="00931280">
        <w:rPr>
          <w:lang w:val="en-US"/>
        </w:rPr>
        <w:t>The</w:t>
      </w:r>
      <w:r w:rsidRPr="00931280">
        <w:rPr>
          <w:lang w:val="en-US"/>
        </w:rPr>
        <w:t xml:space="preserve"> data comes from </w:t>
      </w:r>
      <w:r w:rsidR="003641DC">
        <w:rPr>
          <w:lang w:val="en-US"/>
        </w:rPr>
        <w:t xml:space="preserve">IDX </w:t>
      </w:r>
      <w:r w:rsidRPr="00931280">
        <w:rPr>
          <w:lang w:val="en-US"/>
        </w:rPr>
        <w:t xml:space="preserve">the annual report publication </w:t>
      </w:r>
      <w:r w:rsidR="002A3917" w:rsidRPr="00931280">
        <w:rPr>
          <w:lang w:val="en-US"/>
        </w:rPr>
        <w:t>from</w:t>
      </w:r>
      <w:r w:rsidRPr="00931280">
        <w:rPr>
          <w:lang w:val="en-US"/>
        </w:rPr>
        <w:t xml:space="preserve"> 2020-2024 period with a population consisting of financial </w:t>
      </w:r>
      <w:r w:rsidR="006A1C9E">
        <w:rPr>
          <w:lang w:val="en-US"/>
        </w:rPr>
        <w:t xml:space="preserve">industries </w:t>
      </w:r>
      <w:r w:rsidRPr="00931280">
        <w:rPr>
          <w:lang w:val="en-US"/>
        </w:rPr>
        <w:t xml:space="preserve">sectors </w:t>
      </w:r>
      <w:r w:rsidR="006A1C9E">
        <w:rPr>
          <w:lang w:val="en-US"/>
        </w:rPr>
        <w:t xml:space="preserve">listed </w:t>
      </w:r>
      <w:r w:rsidRPr="00931280">
        <w:rPr>
          <w:lang w:val="en-US"/>
        </w:rPr>
        <w:t xml:space="preserve">and consistent on IDX.  It uses purposive sampling by selecting certain types of samples that meet </w:t>
      </w:r>
      <w:r w:rsidR="0071466B">
        <w:rPr>
          <w:lang w:val="en-US"/>
        </w:rPr>
        <w:t xml:space="preserve">researcher </w:t>
      </w:r>
      <w:r w:rsidRPr="00931280">
        <w:rPr>
          <w:lang w:val="en-US"/>
        </w:rPr>
        <w:t>criteria</w:t>
      </w:r>
      <w:r w:rsidR="0071466B">
        <w:rPr>
          <w:lang w:val="en-US"/>
        </w:rPr>
        <w:t xml:space="preserve"> (</w:t>
      </w:r>
      <w:r w:rsidRPr="00931280">
        <w:rPr>
          <w:lang w:val="en-US"/>
        </w:rPr>
        <w:t>Sekaran &amp; Bougie, 2017).  The criteria sample are:</w:t>
      </w:r>
    </w:p>
    <w:p w14:paraId="756500C8" w14:textId="2A76A6D7" w:rsidR="000C600E" w:rsidRPr="00931280" w:rsidRDefault="000C600E" w:rsidP="000C600E">
      <w:pPr>
        <w:spacing w:after="0" w:line="240" w:lineRule="auto"/>
        <w:ind w:firstLine="274"/>
        <w:jc w:val="center"/>
        <w:rPr>
          <w:lang w:val="id-ID"/>
        </w:rPr>
      </w:pPr>
      <w:r w:rsidRPr="00931280">
        <w:rPr>
          <w:b/>
          <w:bCs/>
          <w:lang w:val="id-ID"/>
        </w:rPr>
        <w:t>Table 1</w:t>
      </w:r>
      <w:r w:rsidRPr="00931280">
        <w:rPr>
          <w:lang w:val="id-ID"/>
        </w:rPr>
        <w:t xml:space="preserve"> Sample Criteria Used In The Study</w:t>
      </w:r>
    </w:p>
    <w:tbl>
      <w:tblPr>
        <w:tblW w:w="7895" w:type="dxa"/>
        <w:jc w:val="center"/>
        <w:tblLayout w:type="fixed"/>
        <w:tblLook w:val="04A0" w:firstRow="1" w:lastRow="0" w:firstColumn="1" w:lastColumn="0" w:noHBand="0" w:noVBand="1"/>
      </w:tblPr>
      <w:tblGrid>
        <w:gridCol w:w="6620"/>
        <w:gridCol w:w="1275"/>
      </w:tblGrid>
      <w:tr w:rsidR="000C600E" w:rsidRPr="00931280" w14:paraId="456A2AA3" w14:textId="77777777" w:rsidTr="000C600E">
        <w:trPr>
          <w:trHeight w:val="300"/>
          <w:jc w:val="center"/>
        </w:trPr>
        <w:tc>
          <w:tcPr>
            <w:tcW w:w="6620" w:type="dxa"/>
            <w:tcBorders>
              <w:top w:val="single" w:sz="4" w:space="0" w:color="000000"/>
              <w:left w:val="nil"/>
              <w:bottom w:val="single" w:sz="4" w:space="0" w:color="000000"/>
              <w:right w:val="nil"/>
            </w:tcBorders>
            <w:shd w:val="clear" w:color="auto" w:fill="auto"/>
            <w:vAlign w:val="bottom"/>
          </w:tcPr>
          <w:p w14:paraId="14D904D9" w14:textId="390A2361" w:rsidR="000C600E" w:rsidRPr="00931280" w:rsidRDefault="000C600E" w:rsidP="000C600E">
            <w:pPr>
              <w:spacing w:after="0" w:line="240" w:lineRule="auto"/>
              <w:ind w:firstLine="274"/>
              <w:jc w:val="center"/>
              <w:rPr>
                <w:b/>
                <w:lang w:val="id-ID"/>
              </w:rPr>
            </w:pPr>
            <w:r w:rsidRPr="00931280">
              <w:rPr>
                <w:b/>
                <w:lang w:val="id-ID"/>
              </w:rPr>
              <w:t>Criteria Description</w:t>
            </w:r>
          </w:p>
        </w:tc>
        <w:tc>
          <w:tcPr>
            <w:tcW w:w="1275" w:type="dxa"/>
            <w:tcBorders>
              <w:top w:val="single" w:sz="4" w:space="0" w:color="000000"/>
              <w:left w:val="nil"/>
              <w:bottom w:val="single" w:sz="4" w:space="0" w:color="000000"/>
              <w:right w:val="nil"/>
            </w:tcBorders>
            <w:shd w:val="clear" w:color="auto" w:fill="auto"/>
            <w:vAlign w:val="center"/>
          </w:tcPr>
          <w:p w14:paraId="649BBB37" w14:textId="35ECE532" w:rsidR="000C600E" w:rsidRPr="008D1BD3" w:rsidRDefault="008D1BD3" w:rsidP="000C600E">
            <w:pPr>
              <w:spacing w:after="0" w:line="240" w:lineRule="auto"/>
              <w:jc w:val="center"/>
              <w:rPr>
                <w:b/>
                <w:lang w:val="en-US"/>
              </w:rPr>
            </w:pPr>
            <w:r>
              <w:rPr>
                <w:b/>
                <w:lang w:val="en-US"/>
              </w:rPr>
              <w:t>Amount</w:t>
            </w:r>
          </w:p>
        </w:tc>
      </w:tr>
      <w:tr w:rsidR="000C600E" w:rsidRPr="00931280" w14:paraId="48348086" w14:textId="77777777" w:rsidTr="000C600E">
        <w:trPr>
          <w:trHeight w:val="300"/>
          <w:jc w:val="center"/>
        </w:trPr>
        <w:tc>
          <w:tcPr>
            <w:tcW w:w="6620" w:type="dxa"/>
            <w:tcBorders>
              <w:top w:val="nil"/>
              <w:left w:val="nil"/>
              <w:bottom w:val="nil"/>
              <w:right w:val="nil"/>
            </w:tcBorders>
            <w:shd w:val="clear" w:color="auto" w:fill="auto"/>
            <w:vAlign w:val="bottom"/>
          </w:tcPr>
          <w:p w14:paraId="3544A97F" w14:textId="4DFCD0E6" w:rsidR="000C600E" w:rsidRPr="00931280" w:rsidRDefault="000C600E" w:rsidP="000C600E">
            <w:pPr>
              <w:spacing w:after="0" w:line="240" w:lineRule="auto"/>
              <w:jc w:val="both"/>
              <w:rPr>
                <w:lang w:val="id-ID"/>
              </w:rPr>
            </w:pPr>
            <w:r w:rsidRPr="00931280">
              <w:rPr>
                <w:lang w:val="id-ID"/>
              </w:rPr>
              <w:t>Companies from the financial industry sector that join and detect on IDX consistently during 2020-2023.</w:t>
            </w:r>
          </w:p>
        </w:tc>
        <w:tc>
          <w:tcPr>
            <w:tcW w:w="1275" w:type="dxa"/>
            <w:tcBorders>
              <w:top w:val="nil"/>
              <w:left w:val="nil"/>
              <w:bottom w:val="nil"/>
              <w:right w:val="nil"/>
            </w:tcBorders>
            <w:shd w:val="clear" w:color="auto" w:fill="auto"/>
          </w:tcPr>
          <w:p w14:paraId="26272EA0" w14:textId="77577D29" w:rsidR="000C600E" w:rsidRPr="00931280" w:rsidRDefault="000C600E" w:rsidP="000C600E">
            <w:pPr>
              <w:spacing w:after="0" w:line="240" w:lineRule="auto"/>
              <w:jc w:val="center"/>
              <w:rPr>
                <w:lang w:val="en-US"/>
              </w:rPr>
            </w:pPr>
            <w:r w:rsidRPr="00931280">
              <w:rPr>
                <w:lang w:val="en-US"/>
              </w:rPr>
              <w:t>104</w:t>
            </w:r>
          </w:p>
        </w:tc>
      </w:tr>
      <w:tr w:rsidR="000C600E" w:rsidRPr="00931280" w14:paraId="55F151DB" w14:textId="77777777" w:rsidTr="000C600E">
        <w:trPr>
          <w:trHeight w:val="300"/>
          <w:jc w:val="center"/>
        </w:trPr>
        <w:tc>
          <w:tcPr>
            <w:tcW w:w="6620" w:type="dxa"/>
            <w:tcBorders>
              <w:top w:val="nil"/>
              <w:left w:val="nil"/>
              <w:right w:val="nil"/>
            </w:tcBorders>
            <w:shd w:val="clear" w:color="auto" w:fill="auto"/>
            <w:vAlign w:val="bottom"/>
          </w:tcPr>
          <w:p w14:paraId="4C911C95" w14:textId="7E92CDE6" w:rsidR="000C600E" w:rsidRPr="00931280" w:rsidRDefault="000C600E" w:rsidP="000C600E">
            <w:pPr>
              <w:spacing w:after="0" w:line="240" w:lineRule="auto"/>
              <w:jc w:val="both"/>
              <w:rPr>
                <w:lang w:val="id-ID"/>
              </w:rPr>
            </w:pPr>
            <w:r w:rsidRPr="00931280">
              <w:rPr>
                <w:lang w:val="id-ID"/>
              </w:rPr>
              <w:t>Companies from financial industry sector that do not</w:t>
            </w:r>
            <w:r w:rsidR="006A1C9E">
              <w:rPr>
                <w:lang w:val="en-US"/>
              </w:rPr>
              <w:t xml:space="preserve"> </w:t>
            </w:r>
            <w:r w:rsidRPr="00931280">
              <w:rPr>
                <w:lang w:val="id-ID"/>
              </w:rPr>
              <w:t>publish and share</w:t>
            </w:r>
            <w:r w:rsidR="006A1C9E">
              <w:rPr>
                <w:lang w:val="en-US"/>
              </w:rPr>
              <w:t xml:space="preserve"> consistently</w:t>
            </w:r>
            <w:r w:rsidRPr="00931280">
              <w:rPr>
                <w:lang w:val="id-ID"/>
              </w:rPr>
              <w:t xml:space="preserve"> annual financial reports during 2020-2023</w:t>
            </w:r>
          </w:p>
        </w:tc>
        <w:tc>
          <w:tcPr>
            <w:tcW w:w="1275" w:type="dxa"/>
            <w:tcBorders>
              <w:top w:val="nil"/>
              <w:left w:val="nil"/>
              <w:right w:val="nil"/>
            </w:tcBorders>
            <w:shd w:val="clear" w:color="auto" w:fill="auto"/>
          </w:tcPr>
          <w:p w14:paraId="76026BDF" w14:textId="6705F104" w:rsidR="000C600E" w:rsidRPr="00931280" w:rsidRDefault="000C600E" w:rsidP="000C600E">
            <w:pPr>
              <w:spacing w:after="0" w:line="240" w:lineRule="auto"/>
              <w:jc w:val="center"/>
              <w:rPr>
                <w:lang w:val="en-US"/>
              </w:rPr>
            </w:pPr>
            <w:r w:rsidRPr="00931280">
              <w:rPr>
                <w:lang w:val="en-US"/>
              </w:rPr>
              <w:t>(4)</w:t>
            </w:r>
          </w:p>
        </w:tc>
      </w:tr>
      <w:tr w:rsidR="000C600E" w:rsidRPr="00931280" w14:paraId="10F02672" w14:textId="77777777" w:rsidTr="000C600E">
        <w:trPr>
          <w:trHeight w:val="300"/>
          <w:jc w:val="center"/>
        </w:trPr>
        <w:tc>
          <w:tcPr>
            <w:tcW w:w="6620" w:type="dxa"/>
            <w:tcBorders>
              <w:top w:val="nil"/>
              <w:left w:val="nil"/>
              <w:bottom w:val="single" w:sz="4" w:space="0" w:color="auto"/>
              <w:right w:val="nil"/>
            </w:tcBorders>
            <w:shd w:val="clear" w:color="auto" w:fill="auto"/>
            <w:vAlign w:val="bottom"/>
          </w:tcPr>
          <w:p w14:paraId="562C7DC6" w14:textId="3194835C" w:rsidR="000C600E" w:rsidRPr="00931280" w:rsidRDefault="000C600E" w:rsidP="000C600E">
            <w:pPr>
              <w:spacing w:after="0" w:line="240" w:lineRule="auto"/>
              <w:jc w:val="both"/>
              <w:rPr>
                <w:lang w:val="id-ID"/>
              </w:rPr>
            </w:pPr>
            <w:r w:rsidRPr="00931280">
              <w:rPr>
                <w:lang w:val="id-ID"/>
              </w:rPr>
              <w:t>Companies from the financial industry sector that do not distribute dividends consistently during the period 2020-2023</w:t>
            </w:r>
          </w:p>
        </w:tc>
        <w:tc>
          <w:tcPr>
            <w:tcW w:w="1275" w:type="dxa"/>
            <w:tcBorders>
              <w:top w:val="nil"/>
              <w:left w:val="nil"/>
              <w:bottom w:val="single" w:sz="4" w:space="0" w:color="auto"/>
              <w:right w:val="nil"/>
            </w:tcBorders>
            <w:shd w:val="clear" w:color="auto" w:fill="auto"/>
          </w:tcPr>
          <w:p w14:paraId="03E20540" w14:textId="7D69F48E" w:rsidR="000C600E" w:rsidRPr="00931280" w:rsidRDefault="000C600E" w:rsidP="000C600E">
            <w:pPr>
              <w:spacing w:after="0" w:line="240" w:lineRule="auto"/>
              <w:jc w:val="center"/>
              <w:rPr>
                <w:lang w:val="en-US"/>
              </w:rPr>
            </w:pPr>
            <w:r w:rsidRPr="00931280">
              <w:rPr>
                <w:lang w:val="en-US"/>
              </w:rPr>
              <w:t>(74)</w:t>
            </w:r>
          </w:p>
        </w:tc>
      </w:tr>
      <w:tr w:rsidR="000C600E" w:rsidRPr="00931280" w14:paraId="71FF817D" w14:textId="77777777" w:rsidTr="003310FF">
        <w:trPr>
          <w:trHeight w:val="300"/>
          <w:jc w:val="center"/>
        </w:trPr>
        <w:tc>
          <w:tcPr>
            <w:tcW w:w="6620" w:type="dxa"/>
            <w:tcBorders>
              <w:top w:val="single" w:sz="4" w:space="0" w:color="auto"/>
              <w:left w:val="nil"/>
              <w:bottom w:val="single" w:sz="4" w:space="0" w:color="000000"/>
              <w:right w:val="nil"/>
            </w:tcBorders>
            <w:shd w:val="clear" w:color="auto" w:fill="auto"/>
            <w:vAlign w:val="bottom"/>
          </w:tcPr>
          <w:p w14:paraId="4A06337F" w14:textId="7A3D39D3" w:rsidR="000C600E" w:rsidRPr="00931280" w:rsidRDefault="000C600E" w:rsidP="000C600E">
            <w:pPr>
              <w:spacing w:after="0" w:line="240" w:lineRule="auto"/>
              <w:jc w:val="both"/>
              <w:rPr>
                <w:b/>
                <w:bCs/>
                <w:lang w:val="id-ID"/>
              </w:rPr>
            </w:pPr>
            <w:r w:rsidRPr="00931280">
              <w:rPr>
                <w:b/>
                <w:bCs/>
                <w:lang w:val="id-ID"/>
              </w:rPr>
              <w:t>Selected Sample</w:t>
            </w:r>
          </w:p>
        </w:tc>
        <w:tc>
          <w:tcPr>
            <w:tcW w:w="1275" w:type="dxa"/>
            <w:tcBorders>
              <w:top w:val="single" w:sz="4" w:space="0" w:color="auto"/>
              <w:left w:val="nil"/>
              <w:bottom w:val="single" w:sz="4" w:space="0" w:color="000000"/>
              <w:right w:val="nil"/>
            </w:tcBorders>
            <w:shd w:val="clear" w:color="auto" w:fill="auto"/>
            <w:vAlign w:val="center"/>
          </w:tcPr>
          <w:p w14:paraId="6AF271AA" w14:textId="7D52C5E0" w:rsidR="000C600E" w:rsidRPr="00931280" w:rsidRDefault="003310FF" w:rsidP="003310FF">
            <w:pPr>
              <w:spacing w:after="0" w:line="240" w:lineRule="auto"/>
              <w:rPr>
                <w:lang w:val="en-US"/>
              </w:rPr>
            </w:pPr>
            <w:r w:rsidRPr="00931280">
              <w:rPr>
                <w:lang w:val="en-US"/>
              </w:rPr>
              <w:t xml:space="preserve">       </w:t>
            </w:r>
            <w:r w:rsidR="000C600E" w:rsidRPr="00931280">
              <w:rPr>
                <w:lang w:val="en-US"/>
              </w:rPr>
              <w:t>27</w:t>
            </w:r>
          </w:p>
        </w:tc>
      </w:tr>
    </w:tbl>
    <w:p w14:paraId="3A2541F2" w14:textId="24EB60B2" w:rsidR="00980B3F" w:rsidRPr="00931280" w:rsidRDefault="003310FF" w:rsidP="003310FF">
      <w:pPr>
        <w:spacing w:line="240" w:lineRule="auto"/>
        <w:ind w:firstLine="284"/>
        <w:jc w:val="both"/>
        <w:rPr>
          <w:lang w:val="en-US"/>
        </w:rPr>
      </w:pPr>
      <w:r w:rsidRPr="00931280">
        <w:rPr>
          <w:lang w:val="en-US"/>
        </w:rPr>
        <w:t>A panel data regression approach is used to combine data from numerous companies and time series data that have been collected throughout time (cross-section) (Gujarati, 2003). The purpose of this panel data is to comprehend how one variable in a model relates to another. Based on the sample criteria, here the Financial Sector for the 2020-2024 period obtained 27 companies:</w:t>
      </w:r>
    </w:p>
    <w:p w14:paraId="581EC928" w14:textId="77777777" w:rsidR="003310FF" w:rsidRPr="00931280" w:rsidRDefault="003310FF" w:rsidP="003310FF">
      <w:pPr>
        <w:spacing w:after="0" w:line="240" w:lineRule="auto"/>
        <w:ind w:firstLine="720"/>
        <w:jc w:val="center"/>
        <w:rPr>
          <w:rFonts w:eastAsia="Cambria" w:cs="Cambria"/>
          <w:lang w:eastAsia="en-US"/>
        </w:rPr>
      </w:pPr>
      <w:r w:rsidRPr="00931280">
        <w:rPr>
          <w:rFonts w:eastAsia="Cambria" w:cs="Cambria"/>
          <w:b/>
          <w:lang w:eastAsia="en-US"/>
        </w:rPr>
        <w:t xml:space="preserve">Table 2 </w:t>
      </w:r>
      <w:r w:rsidRPr="00931280">
        <w:rPr>
          <w:rFonts w:eastAsia="Cambria" w:cs="Cambria"/>
          <w:lang w:eastAsia="en-US"/>
        </w:rPr>
        <w:t>Sample of Companies in the Financial Sector</w:t>
      </w:r>
    </w:p>
    <w:tbl>
      <w:tblPr>
        <w:tblW w:w="6585" w:type="dxa"/>
        <w:jc w:val="center"/>
        <w:tblLayout w:type="fixed"/>
        <w:tblLook w:val="0400" w:firstRow="0" w:lastRow="0" w:firstColumn="0" w:lastColumn="0" w:noHBand="0" w:noVBand="1"/>
      </w:tblPr>
      <w:tblGrid>
        <w:gridCol w:w="810"/>
        <w:gridCol w:w="960"/>
        <w:gridCol w:w="600"/>
        <w:gridCol w:w="1080"/>
        <w:gridCol w:w="615"/>
        <w:gridCol w:w="960"/>
        <w:gridCol w:w="600"/>
        <w:gridCol w:w="960"/>
      </w:tblGrid>
      <w:tr w:rsidR="003310FF" w:rsidRPr="00931280" w14:paraId="75B03189" w14:textId="77777777" w:rsidTr="003310FF">
        <w:trPr>
          <w:trHeight w:val="270"/>
          <w:jc w:val="center"/>
        </w:trPr>
        <w:tc>
          <w:tcPr>
            <w:tcW w:w="810" w:type="dxa"/>
            <w:tcBorders>
              <w:top w:val="single" w:sz="4" w:space="0" w:color="000000"/>
              <w:left w:val="nil"/>
              <w:bottom w:val="single" w:sz="4" w:space="0" w:color="000000"/>
              <w:right w:val="single" w:sz="4" w:space="0" w:color="000000"/>
            </w:tcBorders>
            <w:vAlign w:val="bottom"/>
            <w:hideMark/>
          </w:tcPr>
          <w:p w14:paraId="3017E564"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 xml:space="preserve">   No.</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1FC7E959"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Kode</w:t>
            </w:r>
          </w:p>
        </w:tc>
        <w:tc>
          <w:tcPr>
            <w:tcW w:w="600" w:type="dxa"/>
            <w:tcBorders>
              <w:top w:val="single" w:sz="4" w:space="0" w:color="000000"/>
              <w:left w:val="single" w:sz="4" w:space="0" w:color="000000"/>
              <w:bottom w:val="single" w:sz="4" w:space="0" w:color="000000"/>
              <w:right w:val="single" w:sz="4" w:space="0" w:color="000000"/>
            </w:tcBorders>
            <w:vAlign w:val="bottom"/>
            <w:hideMark/>
          </w:tcPr>
          <w:p w14:paraId="534FC1C4"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 xml:space="preserve">No. </w:t>
            </w:r>
          </w:p>
        </w:tc>
        <w:tc>
          <w:tcPr>
            <w:tcW w:w="1080" w:type="dxa"/>
            <w:tcBorders>
              <w:top w:val="single" w:sz="4" w:space="0" w:color="000000"/>
              <w:left w:val="single" w:sz="4" w:space="0" w:color="000000"/>
              <w:bottom w:val="single" w:sz="4" w:space="0" w:color="000000"/>
              <w:right w:val="nil"/>
            </w:tcBorders>
            <w:vAlign w:val="bottom"/>
            <w:hideMark/>
          </w:tcPr>
          <w:p w14:paraId="35C94C27"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Kode</w:t>
            </w:r>
          </w:p>
        </w:tc>
        <w:tc>
          <w:tcPr>
            <w:tcW w:w="615" w:type="dxa"/>
            <w:tcBorders>
              <w:top w:val="single" w:sz="4" w:space="0" w:color="000000"/>
              <w:left w:val="single" w:sz="4" w:space="0" w:color="000000"/>
              <w:bottom w:val="single" w:sz="4" w:space="0" w:color="000000"/>
              <w:right w:val="nil"/>
            </w:tcBorders>
            <w:vAlign w:val="bottom"/>
            <w:hideMark/>
          </w:tcPr>
          <w:p w14:paraId="067B46BE"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No.</w:t>
            </w:r>
          </w:p>
        </w:tc>
        <w:tc>
          <w:tcPr>
            <w:tcW w:w="960" w:type="dxa"/>
            <w:tcBorders>
              <w:top w:val="single" w:sz="4" w:space="0" w:color="000000"/>
              <w:left w:val="single" w:sz="4" w:space="0" w:color="000000"/>
              <w:bottom w:val="single" w:sz="4" w:space="0" w:color="000000"/>
              <w:right w:val="nil"/>
            </w:tcBorders>
            <w:vAlign w:val="bottom"/>
            <w:hideMark/>
          </w:tcPr>
          <w:p w14:paraId="4255A0F1"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Kode</w:t>
            </w:r>
          </w:p>
        </w:tc>
        <w:tc>
          <w:tcPr>
            <w:tcW w:w="600" w:type="dxa"/>
            <w:tcBorders>
              <w:top w:val="single" w:sz="4" w:space="0" w:color="000000"/>
              <w:left w:val="single" w:sz="4" w:space="0" w:color="000000"/>
              <w:bottom w:val="single" w:sz="4" w:space="0" w:color="000000"/>
              <w:right w:val="nil"/>
            </w:tcBorders>
            <w:vAlign w:val="bottom"/>
            <w:hideMark/>
          </w:tcPr>
          <w:p w14:paraId="6A0C270C"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No.</w:t>
            </w:r>
          </w:p>
        </w:tc>
        <w:tc>
          <w:tcPr>
            <w:tcW w:w="960" w:type="dxa"/>
            <w:tcBorders>
              <w:top w:val="single" w:sz="4" w:space="0" w:color="000000"/>
              <w:left w:val="single" w:sz="4" w:space="0" w:color="000000"/>
              <w:bottom w:val="single" w:sz="4" w:space="0" w:color="000000"/>
              <w:right w:val="nil"/>
            </w:tcBorders>
            <w:vAlign w:val="bottom"/>
            <w:hideMark/>
          </w:tcPr>
          <w:p w14:paraId="6F42EDF8" w14:textId="77777777" w:rsidR="003310FF" w:rsidRPr="00931280" w:rsidRDefault="003310FF" w:rsidP="003310FF">
            <w:pPr>
              <w:spacing w:after="0" w:line="240" w:lineRule="auto"/>
              <w:jc w:val="center"/>
              <w:rPr>
                <w:rFonts w:eastAsia="Cambria" w:cs="Cambria"/>
                <w:b/>
                <w:lang w:eastAsia="en-US"/>
              </w:rPr>
            </w:pPr>
            <w:r w:rsidRPr="00931280">
              <w:rPr>
                <w:rFonts w:eastAsia="Cambria" w:cs="Cambria"/>
                <w:b/>
                <w:lang w:eastAsia="en-US"/>
              </w:rPr>
              <w:t>Kode</w:t>
            </w:r>
          </w:p>
        </w:tc>
      </w:tr>
      <w:tr w:rsidR="003310FF" w:rsidRPr="00931280" w14:paraId="70820284" w14:textId="77777777" w:rsidTr="003310FF">
        <w:trPr>
          <w:trHeight w:val="270"/>
          <w:jc w:val="center"/>
        </w:trPr>
        <w:tc>
          <w:tcPr>
            <w:tcW w:w="810" w:type="dxa"/>
            <w:tcBorders>
              <w:top w:val="nil"/>
              <w:left w:val="nil"/>
              <w:bottom w:val="nil"/>
              <w:right w:val="single" w:sz="4" w:space="0" w:color="000000"/>
            </w:tcBorders>
            <w:vAlign w:val="bottom"/>
            <w:hideMark/>
          </w:tcPr>
          <w:p w14:paraId="03694B1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w:t>
            </w:r>
          </w:p>
        </w:tc>
        <w:tc>
          <w:tcPr>
            <w:tcW w:w="960" w:type="dxa"/>
            <w:tcBorders>
              <w:top w:val="nil"/>
              <w:left w:val="single" w:sz="4" w:space="0" w:color="000000"/>
              <w:bottom w:val="nil"/>
              <w:right w:val="single" w:sz="4" w:space="0" w:color="000000"/>
            </w:tcBorders>
            <w:vAlign w:val="bottom"/>
            <w:hideMark/>
          </w:tcPr>
          <w:p w14:paraId="7972374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ADMF</w:t>
            </w:r>
          </w:p>
        </w:tc>
        <w:tc>
          <w:tcPr>
            <w:tcW w:w="600" w:type="dxa"/>
            <w:tcBorders>
              <w:top w:val="nil"/>
              <w:left w:val="single" w:sz="4" w:space="0" w:color="000000"/>
              <w:bottom w:val="nil"/>
              <w:right w:val="single" w:sz="4" w:space="0" w:color="000000"/>
            </w:tcBorders>
            <w:vAlign w:val="bottom"/>
            <w:hideMark/>
          </w:tcPr>
          <w:p w14:paraId="2DBF5FAF"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8.</w:t>
            </w:r>
          </w:p>
        </w:tc>
        <w:tc>
          <w:tcPr>
            <w:tcW w:w="1080" w:type="dxa"/>
            <w:tcBorders>
              <w:top w:val="nil"/>
              <w:left w:val="single" w:sz="4" w:space="0" w:color="000000"/>
              <w:bottom w:val="nil"/>
              <w:right w:val="single" w:sz="4" w:space="0" w:color="000000"/>
            </w:tcBorders>
            <w:vAlign w:val="bottom"/>
            <w:hideMark/>
          </w:tcPr>
          <w:p w14:paraId="21C67BBE"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BBRI</w:t>
            </w:r>
          </w:p>
        </w:tc>
        <w:tc>
          <w:tcPr>
            <w:tcW w:w="615" w:type="dxa"/>
            <w:tcBorders>
              <w:top w:val="nil"/>
              <w:left w:val="single" w:sz="4" w:space="0" w:color="000000"/>
              <w:bottom w:val="nil"/>
              <w:right w:val="nil"/>
            </w:tcBorders>
            <w:vAlign w:val="bottom"/>
            <w:hideMark/>
          </w:tcPr>
          <w:p w14:paraId="5685E038"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15.</w:t>
            </w:r>
          </w:p>
        </w:tc>
        <w:tc>
          <w:tcPr>
            <w:tcW w:w="960" w:type="dxa"/>
            <w:tcBorders>
              <w:top w:val="nil"/>
              <w:left w:val="single" w:sz="4" w:space="0" w:color="000000"/>
              <w:bottom w:val="nil"/>
              <w:right w:val="nil"/>
            </w:tcBorders>
            <w:vAlign w:val="bottom"/>
            <w:hideMark/>
          </w:tcPr>
          <w:p w14:paraId="68F7A70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BNGA</w:t>
            </w:r>
          </w:p>
        </w:tc>
        <w:tc>
          <w:tcPr>
            <w:tcW w:w="600" w:type="dxa"/>
            <w:tcBorders>
              <w:top w:val="nil"/>
              <w:left w:val="single" w:sz="4" w:space="0" w:color="000000"/>
              <w:bottom w:val="nil"/>
              <w:right w:val="nil"/>
            </w:tcBorders>
            <w:vAlign w:val="bottom"/>
            <w:hideMark/>
          </w:tcPr>
          <w:p w14:paraId="7FCF737B"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22.</w:t>
            </w:r>
          </w:p>
        </w:tc>
        <w:tc>
          <w:tcPr>
            <w:tcW w:w="960" w:type="dxa"/>
            <w:tcBorders>
              <w:top w:val="nil"/>
              <w:left w:val="single" w:sz="4" w:space="0" w:color="000000"/>
              <w:bottom w:val="nil"/>
              <w:right w:val="nil"/>
            </w:tcBorders>
            <w:vAlign w:val="bottom"/>
            <w:hideMark/>
          </w:tcPr>
          <w:p w14:paraId="548E41E0"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PANS</w:t>
            </w:r>
          </w:p>
        </w:tc>
      </w:tr>
      <w:tr w:rsidR="003310FF" w:rsidRPr="00931280" w14:paraId="0FE5CCD2" w14:textId="77777777" w:rsidTr="003310FF">
        <w:trPr>
          <w:trHeight w:val="270"/>
          <w:jc w:val="center"/>
        </w:trPr>
        <w:tc>
          <w:tcPr>
            <w:tcW w:w="810" w:type="dxa"/>
            <w:tcBorders>
              <w:top w:val="nil"/>
              <w:left w:val="nil"/>
              <w:bottom w:val="nil"/>
              <w:right w:val="single" w:sz="4" w:space="0" w:color="000000"/>
            </w:tcBorders>
            <w:vAlign w:val="bottom"/>
            <w:hideMark/>
          </w:tcPr>
          <w:p w14:paraId="46A7817B"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w:t>
            </w:r>
          </w:p>
        </w:tc>
        <w:tc>
          <w:tcPr>
            <w:tcW w:w="960" w:type="dxa"/>
            <w:tcBorders>
              <w:top w:val="nil"/>
              <w:left w:val="single" w:sz="4" w:space="0" w:color="000000"/>
              <w:bottom w:val="nil"/>
              <w:right w:val="single" w:sz="4" w:space="0" w:color="000000"/>
            </w:tcBorders>
            <w:vAlign w:val="bottom"/>
            <w:hideMark/>
          </w:tcPr>
          <w:p w14:paraId="231F2B85"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AMAG</w:t>
            </w:r>
          </w:p>
        </w:tc>
        <w:tc>
          <w:tcPr>
            <w:tcW w:w="600" w:type="dxa"/>
            <w:tcBorders>
              <w:top w:val="nil"/>
              <w:left w:val="single" w:sz="4" w:space="0" w:color="000000"/>
              <w:bottom w:val="nil"/>
              <w:right w:val="single" w:sz="4" w:space="0" w:color="000000"/>
            </w:tcBorders>
            <w:vAlign w:val="bottom"/>
            <w:hideMark/>
          </w:tcPr>
          <w:p w14:paraId="7DD54D01"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9.</w:t>
            </w:r>
          </w:p>
        </w:tc>
        <w:tc>
          <w:tcPr>
            <w:tcW w:w="1080" w:type="dxa"/>
            <w:tcBorders>
              <w:top w:val="nil"/>
              <w:left w:val="single" w:sz="4" w:space="0" w:color="000000"/>
              <w:bottom w:val="nil"/>
              <w:right w:val="single" w:sz="4" w:space="0" w:color="000000"/>
            </w:tcBorders>
            <w:vAlign w:val="bottom"/>
            <w:hideMark/>
          </w:tcPr>
          <w:p w14:paraId="7AF8085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BBTN</w:t>
            </w:r>
          </w:p>
        </w:tc>
        <w:tc>
          <w:tcPr>
            <w:tcW w:w="615" w:type="dxa"/>
            <w:tcBorders>
              <w:top w:val="nil"/>
              <w:left w:val="single" w:sz="4" w:space="0" w:color="000000"/>
              <w:bottom w:val="nil"/>
              <w:right w:val="nil"/>
            </w:tcBorders>
            <w:vAlign w:val="bottom"/>
            <w:hideMark/>
          </w:tcPr>
          <w:p w14:paraId="1864B784"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16.</w:t>
            </w:r>
          </w:p>
        </w:tc>
        <w:tc>
          <w:tcPr>
            <w:tcW w:w="960" w:type="dxa"/>
            <w:tcBorders>
              <w:top w:val="nil"/>
              <w:left w:val="single" w:sz="4" w:space="0" w:color="000000"/>
              <w:bottom w:val="nil"/>
              <w:right w:val="nil"/>
            </w:tcBorders>
            <w:vAlign w:val="bottom"/>
            <w:hideMark/>
          </w:tcPr>
          <w:p w14:paraId="6AE1088F"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BNII</w:t>
            </w:r>
          </w:p>
        </w:tc>
        <w:tc>
          <w:tcPr>
            <w:tcW w:w="600" w:type="dxa"/>
            <w:tcBorders>
              <w:top w:val="nil"/>
              <w:left w:val="single" w:sz="4" w:space="0" w:color="000000"/>
              <w:bottom w:val="nil"/>
              <w:right w:val="nil"/>
            </w:tcBorders>
            <w:vAlign w:val="bottom"/>
            <w:hideMark/>
          </w:tcPr>
          <w:p w14:paraId="56124C5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23.</w:t>
            </w:r>
          </w:p>
        </w:tc>
        <w:tc>
          <w:tcPr>
            <w:tcW w:w="960" w:type="dxa"/>
            <w:tcBorders>
              <w:top w:val="nil"/>
              <w:left w:val="single" w:sz="4" w:space="0" w:color="000000"/>
              <w:bottom w:val="nil"/>
              <w:right w:val="nil"/>
            </w:tcBorders>
            <w:vAlign w:val="bottom"/>
            <w:hideMark/>
          </w:tcPr>
          <w:p w14:paraId="170758C9"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SDRA</w:t>
            </w:r>
          </w:p>
        </w:tc>
      </w:tr>
      <w:tr w:rsidR="003310FF" w:rsidRPr="00931280" w14:paraId="7CAEE1F1" w14:textId="77777777" w:rsidTr="003310FF">
        <w:trPr>
          <w:trHeight w:val="270"/>
          <w:jc w:val="center"/>
        </w:trPr>
        <w:tc>
          <w:tcPr>
            <w:tcW w:w="810" w:type="dxa"/>
            <w:tcBorders>
              <w:top w:val="nil"/>
              <w:left w:val="nil"/>
              <w:bottom w:val="nil"/>
              <w:right w:val="single" w:sz="4" w:space="0" w:color="000000"/>
            </w:tcBorders>
            <w:vAlign w:val="bottom"/>
            <w:hideMark/>
          </w:tcPr>
          <w:p w14:paraId="7DEF57CC"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3.</w:t>
            </w:r>
          </w:p>
        </w:tc>
        <w:tc>
          <w:tcPr>
            <w:tcW w:w="960" w:type="dxa"/>
            <w:tcBorders>
              <w:top w:val="nil"/>
              <w:left w:val="single" w:sz="4" w:space="0" w:color="000000"/>
              <w:bottom w:val="nil"/>
              <w:right w:val="single" w:sz="4" w:space="0" w:color="000000"/>
            </w:tcBorders>
            <w:vAlign w:val="bottom"/>
            <w:hideMark/>
          </w:tcPr>
          <w:p w14:paraId="62082033"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ASBI</w:t>
            </w:r>
          </w:p>
        </w:tc>
        <w:tc>
          <w:tcPr>
            <w:tcW w:w="600" w:type="dxa"/>
            <w:tcBorders>
              <w:top w:val="nil"/>
              <w:left w:val="single" w:sz="4" w:space="0" w:color="000000"/>
              <w:bottom w:val="nil"/>
              <w:right w:val="single" w:sz="4" w:space="0" w:color="000000"/>
            </w:tcBorders>
            <w:vAlign w:val="bottom"/>
            <w:hideMark/>
          </w:tcPr>
          <w:p w14:paraId="6CC81E5D"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10.</w:t>
            </w:r>
          </w:p>
        </w:tc>
        <w:tc>
          <w:tcPr>
            <w:tcW w:w="1080" w:type="dxa"/>
            <w:tcBorders>
              <w:top w:val="nil"/>
              <w:left w:val="single" w:sz="4" w:space="0" w:color="000000"/>
              <w:bottom w:val="nil"/>
              <w:right w:val="single" w:sz="4" w:space="0" w:color="000000"/>
            </w:tcBorders>
            <w:vAlign w:val="bottom"/>
            <w:hideMark/>
          </w:tcPr>
          <w:p w14:paraId="5441CDD2"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BDMN</w:t>
            </w:r>
          </w:p>
        </w:tc>
        <w:tc>
          <w:tcPr>
            <w:tcW w:w="615" w:type="dxa"/>
            <w:tcBorders>
              <w:top w:val="nil"/>
              <w:left w:val="single" w:sz="4" w:space="0" w:color="000000"/>
              <w:bottom w:val="nil"/>
              <w:right w:val="nil"/>
            </w:tcBorders>
            <w:vAlign w:val="bottom"/>
            <w:hideMark/>
          </w:tcPr>
          <w:p w14:paraId="7B81CAD3"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17.</w:t>
            </w:r>
          </w:p>
        </w:tc>
        <w:tc>
          <w:tcPr>
            <w:tcW w:w="960" w:type="dxa"/>
            <w:tcBorders>
              <w:top w:val="nil"/>
              <w:left w:val="single" w:sz="4" w:space="0" w:color="000000"/>
              <w:bottom w:val="nil"/>
              <w:right w:val="nil"/>
            </w:tcBorders>
            <w:vAlign w:val="bottom"/>
            <w:hideMark/>
          </w:tcPr>
          <w:p w14:paraId="3D4F032E"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BTPS</w:t>
            </w:r>
          </w:p>
        </w:tc>
        <w:tc>
          <w:tcPr>
            <w:tcW w:w="600" w:type="dxa"/>
            <w:tcBorders>
              <w:top w:val="nil"/>
              <w:left w:val="single" w:sz="4" w:space="0" w:color="000000"/>
              <w:bottom w:val="nil"/>
              <w:right w:val="nil"/>
            </w:tcBorders>
            <w:vAlign w:val="bottom"/>
            <w:hideMark/>
          </w:tcPr>
          <w:p w14:paraId="1B39BF60"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24.</w:t>
            </w:r>
          </w:p>
        </w:tc>
        <w:tc>
          <w:tcPr>
            <w:tcW w:w="960" w:type="dxa"/>
            <w:tcBorders>
              <w:top w:val="nil"/>
              <w:left w:val="single" w:sz="4" w:space="0" w:color="000000"/>
              <w:bottom w:val="nil"/>
              <w:right w:val="nil"/>
            </w:tcBorders>
            <w:vAlign w:val="bottom"/>
            <w:hideMark/>
          </w:tcPr>
          <w:p w14:paraId="116F7A2E"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SRTG</w:t>
            </w:r>
          </w:p>
        </w:tc>
      </w:tr>
      <w:tr w:rsidR="003310FF" w:rsidRPr="00931280" w14:paraId="547A9B94" w14:textId="77777777" w:rsidTr="003310FF">
        <w:trPr>
          <w:trHeight w:val="270"/>
          <w:jc w:val="center"/>
        </w:trPr>
        <w:tc>
          <w:tcPr>
            <w:tcW w:w="810" w:type="dxa"/>
            <w:tcBorders>
              <w:top w:val="nil"/>
              <w:left w:val="nil"/>
              <w:bottom w:val="nil"/>
              <w:right w:val="single" w:sz="4" w:space="0" w:color="000000"/>
            </w:tcBorders>
            <w:vAlign w:val="bottom"/>
            <w:hideMark/>
          </w:tcPr>
          <w:p w14:paraId="5C1ED355"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4.</w:t>
            </w:r>
          </w:p>
        </w:tc>
        <w:tc>
          <w:tcPr>
            <w:tcW w:w="960" w:type="dxa"/>
            <w:tcBorders>
              <w:top w:val="nil"/>
              <w:left w:val="single" w:sz="4" w:space="0" w:color="000000"/>
              <w:bottom w:val="nil"/>
              <w:right w:val="single" w:sz="4" w:space="0" w:color="000000"/>
            </w:tcBorders>
            <w:vAlign w:val="bottom"/>
            <w:hideMark/>
          </w:tcPr>
          <w:p w14:paraId="259E5C97"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ASDM</w:t>
            </w:r>
          </w:p>
        </w:tc>
        <w:tc>
          <w:tcPr>
            <w:tcW w:w="600" w:type="dxa"/>
            <w:tcBorders>
              <w:top w:val="nil"/>
              <w:left w:val="single" w:sz="4" w:space="0" w:color="000000"/>
              <w:bottom w:val="nil"/>
              <w:right w:val="single" w:sz="4" w:space="0" w:color="000000"/>
            </w:tcBorders>
            <w:vAlign w:val="bottom"/>
            <w:hideMark/>
          </w:tcPr>
          <w:p w14:paraId="4752D83C"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11.</w:t>
            </w:r>
          </w:p>
        </w:tc>
        <w:tc>
          <w:tcPr>
            <w:tcW w:w="1080" w:type="dxa"/>
            <w:tcBorders>
              <w:top w:val="nil"/>
              <w:left w:val="single" w:sz="4" w:space="0" w:color="000000"/>
              <w:bottom w:val="nil"/>
              <w:right w:val="single" w:sz="4" w:space="0" w:color="000000"/>
            </w:tcBorders>
            <w:vAlign w:val="bottom"/>
            <w:hideMark/>
          </w:tcPr>
          <w:p w14:paraId="503E454C"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BFIN</w:t>
            </w:r>
          </w:p>
        </w:tc>
        <w:tc>
          <w:tcPr>
            <w:tcW w:w="615" w:type="dxa"/>
            <w:tcBorders>
              <w:top w:val="nil"/>
              <w:left w:val="single" w:sz="4" w:space="0" w:color="000000"/>
              <w:bottom w:val="nil"/>
              <w:right w:val="nil"/>
            </w:tcBorders>
            <w:vAlign w:val="bottom"/>
            <w:hideMark/>
          </w:tcPr>
          <w:p w14:paraId="7FF543BB"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18.</w:t>
            </w:r>
          </w:p>
        </w:tc>
        <w:tc>
          <w:tcPr>
            <w:tcW w:w="960" w:type="dxa"/>
            <w:tcBorders>
              <w:top w:val="nil"/>
              <w:left w:val="single" w:sz="4" w:space="0" w:color="000000"/>
              <w:bottom w:val="nil"/>
              <w:right w:val="nil"/>
            </w:tcBorders>
            <w:vAlign w:val="bottom"/>
            <w:hideMark/>
          </w:tcPr>
          <w:p w14:paraId="7F3455F0"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LPGI</w:t>
            </w:r>
          </w:p>
        </w:tc>
        <w:tc>
          <w:tcPr>
            <w:tcW w:w="600" w:type="dxa"/>
            <w:tcBorders>
              <w:top w:val="nil"/>
              <w:left w:val="single" w:sz="4" w:space="0" w:color="000000"/>
              <w:bottom w:val="nil"/>
              <w:right w:val="nil"/>
            </w:tcBorders>
            <w:vAlign w:val="bottom"/>
            <w:hideMark/>
          </w:tcPr>
          <w:p w14:paraId="15D1E5E1"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25.</w:t>
            </w:r>
          </w:p>
        </w:tc>
        <w:tc>
          <w:tcPr>
            <w:tcW w:w="960" w:type="dxa"/>
            <w:tcBorders>
              <w:top w:val="nil"/>
              <w:left w:val="single" w:sz="4" w:space="0" w:color="000000"/>
              <w:bottom w:val="nil"/>
              <w:right w:val="nil"/>
            </w:tcBorders>
            <w:vAlign w:val="bottom"/>
            <w:hideMark/>
          </w:tcPr>
          <w:p w14:paraId="306CAECC"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TUGU</w:t>
            </w:r>
          </w:p>
        </w:tc>
      </w:tr>
      <w:tr w:rsidR="003310FF" w:rsidRPr="00931280" w14:paraId="5CE0ABCA" w14:textId="77777777" w:rsidTr="003310FF">
        <w:trPr>
          <w:trHeight w:val="270"/>
          <w:jc w:val="center"/>
        </w:trPr>
        <w:tc>
          <w:tcPr>
            <w:tcW w:w="810" w:type="dxa"/>
            <w:tcBorders>
              <w:top w:val="nil"/>
              <w:left w:val="nil"/>
              <w:bottom w:val="nil"/>
              <w:right w:val="single" w:sz="4" w:space="0" w:color="000000"/>
            </w:tcBorders>
            <w:vAlign w:val="bottom"/>
            <w:hideMark/>
          </w:tcPr>
          <w:p w14:paraId="7EAF63F0"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5.</w:t>
            </w:r>
          </w:p>
        </w:tc>
        <w:tc>
          <w:tcPr>
            <w:tcW w:w="960" w:type="dxa"/>
            <w:tcBorders>
              <w:top w:val="nil"/>
              <w:left w:val="single" w:sz="4" w:space="0" w:color="000000"/>
              <w:bottom w:val="nil"/>
              <w:right w:val="single" w:sz="4" w:space="0" w:color="000000"/>
            </w:tcBorders>
            <w:vAlign w:val="bottom"/>
            <w:hideMark/>
          </w:tcPr>
          <w:p w14:paraId="2999F2F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ASRM</w:t>
            </w:r>
          </w:p>
        </w:tc>
        <w:tc>
          <w:tcPr>
            <w:tcW w:w="600" w:type="dxa"/>
            <w:tcBorders>
              <w:top w:val="nil"/>
              <w:left w:val="single" w:sz="4" w:space="0" w:color="000000"/>
              <w:bottom w:val="nil"/>
              <w:right w:val="single" w:sz="4" w:space="0" w:color="000000"/>
            </w:tcBorders>
            <w:vAlign w:val="bottom"/>
            <w:hideMark/>
          </w:tcPr>
          <w:p w14:paraId="120A9C1D"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12.</w:t>
            </w:r>
          </w:p>
        </w:tc>
        <w:tc>
          <w:tcPr>
            <w:tcW w:w="1080" w:type="dxa"/>
            <w:tcBorders>
              <w:top w:val="nil"/>
              <w:left w:val="single" w:sz="4" w:space="0" w:color="000000"/>
              <w:bottom w:val="nil"/>
              <w:right w:val="single" w:sz="4" w:space="0" w:color="000000"/>
            </w:tcBorders>
            <w:vAlign w:val="bottom"/>
            <w:hideMark/>
          </w:tcPr>
          <w:p w14:paraId="3C13C8B8"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BJBR</w:t>
            </w:r>
          </w:p>
        </w:tc>
        <w:tc>
          <w:tcPr>
            <w:tcW w:w="615" w:type="dxa"/>
            <w:tcBorders>
              <w:top w:val="nil"/>
              <w:left w:val="single" w:sz="4" w:space="0" w:color="000000"/>
              <w:bottom w:val="nil"/>
              <w:right w:val="single" w:sz="4" w:space="0" w:color="000000"/>
            </w:tcBorders>
            <w:vAlign w:val="bottom"/>
            <w:hideMark/>
          </w:tcPr>
          <w:p w14:paraId="5E081FEC"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19.</w:t>
            </w:r>
          </w:p>
        </w:tc>
        <w:tc>
          <w:tcPr>
            <w:tcW w:w="960" w:type="dxa"/>
            <w:tcBorders>
              <w:top w:val="nil"/>
              <w:left w:val="single" w:sz="4" w:space="0" w:color="000000"/>
              <w:bottom w:val="nil"/>
              <w:right w:val="nil"/>
            </w:tcBorders>
            <w:vAlign w:val="bottom"/>
            <w:hideMark/>
          </w:tcPr>
          <w:p w14:paraId="78BD7BD8"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MEGA</w:t>
            </w:r>
          </w:p>
        </w:tc>
        <w:tc>
          <w:tcPr>
            <w:tcW w:w="600" w:type="dxa"/>
            <w:tcBorders>
              <w:top w:val="nil"/>
              <w:left w:val="single" w:sz="4" w:space="0" w:color="000000"/>
              <w:bottom w:val="nil"/>
              <w:right w:val="nil"/>
            </w:tcBorders>
            <w:vAlign w:val="bottom"/>
            <w:hideMark/>
          </w:tcPr>
          <w:p w14:paraId="184508E1"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26.</w:t>
            </w:r>
          </w:p>
        </w:tc>
        <w:tc>
          <w:tcPr>
            <w:tcW w:w="960" w:type="dxa"/>
            <w:tcBorders>
              <w:top w:val="nil"/>
              <w:left w:val="single" w:sz="4" w:space="0" w:color="000000"/>
              <w:bottom w:val="nil"/>
              <w:right w:val="nil"/>
            </w:tcBorders>
            <w:vAlign w:val="bottom"/>
            <w:hideMark/>
          </w:tcPr>
          <w:p w14:paraId="2B725982"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VINS</w:t>
            </w:r>
          </w:p>
        </w:tc>
      </w:tr>
      <w:tr w:rsidR="003310FF" w:rsidRPr="00931280" w14:paraId="574784A6" w14:textId="77777777" w:rsidTr="003310FF">
        <w:trPr>
          <w:trHeight w:val="270"/>
          <w:jc w:val="center"/>
        </w:trPr>
        <w:tc>
          <w:tcPr>
            <w:tcW w:w="810" w:type="dxa"/>
            <w:tcBorders>
              <w:top w:val="nil"/>
              <w:left w:val="nil"/>
              <w:bottom w:val="nil"/>
              <w:right w:val="single" w:sz="4" w:space="0" w:color="000000"/>
            </w:tcBorders>
            <w:vAlign w:val="bottom"/>
            <w:hideMark/>
          </w:tcPr>
          <w:p w14:paraId="322B3CE0"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 xml:space="preserve">6. </w:t>
            </w:r>
          </w:p>
        </w:tc>
        <w:tc>
          <w:tcPr>
            <w:tcW w:w="960" w:type="dxa"/>
            <w:tcBorders>
              <w:top w:val="nil"/>
              <w:left w:val="single" w:sz="4" w:space="0" w:color="000000"/>
              <w:bottom w:val="nil"/>
              <w:right w:val="single" w:sz="4" w:space="0" w:color="000000"/>
            </w:tcBorders>
            <w:vAlign w:val="bottom"/>
            <w:hideMark/>
          </w:tcPr>
          <w:p w14:paraId="3FCB24B5"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BBCA</w:t>
            </w:r>
          </w:p>
        </w:tc>
        <w:tc>
          <w:tcPr>
            <w:tcW w:w="600" w:type="dxa"/>
            <w:tcBorders>
              <w:top w:val="nil"/>
              <w:left w:val="single" w:sz="4" w:space="0" w:color="000000"/>
              <w:bottom w:val="nil"/>
              <w:right w:val="single" w:sz="4" w:space="0" w:color="000000"/>
            </w:tcBorders>
            <w:vAlign w:val="bottom"/>
            <w:hideMark/>
          </w:tcPr>
          <w:p w14:paraId="6F4C0A98"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13.</w:t>
            </w:r>
          </w:p>
        </w:tc>
        <w:tc>
          <w:tcPr>
            <w:tcW w:w="1080" w:type="dxa"/>
            <w:tcBorders>
              <w:top w:val="nil"/>
              <w:left w:val="single" w:sz="4" w:space="0" w:color="000000"/>
              <w:bottom w:val="nil"/>
              <w:right w:val="single" w:sz="4" w:space="0" w:color="000000"/>
            </w:tcBorders>
            <w:vAlign w:val="bottom"/>
            <w:hideMark/>
          </w:tcPr>
          <w:p w14:paraId="533F5710"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BJTM</w:t>
            </w:r>
          </w:p>
        </w:tc>
        <w:tc>
          <w:tcPr>
            <w:tcW w:w="615" w:type="dxa"/>
            <w:tcBorders>
              <w:top w:val="nil"/>
              <w:left w:val="single" w:sz="4" w:space="0" w:color="000000"/>
              <w:bottom w:val="nil"/>
              <w:right w:val="single" w:sz="4" w:space="0" w:color="000000"/>
            </w:tcBorders>
            <w:vAlign w:val="bottom"/>
            <w:hideMark/>
          </w:tcPr>
          <w:p w14:paraId="3FFBE5BE"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20.</w:t>
            </w:r>
          </w:p>
        </w:tc>
        <w:tc>
          <w:tcPr>
            <w:tcW w:w="960" w:type="dxa"/>
            <w:tcBorders>
              <w:top w:val="nil"/>
              <w:left w:val="single" w:sz="4" w:space="0" w:color="000000"/>
              <w:bottom w:val="nil"/>
              <w:right w:val="nil"/>
            </w:tcBorders>
            <w:vAlign w:val="bottom"/>
            <w:hideMark/>
          </w:tcPr>
          <w:p w14:paraId="3DA97733"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MFIN</w:t>
            </w:r>
          </w:p>
        </w:tc>
        <w:tc>
          <w:tcPr>
            <w:tcW w:w="600" w:type="dxa"/>
            <w:tcBorders>
              <w:top w:val="nil"/>
              <w:left w:val="single" w:sz="4" w:space="0" w:color="000000"/>
              <w:bottom w:val="nil"/>
              <w:right w:val="nil"/>
            </w:tcBorders>
            <w:vAlign w:val="bottom"/>
            <w:hideMark/>
          </w:tcPr>
          <w:p w14:paraId="294EBCD1"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27.</w:t>
            </w:r>
          </w:p>
        </w:tc>
        <w:tc>
          <w:tcPr>
            <w:tcW w:w="960" w:type="dxa"/>
            <w:tcBorders>
              <w:top w:val="nil"/>
              <w:left w:val="single" w:sz="4" w:space="0" w:color="000000"/>
              <w:bottom w:val="nil"/>
              <w:right w:val="nil"/>
            </w:tcBorders>
            <w:vAlign w:val="bottom"/>
            <w:hideMark/>
          </w:tcPr>
          <w:p w14:paraId="4CAE56DF"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WOMS</w:t>
            </w:r>
          </w:p>
        </w:tc>
      </w:tr>
      <w:tr w:rsidR="003310FF" w:rsidRPr="00931280" w14:paraId="6994E4F6" w14:textId="77777777" w:rsidTr="003310FF">
        <w:trPr>
          <w:trHeight w:val="270"/>
          <w:jc w:val="center"/>
        </w:trPr>
        <w:tc>
          <w:tcPr>
            <w:tcW w:w="810" w:type="dxa"/>
            <w:tcBorders>
              <w:top w:val="nil"/>
              <w:left w:val="nil"/>
              <w:bottom w:val="single" w:sz="4" w:space="0" w:color="000000"/>
              <w:right w:val="single" w:sz="4" w:space="0" w:color="000000"/>
            </w:tcBorders>
            <w:vAlign w:val="bottom"/>
            <w:hideMark/>
          </w:tcPr>
          <w:p w14:paraId="6DB8B3C3"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7.</w:t>
            </w:r>
          </w:p>
        </w:tc>
        <w:tc>
          <w:tcPr>
            <w:tcW w:w="960" w:type="dxa"/>
            <w:tcBorders>
              <w:top w:val="nil"/>
              <w:left w:val="single" w:sz="4" w:space="0" w:color="000000"/>
              <w:bottom w:val="single" w:sz="4" w:space="0" w:color="000000"/>
              <w:right w:val="single" w:sz="4" w:space="0" w:color="000000"/>
            </w:tcBorders>
            <w:vAlign w:val="bottom"/>
            <w:hideMark/>
          </w:tcPr>
          <w:p w14:paraId="61D52969"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BBNI</w:t>
            </w:r>
          </w:p>
        </w:tc>
        <w:tc>
          <w:tcPr>
            <w:tcW w:w="600" w:type="dxa"/>
            <w:tcBorders>
              <w:top w:val="nil"/>
              <w:left w:val="single" w:sz="4" w:space="0" w:color="000000"/>
              <w:bottom w:val="single" w:sz="4" w:space="0" w:color="000000"/>
              <w:right w:val="single" w:sz="4" w:space="0" w:color="000000"/>
            </w:tcBorders>
            <w:vAlign w:val="bottom"/>
            <w:hideMark/>
          </w:tcPr>
          <w:p w14:paraId="49A29ECD"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14.</w:t>
            </w:r>
          </w:p>
        </w:tc>
        <w:tc>
          <w:tcPr>
            <w:tcW w:w="1080" w:type="dxa"/>
            <w:tcBorders>
              <w:top w:val="nil"/>
              <w:left w:val="single" w:sz="4" w:space="0" w:color="000000"/>
              <w:bottom w:val="single" w:sz="4" w:space="0" w:color="000000"/>
              <w:right w:val="nil"/>
            </w:tcBorders>
            <w:vAlign w:val="bottom"/>
            <w:hideMark/>
          </w:tcPr>
          <w:p w14:paraId="7EB2E96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BMRI</w:t>
            </w:r>
          </w:p>
        </w:tc>
        <w:tc>
          <w:tcPr>
            <w:tcW w:w="615" w:type="dxa"/>
            <w:tcBorders>
              <w:top w:val="nil"/>
              <w:left w:val="single" w:sz="4" w:space="0" w:color="000000"/>
              <w:bottom w:val="single" w:sz="4" w:space="0" w:color="000000"/>
              <w:right w:val="single" w:sz="4" w:space="0" w:color="000000"/>
            </w:tcBorders>
            <w:vAlign w:val="bottom"/>
            <w:hideMark/>
          </w:tcPr>
          <w:p w14:paraId="30B0E079"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21.</w:t>
            </w:r>
          </w:p>
        </w:tc>
        <w:tc>
          <w:tcPr>
            <w:tcW w:w="960" w:type="dxa"/>
            <w:tcBorders>
              <w:top w:val="nil"/>
              <w:left w:val="single" w:sz="4" w:space="0" w:color="000000"/>
              <w:bottom w:val="single" w:sz="4" w:space="0" w:color="000000"/>
              <w:right w:val="nil"/>
            </w:tcBorders>
            <w:vAlign w:val="bottom"/>
            <w:hideMark/>
          </w:tcPr>
          <w:p w14:paraId="0CA04386"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MREI</w:t>
            </w:r>
          </w:p>
        </w:tc>
        <w:tc>
          <w:tcPr>
            <w:tcW w:w="600" w:type="dxa"/>
            <w:tcBorders>
              <w:top w:val="nil"/>
              <w:left w:val="single" w:sz="4" w:space="0" w:color="000000"/>
              <w:bottom w:val="single" w:sz="4" w:space="0" w:color="000000"/>
              <w:right w:val="nil"/>
            </w:tcBorders>
            <w:vAlign w:val="bottom"/>
          </w:tcPr>
          <w:p w14:paraId="7B4B1CAE" w14:textId="77777777" w:rsidR="003310FF" w:rsidRPr="00931280" w:rsidRDefault="003310FF" w:rsidP="003310FF">
            <w:pPr>
              <w:spacing w:after="0" w:line="240" w:lineRule="auto"/>
              <w:jc w:val="center"/>
              <w:rPr>
                <w:rFonts w:eastAsia="Cambria" w:cs="Cambria"/>
                <w:lang w:eastAsia="en-US"/>
              </w:rPr>
            </w:pPr>
          </w:p>
        </w:tc>
        <w:tc>
          <w:tcPr>
            <w:tcW w:w="960" w:type="dxa"/>
            <w:tcBorders>
              <w:top w:val="nil"/>
              <w:left w:val="single" w:sz="4" w:space="0" w:color="000000"/>
              <w:bottom w:val="single" w:sz="4" w:space="0" w:color="000000"/>
              <w:right w:val="nil"/>
            </w:tcBorders>
            <w:vAlign w:val="bottom"/>
          </w:tcPr>
          <w:p w14:paraId="0B983779" w14:textId="77777777" w:rsidR="003310FF" w:rsidRPr="00931280" w:rsidRDefault="003310FF" w:rsidP="003310FF">
            <w:pPr>
              <w:spacing w:after="0" w:line="240" w:lineRule="auto"/>
              <w:jc w:val="center"/>
              <w:rPr>
                <w:rFonts w:eastAsia="Cambria" w:cs="Cambria"/>
                <w:lang w:eastAsia="en-US"/>
              </w:rPr>
            </w:pPr>
          </w:p>
        </w:tc>
      </w:tr>
    </w:tbl>
    <w:p w14:paraId="1020A090" w14:textId="77777777" w:rsidR="003310FF" w:rsidRPr="00931280" w:rsidRDefault="003310FF" w:rsidP="003310FF">
      <w:pPr>
        <w:spacing w:after="0" w:line="240" w:lineRule="auto"/>
        <w:jc w:val="center"/>
        <w:rPr>
          <w:rFonts w:eastAsia="Cambria" w:cs="Cambria"/>
          <w:lang w:eastAsia="en-US"/>
        </w:rPr>
      </w:pPr>
      <w:r w:rsidRPr="00931280">
        <w:rPr>
          <w:rFonts w:eastAsia="Cambria" w:cs="Cambria"/>
          <w:lang w:eastAsia="en-US"/>
        </w:rPr>
        <w:t>Data processed and obtained from IDX in 2020-2023</w:t>
      </w:r>
    </w:p>
    <w:p w14:paraId="708AE3A7" w14:textId="1D247D19" w:rsidR="003310FF" w:rsidRPr="00931280" w:rsidRDefault="007F71AE" w:rsidP="00CB2D51">
      <w:pPr>
        <w:spacing w:after="0" w:line="240" w:lineRule="auto"/>
        <w:ind w:firstLine="284"/>
        <w:rPr>
          <w:b/>
          <w:bCs/>
          <w:lang w:val="en-US"/>
        </w:rPr>
      </w:pPr>
      <w:r w:rsidRPr="00931280">
        <w:rPr>
          <w:b/>
          <w:bCs/>
          <w:lang w:val="en-US"/>
        </w:rPr>
        <w:t>Methods of Data Analysis</w:t>
      </w:r>
    </w:p>
    <w:p w14:paraId="7754A914" w14:textId="7373B589" w:rsidR="007F71AE" w:rsidRPr="00931280" w:rsidRDefault="002A3917" w:rsidP="00CB2D51">
      <w:pPr>
        <w:spacing w:after="0" w:line="240" w:lineRule="auto"/>
        <w:ind w:firstLine="284"/>
        <w:jc w:val="both"/>
        <w:rPr>
          <w:rFonts w:eastAsia="Cambria" w:cs="Cambria"/>
          <w:lang w:eastAsia="en-US"/>
        </w:rPr>
      </w:pPr>
      <w:r w:rsidRPr="00931280">
        <w:rPr>
          <w:rFonts w:eastAsia="Cambria" w:cs="Cambria"/>
          <w:lang w:eastAsia="en-US"/>
        </w:rPr>
        <w:t>D</w:t>
      </w:r>
      <w:r w:rsidR="007F71AE" w:rsidRPr="00931280">
        <w:rPr>
          <w:rFonts w:eastAsia="Cambria" w:cs="Cambria"/>
          <w:lang w:eastAsia="en-US"/>
        </w:rPr>
        <w:t>ata is processed using quantitative descriptive analysis method with SPSS 27 application. This data analysis goes through several stages including</w:t>
      </w:r>
      <w:r w:rsidR="00C5513B" w:rsidRPr="00C5513B">
        <w:t xml:space="preserve"> </w:t>
      </w:r>
      <w:r w:rsidR="00C5513B" w:rsidRPr="00C5513B">
        <w:rPr>
          <w:rFonts w:eastAsia="Cambria" w:cs="Cambria"/>
          <w:lang w:eastAsia="en-US"/>
        </w:rPr>
        <w:t>describe</w:t>
      </w:r>
      <w:r w:rsidR="006C326C">
        <w:rPr>
          <w:rFonts w:eastAsia="Cambria" w:cs="Cambria"/>
          <w:lang w:eastAsia="en-US"/>
        </w:rPr>
        <w:t>s</w:t>
      </w:r>
      <w:r w:rsidR="00C5513B" w:rsidRPr="00C5513B">
        <w:rPr>
          <w:rFonts w:eastAsia="Cambria" w:cs="Cambria"/>
          <w:lang w:eastAsia="en-US"/>
        </w:rPr>
        <w:t xml:space="preserve"> statistical test</w:t>
      </w:r>
      <w:r w:rsidR="007F71AE" w:rsidRPr="00931280">
        <w:rPr>
          <w:rFonts w:eastAsia="Cambria" w:cs="Cambria"/>
          <w:lang w:eastAsia="en-US"/>
        </w:rPr>
        <w:t>,</w:t>
      </w:r>
      <w:r w:rsidR="00701088" w:rsidRPr="00701088">
        <w:t xml:space="preserve"> </w:t>
      </w:r>
      <w:r w:rsidR="00701088">
        <w:rPr>
          <w:rFonts w:eastAsia="Cambria" w:cs="Cambria"/>
          <w:lang w:eastAsia="en-US"/>
        </w:rPr>
        <w:t>a</w:t>
      </w:r>
      <w:r w:rsidR="00701088" w:rsidRPr="00701088">
        <w:rPr>
          <w:rFonts w:eastAsia="Cambria" w:cs="Cambria"/>
          <w:lang w:eastAsia="en-US"/>
        </w:rPr>
        <w:t>ssumption testing</w:t>
      </w:r>
      <w:r w:rsidR="007F71AE" w:rsidRPr="00931280">
        <w:rPr>
          <w:rFonts w:eastAsia="Cambria" w:cs="Cambria"/>
          <w:lang w:eastAsia="en-US"/>
        </w:rPr>
        <w:t xml:space="preserve">, regression test, Moderated Regression Analysis (MRA), and hypothesis testing. In testing model on panel data regression, the following equation was formed: </w:t>
      </w:r>
    </w:p>
    <w:p w14:paraId="05E753C3" w14:textId="77777777" w:rsidR="007F71AE" w:rsidRPr="00931280" w:rsidRDefault="007F71AE" w:rsidP="007F71AE">
      <w:pPr>
        <w:spacing w:after="0" w:line="240" w:lineRule="auto"/>
        <w:ind w:left="720"/>
        <w:jc w:val="center"/>
        <w:rPr>
          <w:rFonts w:eastAsia="Cambria" w:cs="Cambria"/>
          <w:b/>
          <w:lang w:eastAsia="en-US"/>
        </w:rPr>
      </w:pPr>
      <w:r w:rsidRPr="00931280">
        <w:rPr>
          <w:rFonts w:ascii="Cambria Math" w:eastAsia="Cambria" w:hAnsi="Cambria Math" w:cs="Cambria Math"/>
          <w:lang w:eastAsia="en-US"/>
        </w:rPr>
        <w:t>𝑃𝐵𝑉</w:t>
      </w:r>
      <w:r w:rsidRPr="00931280">
        <w:rPr>
          <w:rFonts w:eastAsia="Cambria" w:cs="Cambria"/>
          <w:lang w:eastAsia="en-US"/>
        </w:rPr>
        <w:t xml:space="preserve"> = α + β</w:t>
      </w:r>
      <w:r w:rsidRPr="00931280">
        <w:rPr>
          <w:rFonts w:eastAsia="Cambria" w:cs="Cambria"/>
          <w:vertAlign w:val="subscript"/>
          <w:lang w:eastAsia="en-US"/>
        </w:rPr>
        <w:t>1</w:t>
      </w:r>
      <w:r w:rsidRPr="00931280">
        <w:rPr>
          <w:rFonts w:eastAsia="Cambria" w:cs="Cambria"/>
          <w:lang w:eastAsia="en-US"/>
        </w:rPr>
        <w:t xml:space="preserve"> </w:t>
      </w:r>
      <w:r w:rsidRPr="00931280">
        <w:rPr>
          <w:rFonts w:ascii="Cambria Math" w:eastAsia="Cambria" w:hAnsi="Cambria Math" w:cs="Cambria Math"/>
          <w:lang w:eastAsia="en-US"/>
        </w:rPr>
        <w:t>𝐼𝑂𝑆</w:t>
      </w:r>
      <w:r w:rsidRPr="00931280">
        <w:rPr>
          <w:rFonts w:eastAsia="Cambria" w:cs="Cambria"/>
          <w:lang w:eastAsia="en-US"/>
        </w:rPr>
        <w:t xml:space="preserve"> + β</w:t>
      </w:r>
      <w:r w:rsidRPr="00931280">
        <w:rPr>
          <w:rFonts w:eastAsia="Cambria" w:cs="Cambria"/>
          <w:vertAlign w:val="subscript"/>
          <w:lang w:eastAsia="en-US"/>
        </w:rPr>
        <w:t>2</w:t>
      </w:r>
      <w:r w:rsidRPr="00931280">
        <w:rPr>
          <w:rFonts w:eastAsia="Cambria" w:cs="Cambria"/>
          <w:lang w:eastAsia="en-US"/>
        </w:rPr>
        <w:t xml:space="preserve"> </w:t>
      </w:r>
      <w:r w:rsidRPr="00931280">
        <w:rPr>
          <w:rFonts w:ascii="Cambria Math" w:eastAsia="Cambria" w:hAnsi="Cambria Math" w:cs="Cambria Math"/>
          <w:lang w:eastAsia="en-US"/>
        </w:rPr>
        <w:t>𝐶𝐺</w:t>
      </w:r>
      <w:r w:rsidRPr="00931280">
        <w:rPr>
          <w:rFonts w:eastAsia="Cambria" w:cs="Cambria"/>
          <w:lang w:eastAsia="en-US"/>
        </w:rPr>
        <w:t>+ β</w:t>
      </w:r>
      <w:r w:rsidRPr="00931280">
        <w:rPr>
          <w:rFonts w:eastAsia="Cambria" w:cs="Cambria"/>
          <w:vertAlign w:val="subscript"/>
          <w:lang w:eastAsia="en-US"/>
        </w:rPr>
        <w:t>3</w:t>
      </w:r>
      <w:r w:rsidRPr="00931280">
        <w:rPr>
          <w:rFonts w:eastAsia="Cambria" w:cs="Cambria"/>
          <w:lang w:eastAsia="en-US"/>
        </w:rPr>
        <w:t xml:space="preserve"> </w:t>
      </w:r>
      <w:r w:rsidRPr="00931280">
        <w:rPr>
          <w:rFonts w:ascii="Cambria Math" w:eastAsia="Cambria" w:hAnsi="Cambria Math" w:cs="Cambria Math"/>
          <w:lang w:eastAsia="en-US"/>
        </w:rPr>
        <w:t>𝑅𝑂𝐴</w:t>
      </w:r>
      <w:r w:rsidRPr="00931280">
        <w:rPr>
          <w:rFonts w:eastAsia="Cambria" w:cs="Cambria"/>
          <w:lang w:eastAsia="en-US"/>
        </w:rPr>
        <w:t xml:space="preserve"> + </w:t>
      </w:r>
      <w:r w:rsidRPr="00931280">
        <w:rPr>
          <w:rFonts w:ascii="Cambria Math" w:eastAsia="Cambria" w:hAnsi="Cambria Math" w:cs="Cambria Math"/>
          <w:lang w:eastAsia="en-US"/>
        </w:rPr>
        <w:t>𝑒</w:t>
      </w:r>
      <w:r w:rsidRPr="00931280">
        <w:rPr>
          <w:rFonts w:eastAsia="Cambria" w:cs="Cambria"/>
          <w:lang w:eastAsia="en-US"/>
        </w:rPr>
        <w:t xml:space="preserve"> </w:t>
      </w:r>
      <w:r w:rsidRPr="00931280">
        <w:rPr>
          <w:rFonts w:eastAsia="Cambria" w:cs="Cambria"/>
          <w:b/>
          <w:lang w:eastAsia="en-US"/>
        </w:rPr>
        <w:t>(1)</w:t>
      </w:r>
    </w:p>
    <w:p w14:paraId="16851E1C" w14:textId="77777777" w:rsidR="007F71AE" w:rsidRPr="00931280" w:rsidRDefault="007F71AE" w:rsidP="007F71AE">
      <w:pPr>
        <w:keepNext/>
        <w:keepLines/>
        <w:spacing w:after="0" w:line="240" w:lineRule="auto"/>
        <w:jc w:val="center"/>
        <w:rPr>
          <w:rFonts w:eastAsia="Cambria" w:cs="Cambria"/>
          <w:b/>
          <w:lang w:eastAsia="en-US"/>
        </w:rPr>
      </w:pPr>
      <m:oMath>
        <m:r>
          <m:rPr>
            <m:sty m:val="p"/>
          </m:rPr>
          <w:rPr>
            <w:rFonts w:ascii="Cambria Math" w:eastAsia="Cambria" w:hAnsi="Cambria Math" w:cs="Cambria"/>
            <w:lang w:eastAsia="en-US"/>
          </w:rPr>
          <m:t>PBV = α + β</m:t>
        </m:r>
        <m:r>
          <m:rPr>
            <m:sty m:val="p"/>
          </m:rPr>
          <w:rPr>
            <w:rFonts w:ascii="Cambria Math" w:eastAsia="Cambria" w:hAnsi="Cambria Math" w:cs="Cambria"/>
            <w:vertAlign w:val="subscript"/>
            <w:lang w:eastAsia="en-US"/>
          </w:rPr>
          <m:t>1</m:t>
        </m:r>
        <m:r>
          <m:rPr>
            <m:sty m:val="p"/>
          </m:rPr>
          <w:rPr>
            <w:rFonts w:ascii="Cambria Math" w:eastAsia="Cambria" w:hAnsi="Cambria Math" w:cs="Cambria"/>
            <w:lang w:eastAsia="en-US"/>
          </w:rPr>
          <m:t xml:space="preserve"> IOS + β</m:t>
        </m:r>
        <m:r>
          <m:rPr>
            <m:sty m:val="p"/>
          </m:rPr>
          <w:rPr>
            <w:rFonts w:ascii="Cambria Math" w:eastAsia="Cambria" w:hAnsi="Cambria Math" w:cs="Cambria"/>
            <w:vertAlign w:val="subscript"/>
            <w:lang w:eastAsia="en-US"/>
          </w:rPr>
          <m:t>2</m:t>
        </m:r>
        <m:r>
          <m:rPr>
            <m:sty m:val="p"/>
          </m:rPr>
          <w:rPr>
            <w:rFonts w:ascii="Cambria Math" w:eastAsia="Cambria" w:hAnsi="Cambria Math" w:cs="Cambria"/>
            <w:lang w:eastAsia="en-US"/>
          </w:rPr>
          <m:t xml:space="preserve"> CG + β</m:t>
        </m:r>
        <m:r>
          <m:rPr>
            <m:sty m:val="p"/>
          </m:rPr>
          <w:rPr>
            <w:rFonts w:ascii="Cambria Math" w:eastAsia="Cambria" w:hAnsi="Cambria Math" w:cs="Cambria"/>
            <w:vertAlign w:val="subscript"/>
            <w:lang w:eastAsia="en-US"/>
          </w:rPr>
          <m:t>3</m:t>
        </m:r>
        <m:r>
          <m:rPr>
            <m:sty m:val="p"/>
          </m:rPr>
          <w:rPr>
            <w:rFonts w:ascii="Cambria Math" w:eastAsia="Cambria" w:hAnsi="Cambria Math" w:cs="Cambria"/>
            <w:lang w:eastAsia="en-US"/>
          </w:rPr>
          <m:t xml:space="preserve"> ROA + β</m:t>
        </m:r>
        <m:r>
          <m:rPr>
            <m:sty m:val="p"/>
          </m:rPr>
          <w:rPr>
            <w:rFonts w:ascii="Cambria Math" w:eastAsia="Cambria" w:hAnsi="Cambria Math" w:cs="Cambria"/>
            <w:vertAlign w:val="subscript"/>
            <w:lang w:eastAsia="en-US"/>
          </w:rPr>
          <m:t>1</m:t>
        </m:r>
        <m:r>
          <m:rPr>
            <m:sty m:val="p"/>
          </m:rPr>
          <w:rPr>
            <w:rFonts w:ascii="Cambria Math" w:eastAsia="Cambria" w:hAnsi="Cambria Math" w:cs="Cambria"/>
            <w:lang w:eastAsia="en-US"/>
          </w:rPr>
          <m:t xml:space="preserve"> DPR + e </m:t>
        </m:r>
      </m:oMath>
      <w:r w:rsidRPr="00931280">
        <w:rPr>
          <w:rFonts w:eastAsia="Cambria" w:cs="Cambria"/>
          <w:lang w:eastAsia="en-US"/>
        </w:rPr>
        <w:t xml:space="preserve"> </w:t>
      </w:r>
      <w:r w:rsidRPr="00931280">
        <w:rPr>
          <w:rFonts w:eastAsia="Cambria" w:cs="Cambria"/>
          <w:b/>
          <w:lang w:eastAsia="en-US"/>
        </w:rPr>
        <w:t>(2)</w:t>
      </w:r>
    </w:p>
    <w:p w14:paraId="0BE0C97A" w14:textId="77777777" w:rsidR="007F71AE" w:rsidRPr="00931280" w:rsidRDefault="007F71AE" w:rsidP="007F71AE">
      <w:pPr>
        <w:spacing w:after="0" w:line="240" w:lineRule="auto"/>
        <w:jc w:val="both"/>
        <w:rPr>
          <w:rFonts w:eastAsia="Cambria" w:cs="Cambria"/>
          <w:b/>
          <w:lang w:eastAsia="en-US"/>
        </w:rPr>
      </w:pPr>
      <w:r w:rsidRPr="00931280">
        <w:rPr>
          <w:rFonts w:eastAsia="Cambria" w:cs="Cambria"/>
          <w:lang w:eastAsia="en-US"/>
        </w:rPr>
        <w:t xml:space="preserve">Meanwhile, the test using the regression model moderated using the following model form: </w:t>
      </w:r>
    </w:p>
    <w:p w14:paraId="499E14BA" w14:textId="5107E2AA" w:rsidR="007F71AE" w:rsidRPr="00931280" w:rsidRDefault="007F71AE" w:rsidP="00205458">
      <w:pPr>
        <w:keepNext/>
        <w:keepLines/>
        <w:spacing w:after="0" w:line="240" w:lineRule="auto"/>
        <w:rPr>
          <w:rFonts w:eastAsia="Cambria" w:cs="Cambria"/>
          <w:b/>
          <w:lang w:eastAsia="en-US"/>
        </w:rPr>
      </w:pPr>
      <w:r w:rsidRPr="00931280">
        <w:rPr>
          <w:rFonts w:ascii="Cambria Math" w:eastAsia="Cambria" w:hAnsi="Cambria Math" w:cs="Cambria Math"/>
          <w:lang w:eastAsia="en-US"/>
        </w:rPr>
        <w:t>𝑃𝐵𝑉</w:t>
      </w:r>
      <w:r w:rsidRPr="00931280">
        <w:rPr>
          <w:rFonts w:eastAsia="Cambria" w:cs="Cambria"/>
          <w:lang w:eastAsia="en-US"/>
        </w:rPr>
        <w:t xml:space="preserve"> = α + β</w:t>
      </w:r>
      <w:r w:rsidRPr="00931280">
        <w:rPr>
          <w:rFonts w:eastAsia="Cambria" w:cs="Cambria"/>
          <w:vertAlign w:val="subscript"/>
          <w:lang w:eastAsia="en-US"/>
        </w:rPr>
        <w:t>1</w:t>
      </w:r>
      <w:r w:rsidRPr="00931280">
        <w:rPr>
          <w:rFonts w:eastAsia="Cambria" w:cs="Cambria"/>
          <w:lang w:eastAsia="en-US"/>
        </w:rPr>
        <w:t xml:space="preserve"> </w:t>
      </w:r>
      <w:r w:rsidRPr="00931280">
        <w:rPr>
          <w:rFonts w:ascii="Cambria Math" w:eastAsia="Cambria" w:hAnsi="Cambria Math" w:cs="Cambria Math"/>
          <w:lang w:eastAsia="en-US"/>
        </w:rPr>
        <w:t>𝐼𝑂𝑆</w:t>
      </w:r>
      <w:r w:rsidRPr="00931280">
        <w:rPr>
          <w:rFonts w:eastAsia="Cambria" w:cs="Cambria"/>
          <w:lang w:eastAsia="en-US"/>
        </w:rPr>
        <w:t xml:space="preserve"> + β</w:t>
      </w:r>
      <w:r w:rsidRPr="00931280">
        <w:rPr>
          <w:rFonts w:eastAsia="Cambria" w:cs="Cambria"/>
          <w:vertAlign w:val="subscript"/>
          <w:lang w:eastAsia="en-US"/>
        </w:rPr>
        <w:t>2</w:t>
      </w:r>
      <w:r w:rsidRPr="00931280">
        <w:rPr>
          <w:rFonts w:eastAsia="Cambria" w:cs="Cambria"/>
          <w:lang w:eastAsia="en-US"/>
        </w:rPr>
        <w:t xml:space="preserve"> </w:t>
      </w:r>
      <w:r w:rsidRPr="00931280">
        <w:rPr>
          <w:rFonts w:ascii="Cambria Math" w:eastAsia="Cambria" w:hAnsi="Cambria Math" w:cs="Cambria Math"/>
          <w:lang w:eastAsia="en-US"/>
        </w:rPr>
        <w:t>𝐶𝐺</w:t>
      </w:r>
      <w:r w:rsidRPr="00931280">
        <w:rPr>
          <w:rFonts w:eastAsia="Cambria" w:cs="Cambria"/>
          <w:lang w:eastAsia="en-US"/>
        </w:rPr>
        <w:t xml:space="preserve"> + β</w:t>
      </w:r>
      <w:r w:rsidRPr="00931280">
        <w:rPr>
          <w:rFonts w:eastAsia="Cambria" w:cs="Cambria"/>
          <w:vertAlign w:val="subscript"/>
          <w:lang w:eastAsia="en-US"/>
        </w:rPr>
        <w:t>3</w:t>
      </w:r>
      <w:r w:rsidRPr="00931280">
        <w:rPr>
          <w:rFonts w:eastAsia="Cambria" w:cs="Cambria"/>
          <w:lang w:eastAsia="en-US"/>
        </w:rPr>
        <w:t xml:space="preserve"> </w:t>
      </w:r>
      <w:r w:rsidRPr="00931280">
        <w:rPr>
          <w:rFonts w:ascii="Cambria Math" w:eastAsia="Cambria" w:hAnsi="Cambria Math" w:cs="Cambria Math"/>
          <w:lang w:eastAsia="en-US"/>
        </w:rPr>
        <w:t>𝑅𝑂𝐴</w:t>
      </w:r>
      <w:r w:rsidRPr="00931280">
        <w:rPr>
          <w:rFonts w:eastAsia="Cambria" w:cs="Cambria"/>
          <w:lang w:eastAsia="en-US"/>
        </w:rPr>
        <w:t xml:space="preserve"> + β</w:t>
      </w:r>
      <w:r w:rsidRPr="00931280">
        <w:rPr>
          <w:rFonts w:eastAsia="Cambria" w:cs="Cambria"/>
          <w:vertAlign w:val="subscript"/>
          <w:lang w:eastAsia="en-US"/>
        </w:rPr>
        <w:t>4</w:t>
      </w:r>
      <w:r w:rsidRPr="00931280">
        <w:rPr>
          <w:rFonts w:eastAsia="Cambria" w:cs="Cambria"/>
          <w:lang w:eastAsia="en-US"/>
        </w:rPr>
        <w:t xml:space="preserve"> (</w:t>
      </w:r>
      <w:r w:rsidRPr="00931280">
        <w:rPr>
          <w:rFonts w:ascii="Cambria Math" w:eastAsia="Cambria" w:hAnsi="Cambria Math" w:cs="Cambria Math"/>
          <w:lang w:eastAsia="en-US"/>
        </w:rPr>
        <w:t>𝐼𝑂𝑆</w:t>
      </w:r>
      <w:r w:rsidRPr="00931280">
        <w:rPr>
          <w:rFonts w:eastAsia="Cambria" w:cs="Cambria"/>
          <w:lang w:eastAsia="en-US"/>
        </w:rPr>
        <w:t xml:space="preserve"> * </w:t>
      </w:r>
      <w:r w:rsidRPr="00931280">
        <w:rPr>
          <w:rFonts w:ascii="Cambria Math" w:eastAsia="Cambria" w:hAnsi="Cambria Math" w:cs="Cambria Math"/>
          <w:lang w:eastAsia="en-US"/>
        </w:rPr>
        <w:t>𝐷𝑃𝑅</w:t>
      </w:r>
      <w:r w:rsidRPr="00931280">
        <w:rPr>
          <w:rFonts w:eastAsia="Cambria" w:cs="Cambria"/>
          <w:lang w:eastAsia="en-US"/>
        </w:rPr>
        <w:t>)</w:t>
      </w:r>
      <w:r w:rsidR="006C326C">
        <w:rPr>
          <w:rFonts w:eastAsia="Cambria" w:cs="Cambria"/>
          <w:lang w:eastAsia="en-US"/>
        </w:rPr>
        <w:t xml:space="preserve"> </w:t>
      </w:r>
      <w:r w:rsidRPr="00931280">
        <w:rPr>
          <w:rFonts w:eastAsia="Cambria" w:cs="Cambria"/>
          <w:lang w:eastAsia="en-US"/>
        </w:rPr>
        <w:t>+ β</w:t>
      </w:r>
      <w:r w:rsidRPr="00931280">
        <w:rPr>
          <w:rFonts w:eastAsia="Cambria" w:cs="Cambria"/>
          <w:vertAlign w:val="subscript"/>
          <w:lang w:eastAsia="en-US"/>
        </w:rPr>
        <w:t xml:space="preserve">5 </w:t>
      </w:r>
      <w:r w:rsidRPr="00931280">
        <w:rPr>
          <w:rFonts w:eastAsia="Cambria" w:cs="Cambria"/>
          <w:lang w:eastAsia="en-US"/>
        </w:rPr>
        <w:t>(</w:t>
      </w:r>
      <w:r w:rsidRPr="00931280">
        <w:rPr>
          <w:rFonts w:ascii="Cambria Math" w:eastAsia="Cambria" w:hAnsi="Cambria Math" w:cs="Cambria Math"/>
          <w:lang w:eastAsia="en-US"/>
        </w:rPr>
        <w:t>𝐶𝐺</w:t>
      </w:r>
      <w:r w:rsidRPr="00931280">
        <w:rPr>
          <w:rFonts w:eastAsia="Cambria" w:cs="Cambria"/>
          <w:lang w:eastAsia="en-US"/>
        </w:rPr>
        <w:t xml:space="preserve"> * </w:t>
      </w:r>
      <w:r w:rsidRPr="00931280">
        <w:rPr>
          <w:rFonts w:ascii="Cambria Math" w:eastAsia="Cambria" w:hAnsi="Cambria Math" w:cs="Cambria Math"/>
          <w:lang w:eastAsia="en-US"/>
        </w:rPr>
        <w:t>𝐷𝑃𝑅</w:t>
      </w:r>
      <w:r w:rsidRPr="00931280">
        <w:rPr>
          <w:rFonts w:eastAsia="Cambria" w:cs="Cambria"/>
          <w:lang w:eastAsia="en-US"/>
        </w:rPr>
        <w:t>)</w:t>
      </w:r>
      <w:r w:rsidR="006C326C">
        <w:rPr>
          <w:rFonts w:eastAsia="Cambria" w:cs="Cambria"/>
          <w:lang w:eastAsia="en-US"/>
        </w:rPr>
        <w:t xml:space="preserve"> </w:t>
      </w:r>
      <w:r w:rsidRPr="00931280">
        <w:rPr>
          <w:rFonts w:eastAsia="Cambria" w:cs="Cambria"/>
          <w:lang w:eastAsia="en-US"/>
        </w:rPr>
        <w:t>+ β</w:t>
      </w:r>
      <w:r w:rsidRPr="00931280">
        <w:rPr>
          <w:rFonts w:eastAsia="Cambria" w:cs="Cambria"/>
          <w:vertAlign w:val="subscript"/>
          <w:lang w:eastAsia="en-US"/>
        </w:rPr>
        <w:t>6</w:t>
      </w:r>
      <w:r w:rsidRPr="00931280">
        <w:rPr>
          <w:rFonts w:eastAsia="Cambria" w:cs="Cambria"/>
          <w:lang w:eastAsia="en-US"/>
        </w:rPr>
        <w:t xml:space="preserve"> (</w:t>
      </w:r>
      <w:r w:rsidRPr="00931280">
        <w:rPr>
          <w:rFonts w:ascii="Cambria Math" w:eastAsia="Cambria" w:hAnsi="Cambria Math" w:cs="Cambria Math"/>
          <w:lang w:eastAsia="en-US"/>
        </w:rPr>
        <w:t>𝑅𝑂𝐴</w:t>
      </w:r>
      <w:r w:rsidRPr="00931280">
        <w:rPr>
          <w:rFonts w:eastAsia="Cambria" w:cs="Cambria"/>
          <w:lang w:eastAsia="en-US"/>
        </w:rPr>
        <w:t xml:space="preserve"> * </w:t>
      </w:r>
      <w:r w:rsidRPr="00931280">
        <w:rPr>
          <w:rFonts w:ascii="Cambria Math" w:eastAsia="Cambria" w:hAnsi="Cambria Math" w:cs="Cambria Math"/>
          <w:lang w:eastAsia="en-US"/>
        </w:rPr>
        <w:t>𝐷𝑃𝑅</w:t>
      </w:r>
      <w:r w:rsidRPr="00931280">
        <w:rPr>
          <w:rFonts w:eastAsia="Cambria" w:cs="Cambria"/>
          <w:lang w:eastAsia="en-US"/>
        </w:rPr>
        <w:t xml:space="preserve">) + </w:t>
      </w:r>
      <w:r w:rsidRPr="00931280">
        <w:rPr>
          <w:rFonts w:ascii="Cambria Math" w:eastAsia="Cambria" w:hAnsi="Cambria Math" w:cs="Cambria Math"/>
          <w:lang w:eastAsia="en-US"/>
        </w:rPr>
        <w:t>𝑒</w:t>
      </w:r>
      <w:r w:rsidRPr="00931280">
        <w:rPr>
          <w:rFonts w:eastAsia="Cambria" w:cs="Cambria"/>
          <w:lang w:eastAsia="en-US"/>
        </w:rPr>
        <w:t xml:space="preserve">  </w:t>
      </w:r>
      <w:r w:rsidRPr="00931280">
        <w:rPr>
          <w:rFonts w:eastAsia="Cambria" w:cs="Cambria"/>
          <w:b/>
          <w:lang w:eastAsia="en-US"/>
        </w:rPr>
        <w:t>(3)</w:t>
      </w:r>
    </w:p>
    <w:p w14:paraId="77C87A2A" w14:textId="77777777" w:rsidR="00205458" w:rsidRPr="00931280" w:rsidRDefault="00205458">
      <w:pPr>
        <w:rPr>
          <w:rFonts w:eastAsia="Cambria" w:cs="Cambria"/>
          <w:lang w:eastAsia="en-US"/>
        </w:rPr>
      </w:pPr>
      <w:r w:rsidRPr="00931280">
        <w:rPr>
          <w:rFonts w:eastAsia="Cambria" w:cs="Cambria"/>
          <w:lang w:eastAsia="en-US"/>
        </w:rPr>
        <w:br w:type="page"/>
      </w:r>
    </w:p>
    <w:p w14:paraId="508E0161" w14:textId="7F2C4D6D" w:rsidR="007F71AE" w:rsidRPr="00931280" w:rsidRDefault="007F71AE" w:rsidP="007F71AE">
      <w:pPr>
        <w:spacing w:after="0" w:line="240" w:lineRule="auto"/>
        <w:jc w:val="both"/>
        <w:rPr>
          <w:rFonts w:eastAsia="Cambria" w:cs="Cambria"/>
          <w:lang w:eastAsia="en-US"/>
        </w:rPr>
      </w:pPr>
      <w:r w:rsidRPr="00931280">
        <w:rPr>
          <w:rFonts w:eastAsia="Cambria" w:cs="Cambria"/>
          <w:lang w:eastAsia="en-US"/>
        </w:rPr>
        <w:lastRenderedPageBreak/>
        <w:t xml:space="preserve">Where: </w:t>
      </w:r>
    </w:p>
    <w:p w14:paraId="72D7CFF6" w14:textId="77777777" w:rsidR="007F71AE" w:rsidRPr="00931280" w:rsidRDefault="007F71AE" w:rsidP="007F71AE">
      <w:pPr>
        <w:spacing w:after="0" w:line="240" w:lineRule="auto"/>
        <w:rPr>
          <w:rFonts w:eastAsia="Cambria" w:cs="Cambria"/>
          <w:lang w:eastAsia="en-US"/>
        </w:rPr>
      </w:pPr>
      <w:r w:rsidRPr="00931280">
        <w:rPr>
          <w:rFonts w:eastAsia="Cambria" w:cs="Cambria"/>
          <w:lang w:eastAsia="en-US"/>
        </w:rPr>
        <w:t xml:space="preserve">PBV </w:t>
      </w:r>
      <w:r w:rsidRPr="00931280">
        <w:rPr>
          <w:rFonts w:eastAsia="Cambria" w:cs="Cambria"/>
          <w:lang w:eastAsia="en-US"/>
        </w:rPr>
        <w:tab/>
      </w:r>
      <w:r w:rsidRPr="00931280">
        <w:rPr>
          <w:rFonts w:eastAsia="Cambria" w:cs="Cambria"/>
          <w:lang w:eastAsia="en-US"/>
        </w:rPr>
        <w:tab/>
      </w:r>
      <w:r w:rsidRPr="00931280">
        <w:rPr>
          <w:rFonts w:eastAsia="Cambria" w:cs="Cambria"/>
          <w:lang w:eastAsia="en-US"/>
        </w:rPr>
        <w:tab/>
        <w:t>: Firm Value</w:t>
      </w:r>
    </w:p>
    <w:p w14:paraId="5C51F585" w14:textId="77777777" w:rsidR="007F71AE" w:rsidRPr="00931280" w:rsidRDefault="007F71AE" w:rsidP="007F71AE">
      <w:pPr>
        <w:spacing w:after="0" w:line="240" w:lineRule="auto"/>
        <w:rPr>
          <w:rFonts w:eastAsia="Cambria" w:cs="Cambria"/>
          <w:lang w:eastAsia="en-US"/>
        </w:rPr>
      </w:pPr>
      <m:oMath>
        <m:r>
          <w:rPr>
            <w:rFonts w:ascii="Cambria Math" w:hAnsi="Cambria Math" w:cs="Times New Roman"/>
            <w:lang w:eastAsia="en-US"/>
          </w:rPr>
          <m:t>α</m:t>
        </m:r>
        <m:r>
          <w:rPr>
            <w:rFonts w:ascii="Cambria Math" w:eastAsia="Cambria" w:hAnsi="Cambria Math" w:cs="Cambria"/>
            <w:lang w:eastAsia="en-US"/>
          </w:rPr>
          <m:t xml:space="preserve"> </m:t>
        </m:r>
      </m:oMath>
      <w:r w:rsidRPr="00931280">
        <w:rPr>
          <w:rFonts w:eastAsia="Cambria" w:cs="Cambria"/>
          <w:lang w:eastAsia="en-US"/>
        </w:rPr>
        <w:tab/>
      </w:r>
      <w:r w:rsidRPr="00931280">
        <w:rPr>
          <w:rFonts w:eastAsia="Cambria" w:cs="Cambria"/>
          <w:lang w:eastAsia="en-US"/>
        </w:rPr>
        <w:tab/>
      </w:r>
      <w:r w:rsidRPr="00931280">
        <w:rPr>
          <w:rFonts w:eastAsia="Cambria" w:cs="Cambria"/>
          <w:lang w:eastAsia="en-US"/>
        </w:rPr>
        <w:tab/>
        <w:t>: Constant</w:t>
      </w:r>
    </w:p>
    <w:p w14:paraId="4F44D18C" w14:textId="77777777" w:rsidR="007F71AE" w:rsidRPr="00931280" w:rsidRDefault="00175090" w:rsidP="007F71AE">
      <w:pPr>
        <w:spacing w:after="0" w:line="240" w:lineRule="auto"/>
        <w:rPr>
          <w:rFonts w:eastAsia="Cambria" w:cs="Cambria"/>
          <w:lang w:eastAsia="en-US"/>
        </w:rPr>
      </w:pPr>
      <m:oMath>
        <m:sSub>
          <m:sSubPr>
            <m:ctrlPr>
              <w:rPr>
                <w:rFonts w:ascii="Cambria Math" w:eastAsia="Cambria" w:hAnsi="Cambria Math" w:cs="Cambria"/>
                <w:lang w:eastAsia="en-US"/>
              </w:rPr>
            </m:ctrlPr>
          </m:sSubPr>
          <m:e>
            <m:r>
              <w:rPr>
                <w:rFonts w:ascii="Cambria Math" w:hAnsi="Cambria Math" w:cs="Times New Roman"/>
                <w:lang w:eastAsia="en-US"/>
              </w:rPr>
              <m:t>β</m:t>
            </m:r>
          </m:e>
          <m:sub>
            <m:r>
              <w:rPr>
                <w:rFonts w:ascii="Cambria Math" w:eastAsia="Cambria" w:hAnsi="Cambria Math" w:cs="Cambria"/>
                <w:lang w:eastAsia="en-US"/>
              </w:rPr>
              <m:t>1</m:t>
            </m:r>
          </m:sub>
        </m:sSub>
        <m:r>
          <w:rPr>
            <w:rFonts w:ascii="Cambria Math" w:eastAsia="Cambria" w:hAnsi="Cambria Math" w:cs="Cambria"/>
            <w:lang w:eastAsia="en-US"/>
          </w:rPr>
          <m:t>,</m:t>
        </m:r>
        <m:sSub>
          <m:sSubPr>
            <m:ctrlPr>
              <w:rPr>
                <w:rFonts w:ascii="Cambria Math" w:eastAsia="Cambria" w:hAnsi="Cambria Math" w:cs="Cambria"/>
                <w:lang w:eastAsia="en-US"/>
              </w:rPr>
            </m:ctrlPr>
          </m:sSubPr>
          <m:e>
            <m:r>
              <m:rPr>
                <m:sty m:val="p"/>
              </m:rPr>
              <w:rPr>
                <w:rFonts w:ascii="Cambria Math" w:eastAsia="Cambria" w:hAnsi="Cambria Math" w:cs="Cambria"/>
                <w:lang w:eastAsia="en-US"/>
              </w:rPr>
              <m:t>β</m:t>
            </m:r>
          </m:e>
          <m:sub>
            <m:r>
              <w:rPr>
                <w:rFonts w:ascii="Cambria Math" w:eastAsia="Cambria" w:hAnsi="Cambria Math" w:cs="Cambria"/>
                <w:lang w:eastAsia="en-US"/>
              </w:rPr>
              <m:t>2</m:t>
            </m:r>
          </m:sub>
        </m:sSub>
        <m:sSub>
          <m:sSubPr>
            <m:ctrlPr>
              <w:rPr>
                <w:rFonts w:ascii="Cambria Math" w:eastAsia="Cambria" w:hAnsi="Cambria Math" w:cs="Cambria"/>
                <w:lang w:eastAsia="en-US"/>
              </w:rPr>
            </m:ctrlPr>
          </m:sSubPr>
          <m:e>
            <m:r>
              <w:rPr>
                <w:rFonts w:ascii="Cambria Math" w:eastAsia="Cambria" w:hAnsi="Cambria Math" w:cs="Cambria"/>
                <w:lang w:eastAsia="en-US"/>
              </w:rPr>
              <m:t>,</m:t>
            </m:r>
            <m:r>
              <m:rPr>
                <m:sty m:val="p"/>
              </m:rPr>
              <w:rPr>
                <w:rFonts w:ascii="Cambria Math" w:eastAsia="Cambria" w:hAnsi="Cambria Math" w:cs="Cambria"/>
                <w:lang w:eastAsia="en-US"/>
              </w:rPr>
              <m:t>β</m:t>
            </m:r>
          </m:e>
          <m:sub>
            <m:r>
              <w:rPr>
                <w:rFonts w:ascii="Cambria Math" w:eastAsia="Cambria" w:hAnsi="Cambria Math" w:cs="Cambria"/>
                <w:lang w:eastAsia="en-US"/>
              </w:rPr>
              <m:t xml:space="preserve">3 </m:t>
            </m:r>
          </m:sub>
        </m:sSub>
        <m:r>
          <w:rPr>
            <w:rFonts w:ascii="Cambria Math" w:eastAsia="Cambria" w:hAnsi="Cambria Math" w:cs="Cambria"/>
            <w:lang w:eastAsia="en-US"/>
          </w:rPr>
          <m:t xml:space="preserve">, </m:t>
        </m:r>
        <m:sSub>
          <m:sSubPr>
            <m:ctrlPr>
              <w:rPr>
                <w:rFonts w:ascii="Cambria Math" w:eastAsia="Cambria" w:hAnsi="Cambria Math" w:cs="Cambria"/>
                <w:lang w:eastAsia="en-US"/>
              </w:rPr>
            </m:ctrlPr>
          </m:sSubPr>
          <m:e>
            <m:r>
              <m:rPr>
                <m:sty m:val="p"/>
              </m:rPr>
              <w:rPr>
                <w:rFonts w:ascii="Cambria Math" w:eastAsia="Cambria" w:hAnsi="Cambria Math" w:cs="Cambria"/>
                <w:lang w:eastAsia="en-US"/>
              </w:rPr>
              <m:t>β</m:t>
            </m:r>
          </m:e>
          <m:sub>
            <m:r>
              <w:rPr>
                <w:rFonts w:ascii="Cambria Math" w:eastAsia="Cambria" w:hAnsi="Cambria Math" w:cs="Cambria"/>
                <w:lang w:eastAsia="en-US"/>
              </w:rPr>
              <m:t xml:space="preserve">4 </m:t>
            </m:r>
          </m:sub>
        </m:sSub>
        <m:sSub>
          <m:sSubPr>
            <m:ctrlPr>
              <w:rPr>
                <w:rFonts w:ascii="Cambria Math" w:eastAsia="Cambria" w:hAnsi="Cambria Math" w:cs="Cambria"/>
                <w:lang w:eastAsia="en-US"/>
              </w:rPr>
            </m:ctrlPr>
          </m:sSubPr>
          <m:e>
            <m:r>
              <w:rPr>
                <w:rFonts w:ascii="Cambria Math" w:eastAsia="Cambria" w:hAnsi="Cambria Math" w:cs="Cambria"/>
                <w:lang w:eastAsia="en-US"/>
              </w:rPr>
              <m:t>,</m:t>
            </m:r>
            <m:r>
              <m:rPr>
                <m:sty m:val="p"/>
              </m:rPr>
              <w:rPr>
                <w:rFonts w:ascii="Cambria Math" w:eastAsia="Cambria" w:hAnsi="Cambria Math" w:cs="Cambria"/>
                <w:lang w:eastAsia="en-US"/>
              </w:rPr>
              <m:t>β</m:t>
            </m:r>
          </m:e>
          <m:sub>
            <m:r>
              <w:rPr>
                <w:rFonts w:ascii="Cambria Math" w:eastAsia="Cambria" w:hAnsi="Cambria Math" w:cs="Cambria"/>
                <w:lang w:eastAsia="en-US"/>
              </w:rPr>
              <m:t xml:space="preserve">5 </m:t>
            </m:r>
          </m:sub>
        </m:sSub>
        <m:sSub>
          <m:sSubPr>
            <m:ctrlPr>
              <w:rPr>
                <w:rFonts w:ascii="Cambria Math" w:eastAsia="Cambria" w:hAnsi="Cambria Math" w:cs="Cambria"/>
                <w:lang w:eastAsia="en-US"/>
              </w:rPr>
            </m:ctrlPr>
          </m:sSubPr>
          <m:e>
            <m:r>
              <w:rPr>
                <w:rFonts w:ascii="Cambria Math" w:eastAsia="Cambria" w:hAnsi="Cambria Math" w:cs="Cambria"/>
                <w:lang w:eastAsia="en-US"/>
              </w:rPr>
              <m:t>,</m:t>
            </m:r>
            <m:r>
              <m:rPr>
                <m:sty m:val="p"/>
              </m:rPr>
              <w:rPr>
                <w:rFonts w:ascii="Cambria Math" w:eastAsia="Cambria" w:hAnsi="Cambria Math" w:cs="Cambria"/>
                <w:lang w:eastAsia="en-US"/>
              </w:rPr>
              <m:t>β</m:t>
            </m:r>
          </m:e>
          <m:sub>
            <m:r>
              <w:rPr>
                <w:rFonts w:ascii="Cambria Math" w:eastAsia="Cambria" w:hAnsi="Cambria Math" w:cs="Cambria"/>
                <w:lang w:eastAsia="en-US"/>
              </w:rPr>
              <m:t xml:space="preserve">6 </m:t>
            </m:r>
          </m:sub>
        </m:sSub>
      </m:oMath>
      <w:r w:rsidR="007F71AE" w:rsidRPr="00931280">
        <w:rPr>
          <w:rFonts w:eastAsia="Cambria" w:cs="Cambria"/>
          <w:lang w:eastAsia="en-US"/>
        </w:rPr>
        <w:tab/>
        <w:t>: Coefficient of Linear Regression</w:t>
      </w:r>
    </w:p>
    <w:p w14:paraId="1E27C6B9" w14:textId="77777777" w:rsidR="007F71AE" w:rsidRPr="00931280" w:rsidRDefault="007F71AE" w:rsidP="007F71AE">
      <w:pPr>
        <w:spacing w:after="0" w:line="240" w:lineRule="auto"/>
        <w:rPr>
          <w:rFonts w:eastAsia="Cambria" w:cs="Cambria"/>
          <w:lang w:eastAsia="en-US"/>
        </w:rPr>
      </w:pPr>
      <w:r w:rsidRPr="00931280">
        <w:rPr>
          <w:rFonts w:eastAsia="Cambria" w:cs="Cambria"/>
          <w:lang w:eastAsia="en-US"/>
        </w:rPr>
        <w:t>IOS</w:t>
      </w:r>
      <w:r w:rsidRPr="00931280">
        <w:rPr>
          <w:rFonts w:eastAsia="Cambria" w:cs="Cambria"/>
          <w:lang w:eastAsia="en-US"/>
        </w:rPr>
        <w:tab/>
      </w:r>
      <w:r w:rsidRPr="00931280">
        <w:rPr>
          <w:rFonts w:eastAsia="Cambria" w:cs="Cambria"/>
          <w:lang w:eastAsia="en-US"/>
        </w:rPr>
        <w:tab/>
      </w:r>
      <w:r w:rsidRPr="00931280">
        <w:rPr>
          <w:rFonts w:eastAsia="Cambria" w:cs="Cambria"/>
          <w:lang w:eastAsia="en-US"/>
        </w:rPr>
        <w:tab/>
        <w:t xml:space="preserve">: Investment Opportunity Set </w:t>
      </w:r>
    </w:p>
    <w:p w14:paraId="76FF5908" w14:textId="77777777" w:rsidR="007F71AE" w:rsidRPr="00931280" w:rsidRDefault="007F71AE" w:rsidP="007F71AE">
      <w:pPr>
        <w:spacing w:after="0" w:line="240" w:lineRule="auto"/>
        <w:rPr>
          <w:rFonts w:eastAsia="Cambria" w:cs="Cambria"/>
          <w:lang w:eastAsia="en-US"/>
        </w:rPr>
      </w:pPr>
      <w:r w:rsidRPr="00931280">
        <w:rPr>
          <w:rFonts w:eastAsia="Cambria" w:cs="Cambria"/>
          <w:lang w:eastAsia="en-US"/>
        </w:rPr>
        <w:t>CG</w:t>
      </w:r>
      <w:r w:rsidRPr="00931280">
        <w:rPr>
          <w:rFonts w:eastAsia="Cambria" w:cs="Cambria"/>
          <w:lang w:eastAsia="en-US"/>
        </w:rPr>
        <w:tab/>
      </w:r>
      <w:r w:rsidRPr="00931280">
        <w:rPr>
          <w:rFonts w:eastAsia="Cambria" w:cs="Cambria"/>
          <w:lang w:eastAsia="en-US"/>
        </w:rPr>
        <w:tab/>
      </w:r>
      <w:r w:rsidRPr="00931280">
        <w:rPr>
          <w:rFonts w:eastAsia="Cambria" w:cs="Cambria"/>
          <w:lang w:eastAsia="en-US"/>
        </w:rPr>
        <w:tab/>
        <w:t>: Company Growth</w:t>
      </w:r>
    </w:p>
    <w:p w14:paraId="3D078017" w14:textId="77777777" w:rsidR="007F71AE" w:rsidRPr="00931280" w:rsidRDefault="007F71AE" w:rsidP="007F71AE">
      <w:pPr>
        <w:spacing w:after="0" w:line="240" w:lineRule="auto"/>
        <w:rPr>
          <w:rFonts w:eastAsia="Cambria" w:cs="Cambria"/>
          <w:lang w:eastAsia="en-US"/>
        </w:rPr>
      </w:pPr>
      <w:r w:rsidRPr="00931280">
        <w:rPr>
          <w:rFonts w:eastAsia="Cambria" w:cs="Cambria"/>
          <w:lang w:eastAsia="en-US"/>
        </w:rPr>
        <w:t>ROA</w:t>
      </w:r>
      <w:r w:rsidRPr="00931280">
        <w:rPr>
          <w:rFonts w:eastAsia="Cambria" w:cs="Cambria"/>
          <w:lang w:eastAsia="en-US"/>
        </w:rPr>
        <w:tab/>
      </w:r>
      <w:r w:rsidRPr="00931280">
        <w:rPr>
          <w:rFonts w:eastAsia="Cambria" w:cs="Cambria"/>
          <w:lang w:eastAsia="en-US"/>
        </w:rPr>
        <w:tab/>
      </w:r>
      <w:r w:rsidRPr="00931280">
        <w:rPr>
          <w:rFonts w:eastAsia="Cambria" w:cs="Cambria"/>
          <w:lang w:eastAsia="en-US"/>
        </w:rPr>
        <w:tab/>
        <w:t xml:space="preserve">: Profitability </w:t>
      </w:r>
    </w:p>
    <w:p w14:paraId="63C9D9AE" w14:textId="77777777" w:rsidR="007F71AE" w:rsidRPr="00931280" w:rsidRDefault="007F71AE" w:rsidP="007F71AE">
      <w:pPr>
        <w:spacing w:after="0" w:line="240" w:lineRule="auto"/>
        <w:rPr>
          <w:rFonts w:eastAsia="Cambria" w:cs="Cambria"/>
          <w:lang w:eastAsia="en-US"/>
        </w:rPr>
      </w:pPr>
      <w:r w:rsidRPr="00931280">
        <w:rPr>
          <w:rFonts w:eastAsia="Cambria" w:cs="Cambria"/>
          <w:lang w:eastAsia="en-US"/>
        </w:rPr>
        <w:t>DPR</w:t>
      </w:r>
      <w:r w:rsidRPr="00931280">
        <w:rPr>
          <w:rFonts w:eastAsia="Cambria" w:cs="Cambria"/>
          <w:lang w:eastAsia="en-US"/>
        </w:rPr>
        <w:tab/>
      </w:r>
      <w:r w:rsidRPr="00931280">
        <w:rPr>
          <w:rFonts w:eastAsia="Cambria" w:cs="Cambria"/>
          <w:lang w:eastAsia="en-US"/>
        </w:rPr>
        <w:tab/>
      </w:r>
      <w:r w:rsidRPr="00931280">
        <w:rPr>
          <w:rFonts w:eastAsia="Cambria" w:cs="Cambria"/>
          <w:lang w:eastAsia="en-US"/>
        </w:rPr>
        <w:tab/>
        <w:t>: Dividend Policy</w:t>
      </w:r>
    </w:p>
    <w:p w14:paraId="06813E93" w14:textId="3CE122F9" w:rsidR="00C578E5" w:rsidRPr="00931280" w:rsidRDefault="007F71AE" w:rsidP="00FD2E41">
      <w:pPr>
        <w:spacing w:after="0" w:line="240" w:lineRule="auto"/>
        <w:rPr>
          <w:rFonts w:eastAsia="Cambria" w:cs="Cambria"/>
          <w:lang w:eastAsia="en-US"/>
        </w:rPr>
      </w:pPr>
      <w:r w:rsidRPr="00931280">
        <w:rPr>
          <w:rFonts w:ascii="Cambria Math" w:eastAsia="Cambria" w:hAnsi="Cambria Math" w:cs="Cambria Math"/>
          <w:lang w:eastAsia="en-US"/>
        </w:rPr>
        <w:t>𝑒</w:t>
      </w:r>
      <w:r w:rsidRPr="00931280">
        <w:rPr>
          <w:rFonts w:eastAsia="Cambria" w:cs="Cambria"/>
          <w:lang w:eastAsia="en-US"/>
        </w:rPr>
        <w:t xml:space="preserve">  </w:t>
      </w:r>
      <w:r w:rsidRPr="00931280">
        <w:rPr>
          <w:rFonts w:eastAsia="Cambria" w:cs="Cambria"/>
          <w:lang w:eastAsia="en-US"/>
        </w:rPr>
        <w:tab/>
      </w:r>
      <w:r w:rsidRPr="00931280">
        <w:rPr>
          <w:rFonts w:eastAsia="Cambria" w:cs="Cambria"/>
          <w:lang w:eastAsia="en-US"/>
        </w:rPr>
        <w:tab/>
      </w:r>
      <w:r w:rsidRPr="00931280">
        <w:rPr>
          <w:rFonts w:eastAsia="Cambria" w:cs="Cambria"/>
          <w:lang w:eastAsia="en-US"/>
        </w:rPr>
        <w:tab/>
        <w:t>: Error</w:t>
      </w:r>
    </w:p>
    <w:p w14:paraId="24077D1B" w14:textId="77777777" w:rsidR="00FD2E41" w:rsidRPr="00931280" w:rsidRDefault="00FD2E41" w:rsidP="00FD2E41">
      <w:pPr>
        <w:spacing w:after="0" w:line="240" w:lineRule="auto"/>
        <w:rPr>
          <w:rFonts w:eastAsia="Cambria" w:cs="Cambria"/>
          <w:lang w:eastAsia="en-US"/>
        </w:rPr>
      </w:pPr>
    </w:p>
    <w:p w14:paraId="11EDCFC5" w14:textId="6F7F6CE3" w:rsidR="00E70668" w:rsidRPr="00931280" w:rsidRDefault="00E70668" w:rsidP="00E70668">
      <w:pPr>
        <w:spacing w:after="0" w:line="240" w:lineRule="auto"/>
        <w:rPr>
          <w:rFonts w:eastAsia="Cambria" w:cs="Cambria"/>
          <w:b/>
          <w:lang w:eastAsia="en-US"/>
        </w:rPr>
      </w:pPr>
      <w:r w:rsidRPr="00931280">
        <w:rPr>
          <w:rFonts w:eastAsia="Cambria" w:cs="Cambria"/>
          <w:b/>
          <w:lang w:eastAsia="en-US"/>
        </w:rPr>
        <w:t>Research Variables and Variable Operational Definitions</w:t>
      </w:r>
    </w:p>
    <w:p w14:paraId="736ED697" w14:textId="13133A2E" w:rsidR="00E70668" w:rsidRPr="00931280" w:rsidRDefault="00C578E5" w:rsidP="00C578E5">
      <w:pPr>
        <w:spacing w:after="0" w:line="240" w:lineRule="auto"/>
        <w:ind w:firstLine="284"/>
        <w:jc w:val="both"/>
        <w:rPr>
          <w:rFonts w:eastAsia="Cambria" w:cs="Cambria"/>
          <w:lang w:eastAsia="en-US"/>
        </w:rPr>
      </w:pPr>
      <w:r w:rsidRPr="00931280">
        <w:rPr>
          <w:rFonts w:eastAsia="Cambria" w:cs="Cambria"/>
          <w:lang w:eastAsia="en-US"/>
        </w:rPr>
        <w:t>This study uses 3 variables, including firm value</w:t>
      </w:r>
      <w:r w:rsidR="002A3917" w:rsidRPr="00931280">
        <w:rPr>
          <w:rFonts w:eastAsia="Cambria" w:cs="Cambria"/>
          <w:lang w:eastAsia="en-US"/>
        </w:rPr>
        <w:t xml:space="preserve"> as dependent variable</w:t>
      </w:r>
      <w:r w:rsidRPr="00931280">
        <w:rPr>
          <w:rFonts w:eastAsia="Cambria" w:cs="Cambria"/>
          <w:lang w:eastAsia="en-US"/>
        </w:rPr>
        <w:t>, the independent variable consists of 3 comparison variables including: IOS, Company Growth, and Profitability, and moderating variables in the form of dividend policy.</w:t>
      </w:r>
    </w:p>
    <w:p w14:paraId="35868DBB" w14:textId="77777777" w:rsidR="00C578E5" w:rsidRPr="00931280" w:rsidRDefault="00C578E5" w:rsidP="00C578E5">
      <w:pPr>
        <w:spacing w:after="0" w:line="240" w:lineRule="auto"/>
        <w:jc w:val="center"/>
        <w:rPr>
          <w:rFonts w:eastAsia="Cambria" w:cs="Cambria"/>
          <w:lang w:eastAsia="en-US"/>
        </w:rPr>
      </w:pPr>
      <w:r w:rsidRPr="00931280">
        <w:rPr>
          <w:rFonts w:eastAsia="Cambria" w:cs="Cambria"/>
          <w:b/>
          <w:lang w:eastAsia="en-US"/>
        </w:rPr>
        <w:t>Table 3 Operationalization of Variables</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834"/>
        <w:gridCol w:w="176"/>
        <w:gridCol w:w="5850"/>
      </w:tblGrid>
      <w:tr w:rsidR="00C578E5" w:rsidRPr="00931280" w14:paraId="7A1D6838" w14:textId="77777777" w:rsidTr="00C578E5">
        <w:trPr>
          <w:trHeight w:val="270"/>
          <w:jc w:val="center"/>
        </w:trPr>
        <w:tc>
          <w:tcPr>
            <w:tcW w:w="1710" w:type="dxa"/>
            <w:tcBorders>
              <w:top w:val="single" w:sz="8" w:space="0" w:color="000000"/>
              <w:left w:val="nil"/>
              <w:bottom w:val="single" w:sz="8" w:space="0" w:color="000000"/>
              <w:right w:val="nil"/>
            </w:tcBorders>
            <w:hideMark/>
          </w:tcPr>
          <w:p w14:paraId="05F80751" w14:textId="77777777" w:rsidR="00C578E5" w:rsidRPr="00931280" w:rsidRDefault="00C578E5" w:rsidP="00C578E5">
            <w:pPr>
              <w:widowControl w:val="0"/>
              <w:spacing w:after="0" w:line="240" w:lineRule="auto"/>
              <w:jc w:val="center"/>
              <w:rPr>
                <w:rFonts w:eastAsia="Cambria" w:cs="Times New Roman"/>
                <w:b/>
                <w:lang w:eastAsia="en-US"/>
              </w:rPr>
            </w:pPr>
            <w:r w:rsidRPr="00931280">
              <w:rPr>
                <w:rFonts w:eastAsia="Cambria" w:cs="Times New Roman"/>
                <w:b/>
                <w:lang w:eastAsia="en-US"/>
              </w:rPr>
              <w:t>Variables</w:t>
            </w:r>
          </w:p>
        </w:tc>
        <w:tc>
          <w:tcPr>
            <w:tcW w:w="2010" w:type="dxa"/>
            <w:gridSpan w:val="2"/>
            <w:tcBorders>
              <w:top w:val="single" w:sz="8" w:space="0" w:color="000000"/>
              <w:left w:val="nil"/>
              <w:bottom w:val="single" w:sz="8" w:space="0" w:color="000000"/>
              <w:right w:val="nil"/>
            </w:tcBorders>
            <w:hideMark/>
          </w:tcPr>
          <w:p w14:paraId="173D73BD" w14:textId="77777777" w:rsidR="00C578E5" w:rsidRPr="00931280" w:rsidRDefault="00C578E5" w:rsidP="00C578E5">
            <w:pPr>
              <w:widowControl w:val="0"/>
              <w:spacing w:after="0" w:line="240" w:lineRule="auto"/>
              <w:jc w:val="center"/>
              <w:rPr>
                <w:rFonts w:eastAsia="Cambria" w:cs="Times New Roman"/>
                <w:b/>
                <w:lang w:eastAsia="en-US"/>
              </w:rPr>
            </w:pPr>
            <w:r w:rsidRPr="00931280">
              <w:rPr>
                <w:rFonts w:eastAsia="Cambria" w:cs="Times New Roman"/>
                <w:b/>
                <w:lang w:eastAsia="en-US"/>
              </w:rPr>
              <w:t>Source</w:t>
            </w:r>
          </w:p>
        </w:tc>
        <w:tc>
          <w:tcPr>
            <w:tcW w:w="5850" w:type="dxa"/>
            <w:tcBorders>
              <w:top w:val="single" w:sz="8" w:space="0" w:color="000000"/>
              <w:left w:val="nil"/>
              <w:bottom w:val="single" w:sz="8" w:space="0" w:color="000000"/>
              <w:right w:val="nil"/>
            </w:tcBorders>
            <w:hideMark/>
          </w:tcPr>
          <w:p w14:paraId="2B8DCDD0" w14:textId="77777777" w:rsidR="00C578E5" w:rsidRPr="00931280" w:rsidRDefault="00C578E5" w:rsidP="00C578E5">
            <w:pPr>
              <w:widowControl w:val="0"/>
              <w:spacing w:after="0" w:line="240" w:lineRule="auto"/>
              <w:jc w:val="center"/>
              <w:rPr>
                <w:rFonts w:eastAsia="Cambria" w:cs="Times New Roman"/>
                <w:b/>
                <w:lang w:eastAsia="en-US"/>
              </w:rPr>
            </w:pPr>
            <w:r w:rsidRPr="00931280">
              <w:rPr>
                <w:rFonts w:eastAsia="Cambria" w:cs="Times New Roman"/>
                <w:b/>
                <w:lang w:eastAsia="en-US"/>
              </w:rPr>
              <w:t>Ratio</w:t>
            </w:r>
          </w:p>
        </w:tc>
      </w:tr>
      <w:tr w:rsidR="00F87C2E" w:rsidRPr="00931280" w14:paraId="0B37C05A" w14:textId="77777777" w:rsidTr="00F87C2E">
        <w:trPr>
          <w:trHeight w:val="510"/>
          <w:jc w:val="center"/>
        </w:trPr>
        <w:tc>
          <w:tcPr>
            <w:tcW w:w="1710" w:type="dxa"/>
            <w:tcBorders>
              <w:top w:val="single" w:sz="8" w:space="0" w:color="000000"/>
              <w:left w:val="nil"/>
              <w:bottom w:val="nil"/>
              <w:right w:val="nil"/>
            </w:tcBorders>
            <w:hideMark/>
          </w:tcPr>
          <w:p w14:paraId="55342D5F" w14:textId="77777777"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Firm Value (Y)</w:t>
            </w:r>
          </w:p>
        </w:tc>
        <w:tc>
          <w:tcPr>
            <w:tcW w:w="2010" w:type="dxa"/>
            <w:gridSpan w:val="2"/>
            <w:tcBorders>
              <w:top w:val="single" w:sz="8" w:space="0" w:color="000000"/>
              <w:left w:val="nil"/>
              <w:bottom w:val="nil"/>
              <w:right w:val="nil"/>
            </w:tcBorders>
          </w:tcPr>
          <w:p w14:paraId="4DBD6742" w14:textId="243FE882"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(Sugiono &amp; Untung, 2019)</w:t>
            </w:r>
          </w:p>
        </w:tc>
        <w:tc>
          <w:tcPr>
            <w:tcW w:w="5850" w:type="dxa"/>
            <w:tcBorders>
              <w:top w:val="single" w:sz="8" w:space="0" w:color="000000"/>
              <w:left w:val="nil"/>
              <w:bottom w:val="nil"/>
              <w:right w:val="nil"/>
            </w:tcBorders>
            <w:vAlign w:val="center"/>
            <w:hideMark/>
          </w:tcPr>
          <w:p w14:paraId="762F2F55" w14:textId="77777777" w:rsidR="00F87C2E" w:rsidRPr="00931280" w:rsidRDefault="00F87C2E" w:rsidP="00F87C2E">
            <w:pPr>
              <w:widowControl w:val="0"/>
              <w:spacing w:after="0" w:line="240" w:lineRule="auto"/>
              <w:rPr>
                <w:rFonts w:eastAsia="Cambria" w:cs="Times New Roman"/>
                <w:sz w:val="16"/>
                <w:szCs w:val="16"/>
                <w:lang w:eastAsia="en-US"/>
              </w:rPr>
            </w:pPr>
            <m:oMathPara>
              <m:oMath>
                <m:r>
                  <w:rPr>
                    <w:rFonts w:ascii="Cambria Math" w:eastAsia="Cambria Math" w:hAnsi="Cambria Math" w:cs="Times New Roman"/>
                    <w:sz w:val="16"/>
                    <w:szCs w:val="16"/>
                    <w:lang w:eastAsia="en-US"/>
                  </w:rPr>
                  <m:t>PBV</m:t>
                </m:r>
                <m:r>
                  <w:rPr>
                    <w:rFonts w:ascii="Cambria Math" w:eastAsia="Cambria" w:hAnsi="Cambria Math" w:cs="Times New Roman"/>
                    <w:sz w:val="16"/>
                    <w:szCs w:val="16"/>
                    <w:lang w:eastAsia="en-US"/>
                  </w:rPr>
                  <m:t>=</m:t>
                </m:r>
                <m:f>
                  <m:fPr>
                    <m:ctrlPr>
                      <w:rPr>
                        <w:rFonts w:ascii="Cambria Math" w:eastAsia="Cambria Math" w:hAnsi="Cambria Math" w:cs="Times New Roman"/>
                        <w:sz w:val="16"/>
                        <w:szCs w:val="16"/>
                        <w:lang w:eastAsia="en-US"/>
                      </w:rPr>
                    </m:ctrlPr>
                  </m:fPr>
                  <m:num>
                    <m:r>
                      <w:rPr>
                        <w:rFonts w:ascii="Cambria Math" w:eastAsia="Cambria Math" w:hAnsi="Cambria Math" w:cs="Times New Roman"/>
                        <w:sz w:val="16"/>
                        <w:szCs w:val="16"/>
                        <w:lang w:eastAsia="en-US"/>
                      </w:rPr>
                      <m:t xml:space="preserve">Market Price Per Share </m:t>
                    </m:r>
                  </m:num>
                  <m:den>
                    <m:eqArr>
                      <m:eqArrPr>
                        <m:ctrlPr>
                          <w:rPr>
                            <w:rFonts w:ascii="Cambria Math" w:eastAsia="Cambria Math" w:hAnsi="Cambria Math" w:cs="Times New Roman"/>
                            <w:i/>
                            <w:sz w:val="16"/>
                            <w:szCs w:val="16"/>
                            <w:lang w:eastAsia="en-US"/>
                          </w:rPr>
                        </m:ctrlPr>
                      </m:eqArrPr>
                      <m:e>
                        <m:r>
                          <w:rPr>
                            <w:rFonts w:ascii="Cambria Math" w:eastAsia="Cambria Math" w:hAnsi="Cambria Math" w:cs="Times New Roman"/>
                            <w:sz w:val="16"/>
                            <w:szCs w:val="16"/>
                            <w:lang w:eastAsia="en-US"/>
                          </w:rPr>
                          <m:t xml:space="preserve"> </m:t>
                        </m:r>
                      </m:e>
                      <m:e>
                        <m:r>
                          <w:rPr>
                            <w:rFonts w:ascii="Cambria Math" w:eastAsia="Cambria Math" w:hAnsi="Cambria Math" w:cs="Times New Roman"/>
                            <w:sz w:val="16"/>
                            <w:szCs w:val="16"/>
                            <w:lang w:eastAsia="en-US"/>
                          </w:rPr>
                          <m:t>Book Value Per Share</m:t>
                        </m:r>
                      </m:e>
                    </m:eqArr>
                  </m:den>
                </m:f>
              </m:oMath>
            </m:oMathPara>
          </w:p>
        </w:tc>
      </w:tr>
      <w:tr w:rsidR="00F87C2E" w:rsidRPr="00931280" w14:paraId="5619478E" w14:textId="77777777" w:rsidTr="00F87C2E">
        <w:trPr>
          <w:trHeight w:val="637"/>
          <w:jc w:val="center"/>
        </w:trPr>
        <w:tc>
          <w:tcPr>
            <w:tcW w:w="1710" w:type="dxa"/>
            <w:tcBorders>
              <w:top w:val="nil"/>
              <w:left w:val="nil"/>
              <w:bottom w:val="nil"/>
              <w:right w:val="nil"/>
            </w:tcBorders>
            <w:hideMark/>
          </w:tcPr>
          <w:p w14:paraId="74DAE288" w14:textId="77777777"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Investment Opportunity Cost (X1)</w:t>
            </w:r>
          </w:p>
        </w:tc>
        <w:tc>
          <w:tcPr>
            <w:tcW w:w="1834" w:type="dxa"/>
            <w:tcBorders>
              <w:top w:val="nil"/>
              <w:left w:val="nil"/>
              <w:bottom w:val="nil"/>
              <w:right w:val="nil"/>
            </w:tcBorders>
          </w:tcPr>
          <w:p w14:paraId="0C317132" w14:textId="0B38E9DA"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(Smith &amp; Watts, 1992)</w:t>
            </w:r>
          </w:p>
        </w:tc>
        <w:tc>
          <w:tcPr>
            <w:tcW w:w="6026" w:type="dxa"/>
            <w:gridSpan w:val="2"/>
            <w:tcBorders>
              <w:top w:val="nil"/>
              <w:left w:val="nil"/>
              <w:bottom w:val="nil"/>
              <w:right w:val="nil"/>
            </w:tcBorders>
            <w:vAlign w:val="center"/>
            <w:hideMark/>
          </w:tcPr>
          <w:p w14:paraId="5FD05352" w14:textId="77777777" w:rsidR="00F87C2E" w:rsidRPr="00931280" w:rsidRDefault="00F87C2E" w:rsidP="00F87C2E">
            <w:pPr>
              <w:spacing w:after="0" w:line="240" w:lineRule="auto"/>
              <w:rPr>
                <w:rFonts w:eastAsia="Cambria" w:cs="Times New Roman"/>
                <w:sz w:val="16"/>
                <w:szCs w:val="16"/>
                <w:lang w:eastAsia="en-US"/>
              </w:rPr>
            </w:pPr>
            <m:oMathPara>
              <m:oMath>
                <m:r>
                  <w:rPr>
                    <w:rFonts w:ascii="Cambria Math" w:eastAsia="Cambria Math" w:hAnsi="Cambria Math" w:cs="Times New Roman"/>
                    <w:sz w:val="16"/>
                    <w:szCs w:val="16"/>
                    <w:lang w:eastAsia="en-US"/>
                  </w:rPr>
                  <m:t>MBVE=</m:t>
                </m:r>
                <m:f>
                  <m:fPr>
                    <m:ctrlPr>
                      <w:rPr>
                        <w:rFonts w:ascii="Cambria Math" w:eastAsia="Cambria Math" w:hAnsi="Cambria Math" w:cs="Times New Roman"/>
                        <w:sz w:val="16"/>
                        <w:szCs w:val="16"/>
                        <w:lang w:eastAsia="en-US"/>
                      </w:rPr>
                    </m:ctrlPr>
                  </m:fPr>
                  <m:num>
                    <m:r>
                      <w:rPr>
                        <w:rFonts w:ascii="Cambria Math" w:eastAsia="Cambria Math" w:hAnsi="Cambria Math" w:cs="Times New Roman"/>
                        <w:sz w:val="16"/>
                        <w:szCs w:val="16"/>
                        <w:lang w:eastAsia="en-US"/>
                      </w:rPr>
                      <m:t>Total Aktiva-Total Equity+Total Share Outstanding*Closing Price</m:t>
                    </m:r>
                  </m:num>
                  <m:den>
                    <m:r>
                      <w:rPr>
                        <w:rFonts w:ascii="Cambria Math" w:eastAsia="Cambria Math" w:hAnsi="Cambria Math" w:cs="Times New Roman"/>
                        <w:sz w:val="16"/>
                        <w:szCs w:val="16"/>
                        <w:lang w:eastAsia="en-US"/>
                      </w:rPr>
                      <m:t>Total Equity</m:t>
                    </m:r>
                  </m:den>
                </m:f>
              </m:oMath>
            </m:oMathPara>
          </w:p>
        </w:tc>
      </w:tr>
      <w:tr w:rsidR="00F87C2E" w:rsidRPr="00931280" w14:paraId="44DE8503" w14:textId="77777777" w:rsidTr="00F87C2E">
        <w:trPr>
          <w:trHeight w:val="525"/>
          <w:jc w:val="center"/>
        </w:trPr>
        <w:tc>
          <w:tcPr>
            <w:tcW w:w="1710" w:type="dxa"/>
            <w:tcBorders>
              <w:top w:val="nil"/>
              <w:left w:val="nil"/>
              <w:bottom w:val="nil"/>
              <w:right w:val="nil"/>
            </w:tcBorders>
            <w:hideMark/>
          </w:tcPr>
          <w:p w14:paraId="22DAF977" w14:textId="77777777"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Company Growth (X2)</w:t>
            </w:r>
          </w:p>
        </w:tc>
        <w:tc>
          <w:tcPr>
            <w:tcW w:w="1834" w:type="dxa"/>
            <w:tcBorders>
              <w:top w:val="nil"/>
              <w:left w:val="nil"/>
              <w:bottom w:val="nil"/>
              <w:right w:val="nil"/>
            </w:tcBorders>
          </w:tcPr>
          <w:p w14:paraId="45A10CC4" w14:textId="62BA1FB2"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(Samsul, 2006)</w:t>
            </w:r>
          </w:p>
        </w:tc>
        <w:tc>
          <w:tcPr>
            <w:tcW w:w="6026" w:type="dxa"/>
            <w:gridSpan w:val="2"/>
            <w:tcBorders>
              <w:top w:val="nil"/>
              <w:left w:val="nil"/>
              <w:bottom w:val="nil"/>
              <w:right w:val="nil"/>
            </w:tcBorders>
            <w:vAlign w:val="center"/>
            <w:hideMark/>
          </w:tcPr>
          <w:p w14:paraId="4E73A06E" w14:textId="77777777" w:rsidR="00F87C2E" w:rsidRPr="00931280" w:rsidRDefault="00F87C2E" w:rsidP="00F87C2E">
            <w:pPr>
              <w:spacing w:after="0" w:line="240" w:lineRule="auto"/>
              <w:rPr>
                <w:rFonts w:eastAsia="Cambria" w:cs="Times New Roman"/>
                <w:sz w:val="16"/>
                <w:szCs w:val="16"/>
                <w:lang w:eastAsia="en-US"/>
              </w:rPr>
            </w:pPr>
            <m:oMathPara>
              <m:oMath>
                <m:r>
                  <w:rPr>
                    <w:rFonts w:ascii="Cambria Math" w:eastAsia="Cambria Math" w:hAnsi="Cambria Math" w:cs="Times New Roman"/>
                    <w:sz w:val="16"/>
                    <w:szCs w:val="16"/>
                    <w:lang w:eastAsia="en-US"/>
                  </w:rPr>
                  <m:t>Growth=</m:t>
                </m:r>
                <m:f>
                  <m:fPr>
                    <m:ctrlPr>
                      <w:rPr>
                        <w:rFonts w:ascii="Cambria Math" w:eastAsia="Cambria Math" w:hAnsi="Cambria Math" w:cs="Times New Roman"/>
                        <w:sz w:val="16"/>
                        <w:szCs w:val="16"/>
                        <w:lang w:eastAsia="en-US"/>
                      </w:rPr>
                    </m:ctrlPr>
                  </m:fPr>
                  <m:num>
                    <m:r>
                      <w:rPr>
                        <w:rFonts w:ascii="Cambria Math" w:eastAsia="Cambria Math" w:hAnsi="Cambria Math" w:cs="Times New Roman"/>
                        <w:sz w:val="16"/>
                        <w:szCs w:val="16"/>
                        <w:lang w:eastAsia="en-US"/>
                      </w:rPr>
                      <m:t>(Aktiva t-Aktiva t-1)</m:t>
                    </m:r>
                  </m:num>
                  <m:den>
                    <m:r>
                      <w:rPr>
                        <w:rFonts w:ascii="Cambria Math" w:eastAsia="Cambria Math" w:hAnsi="Cambria Math" w:cs="Times New Roman"/>
                        <w:sz w:val="16"/>
                        <w:szCs w:val="16"/>
                        <w:lang w:eastAsia="en-US"/>
                      </w:rPr>
                      <m:t>Aktiva t-1</m:t>
                    </m:r>
                  </m:den>
                </m:f>
              </m:oMath>
            </m:oMathPara>
          </w:p>
        </w:tc>
      </w:tr>
      <w:tr w:rsidR="00F87C2E" w:rsidRPr="00931280" w14:paraId="7502BE0A" w14:textId="77777777" w:rsidTr="00F87C2E">
        <w:trPr>
          <w:trHeight w:val="562"/>
          <w:jc w:val="center"/>
        </w:trPr>
        <w:tc>
          <w:tcPr>
            <w:tcW w:w="1710" w:type="dxa"/>
            <w:tcBorders>
              <w:top w:val="nil"/>
              <w:left w:val="nil"/>
              <w:bottom w:val="nil"/>
              <w:right w:val="nil"/>
            </w:tcBorders>
            <w:hideMark/>
          </w:tcPr>
          <w:p w14:paraId="27A190E5" w14:textId="77777777"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Profitability (X3)</w:t>
            </w:r>
          </w:p>
        </w:tc>
        <w:tc>
          <w:tcPr>
            <w:tcW w:w="1834" w:type="dxa"/>
            <w:tcBorders>
              <w:top w:val="nil"/>
              <w:left w:val="nil"/>
              <w:bottom w:val="nil"/>
              <w:right w:val="nil"/>
            </w:tcBorders>
          </w:tcPr>
          <w:p w14:paraId="7C405BA2" w14:textId="7458DA69"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(Amelia &amp; Sunarsi, 2020)</w:t>
            </w:r>
          </w:p>
        </w:tc>
        <w:tc>
          <w:tcPr>
            <w:tcW w:w="6026" w:type="dxa"/>
            <w:gridSpan w:val="2"/>
            <w:tcBorders>
              <w:top w:val="nil"/>
              <w:left w:val="nil"/>
              <w:bottom w:val="nil"/>
              <w:right w:val="nil"/>
            </w:tcBorders>
            <w:vAlign w:val="center"/>
            <w:hideMark/>
          </w:tcPr>
          <w:p w14:paraId="4C0849C4" w14:textId="77777777" w:rsidR="00F87C2E" w:rsidRPr="00931280" w:rsidRDefault="00F87C2E" w:rsidP="00F87C2E">
            <w:pPr>
              <w:widowControl w:val="0"/>
              <w:spacing w:after="0" w:line="240" w:lineRule="auto"/>
              <w:rPr>
                <w:rFonts w:eastAsia="Cambria" w:cs="Times New Roman"/>
                <w:sz w:val="16"/>
                <w:szCs w:val="16"/>
                <w:lang w:eastAsia="en-US"/>
              </w:rPr>
            </w:pPr>
            <m:oMathPara>
              <m:oMath>
                <m:r>
                  <w:rPr>
                    <w:rFonts w:ascii="Cambria Math" w:eastAsia="Cambria" w:hAnsi="Cambria Math" w:cs="Times New Roman"/>
                    <w:sz w:val="16"/>
                    <w:szCs w:val="16"/>
                    <w:lang w:eastAsia="en-US"/>
                  </w:rPr>
                  <m:t xml:space="preserve">ROA = </m:t>
                </m:r>
                <m:f>
                  <m:fPr>
                    <m:ctrlPr>
                      <w:rPr>
                        <w:rFonts w:ascii="Cambria Math" w:eastAsia="Cambria" w:hAnsi="Cambria Math" w:cs="Times New Roman"/>
                        <w:sz w:val="16"/>
                        <w:szCs w:val="16"/>
                        <w:lang w:eastAsia="en-US"/>
                      </w:rPr>
                    </m:ctrlPr>
                  </m:fPr>
                  <m:num>
                    <m:r>
                      <w:rPr>
                        <w:rFonts w:ascii="Cambria Math" w:eastAsia="Cambria" w:hAnsi="Cambria Math" w:cs="Times New Roman"/>
                        <w:sz w:val="16"/>
                        <w:szCs w:val="16"/>
                        <w:lang w:eastAsia="en-US"/>
                      </w:rPr>
                      <m:t>Net Income After Tax</m:t>
                    </m:r>
                  </m:num>
                  <m:den>
                    <m:r>
                      <w:rPr>
                        <w:rFonts w:ascii="Cambria Math" w:eastAsia="Cambria" w:hAnsi="Cambria Math" w:cs="Times New Roman"/>
                        <w:sz w:val="16"/>
                        <w:szCs w:val="16"/>
                        <w:lang w:eastAsia="en-US"/>
                      </w:rPr>
                      <m:t>Total Aktiva</m:t>
                    </m:r>
                  </m:den>
                </m:f>
              </m:oMath>
            </m:oMathPara>
          </w:p>
        </w:tc>
      </w:tr>
      <w:tr w:rsidR="00F87C2E" w:rsidRPr="00931280" w14:paraId="6D74B675" w14:textId="77777777" w:rsidTr="00F87C2E">
        <w:trPr>
          <w:trHeight w:val="545"/>
          <w:jc w:val="center"/>
        </w:trPr>
        <w:tc>
          <w:tcPr>
            <w:tcW w:w="1710" w:type="dxa"/>
            <w:tcBorders>
              <w:top w:val="nil"/>
              <w:left w:val="nil"/>
              <w:bottom w:val="single" w:sz="8" w:space="0" w:color="000000"/>
              <w:right w:val="nil"/>
            </w:tcBorders>
            <w:hideMark/>
          </w:tcPr>
          <w:p w14:paraId="05417DAC" w14:textId="77777777"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Dividend Policy (Z)</w:t>
            </w:r>
          </w:p>
        </w:tc>
        <w:tc>
          <w:tcPr>
            <w:tcW w:w="1834" w:type="dxa"/>
            <w:tcBorders>
              <w:top w:val="nil"/>
              <w:left w:val="nil"/>
              <w:bottom w:val="single" w:sz="8" w:space="0" w:color="000000"/>
              <w:right w:val="nil"/>
            </w:tcBorders>
          </w:tcPr>
          <w:p w14:paraId="3C7EE2A9" w14:textId="52614990" w:rsidR="00F87C2E" w:rsidRPr="00931280" w:rsidRDefault="00F87C2E" w:rsidP="00F87C2E">
            <w:pPr>
              <w:widowControl w:val="0"/>
              <w:spacing w:after="0" w:line="240" w:lineRule="auto"/>
              <w:rPr>
                <w:rFonts w:eastAsia="Cambria" w:cs="Times New Roman"/>
                <w:lang w:eastAsia="en-US"/>
              </w:rPr>
            </w:pPr>
            <w:r w:rsidRPr="00931280">
              <w:rPr>
                <w:rFonts w:eastAsia="Cambria" w:cs="Times New Roman"/>
                <w:lang w:eastAsia="en-US"/>
              </w:rPr>
              <w:t>(Musiega et al., 2013)</w:t>
            </w:r>
          </w:p>
        </w:tc>
        <w:tc>
          <w:tcPr>
            <w:tcW w:w="6026" w:type="dxa"/>
            <w:gridSpan w:val="2"/>
            <w:tcBorders>
              <w:top w:val="nil"/>
              <w:left w:val="nil"/>
              <w:bottom w:val="single" w:sz="8" w:space="0" w:color="000000"/>
              <w:right w:val="nil"/>
            </w:tcBorders>
            <w:vAlign w:val="center"/>
            <w:hideMark/>
          </w:tcPr>
          <w:p w14:paraId="6ACA498E" w14:textId="77777777" w:rsidR="00F87C2E" w:rsidRPr="00931280" w:rsidRDefault="00F87C2E" w:rsidP="00F87C2E">
            <w:pPr>
              <w:widowControl w:val="0"/>
              <w:spacing w:after="0" w:line="240" w:lineRule="auto"/>
              <w:rPr>
                <w:rFonts w:eastAsia="Cambria" w:cs="Times New Roman"/>
                <w:sz w:val="16"/>
                <w:szCs w:val="16"/>
                <w:lang w:eastAsia="en-US"/>
              </w:rPr>
            </w:pPr>
            <m:oMathPara>
              <m:oMath>
                <m:r>
                  <w:rPr>
                    <w:rFonts w:ascii="Cambria Math" w:eastAsia="Cambria" w:hAnsi="Cambria Math" w:cs="Times New Roman"/>
                    <w:sz w:val="16"/>
                    <w:szCs w:val="16"/>
                    <w:lang w:eastAsia="en-US"/>
                  </w:rPr>
                  <m:t xml:space="preserve">DPR = </m:t>
                </m:r>
                <m:f>
                  <m:fPr>
                    <m:ctrlPr>
                      <w:rPr>
                        <w:rFonts w:ascii="Cambria Math" w:eastAsia="Cambria" w:hAnsi="Cambria Math" w:cs="Times New Roman"/>
                        <w:i/>
                        <w:sz w:val="16"/>
                        <w:szCs w:val="16"/>
                        <w:lang w:eastAsia="en-US"/>
                      </w:rPr>
                    </m:ctrlPr>
                  </m:fPr>
                  <m:num>
                    <m:r>
                      <w:rPr>
                        <w:rFonts w:ascii="Cambria Math" w:eastAsia="Cambria" w:hAnsi="Cambria Math" w:cs="Times New Roman"/>
                        <w:sz w:val="16"/>
                        <w:szCs w:val="16"/>
                        <w:lang w:eastAsia="en-US"/>
                      </w:rPr>
                      <m:t>Dividend Per Share</m:t>
                    </m:r>
                  </m:num>
                  <m:den>
                    <m:r>
                      <w:rPr>
                        <w:rFonts w:ascii="Cambria Math" w:eastAsia="Cambria" w:hAnsi="Cambria Math" w:cs="Times New Roman"/>
                        <w:sz w:val="16"/>
                        <w:szCs w:val="16"/>
                        <w:lang w:eastAsia="en-US"/>
                      </w:rPr>
                      <m:t>Earning Per Share</m:t>
                    </m:r>
                  </m:den>
                </m:f>
              </m:oMath>
            </m:oMathPara>
          </w:p>
        </w:tc>
      </w:tr>
    </w:tbl>
    <w:p w14:paraId="7A85AF66" w14:textId="77777777" w:rsidR="00CB2D51" w:rsidRPr="00931280" w:rsidRDefault="00CB2D51" w:rsidP="00CB2D51">
      <w:pPr>
        <w:spacing w:after="0" w:line="240" w:lineRule="auto"/>
        <w:jc w:val="center"/>
        <w:rPr>
          <w:rFonts w:eastAsia="Cambria" w:cs="Cambria"/>
          <w:b/>
          <w:lang w:eastAsia="en-US"/>
        </w:rPr>
      </w:pPr>
    </w:p>
    <w:p w14:paraId="671CF92D" w14:textId="4E5735B2" w:rsidR="00CB2D51" w:rsidRPr="00931280" w:rsidRDefault="00CB2D51" w:rsidP="00CB2D51">
      <w:pPr>
        <w:spacing w:after="0" w:line="240" w:lineRule="auto"/>
        <w:jc w:val="center"/>
        <w:rPr>
          <w:rFonts w:eastAsia="Cambria" w:cs="Cambria"/>
          <w:b/>
          <w:lang w:eastAsia="en-US"/>
        </w:rPr>
      </w:pPr>
      <w:r w:rsidRPr="00931280">
        <w:rPr>
          <w:rFonts w:eastAsia="Cambria" w:cs="Cambria"/>
          <w:b/>
          <w:lang w:eastAsia="en-US"/>
        </w:rPr>
        <w:t>Hypothesis Development</w:t>
      </w:r>
    </w:p>
    <w:p w14:paraId="02B3D30C" w14:textId="77777777" w:rsidR="00FD2E41" w:rsidRPr="00931280" w:rsidRDefault="00FD2E41" w:rsidP="00CB2D51">
      <w:pPr>
        <w:spacing w:after="0" w:line="240" w:lineRule="auto"/>
        <w:jc w:val="center"/>
        <w:rPr>
          <w:rFonts w:eastAsia="Cambria" w:cs="Cambria"/>
          <w:b/>
          <w:lang w:eastAsia="en-US"/>
        </w:rPr>
      </w:pPr>
    </w:p>
    <w:p w14:paraId="318899AB" w14:textId="1AC21BAE" w:rsidR="00C578E5" w:rsidRPr="00931280" w:rsidRDefault="00CB2D51" w:rsidP="00CB2D51">
      <w:pPr>
        <w:spacing w:after="0" w:line="240" w:lineRule="auto"/>
        <w:jc w:val="center"/>
        <w:rPr>
          <w:rFonts w:ascii="Cambria" w:eastAsia="Cambria" w:hAnsi="Cambria" w:cs="Cambria"/>
          <w:b/>
          <w:lang w:eastAsia="en-US"/>
        </w:rPr>
      </w:pPr>
      <w:r w:rsidRPr="00931280">
        <w:rPr>
          <w:noProof/>
        </w:rPr>
        <w:drawing>
          <wp:inline distT="0" distB="0" distL="0" distR="0" wp14:anchorId="23AC9025" wp14:editId="0C523915">
            <wp:extent cx="2936010" cy="2090057"/>
            <wp:effectExtent l="0" t="0" r="0" b="5715"/>
            <wp:docPr id="9" name="image3.png"/>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24"/>
                    <a:srcRect/>
                    <a:stretch>
                      <a:fillRect/>
                    </a:stretch>
                  </pic:blipFill>
                  <pic:spPr>
                    <a:xfrm>
                      <a:off x="0" y="0"/>
                      <a:ext cx="2939098" cy="2092256"/>
                    </a:xfrm>
                    <a:prstGeom prst="rect">
                      <a:avLst/>
                    </a:prstGeom>
                    <a:ln/>
                  </pic:spPr>
                </pic:pic>
              </a:graphicData>
            </a:graphic>
          </wp:inline>
        </w:drawing>
      </w:r>
    </w:p>
    <w:p w14:paraId="1BDFE8BF" w14:textId="7D38551B" w:rsidR="007F71AE" w:rsidRPr="00931280" w:rsidRDefault="00CB2D51" w:rsidP="00CB2D51">
      <w:pPr>
        <w:spacing w:after="0" w:line="240" w:lineRule="auto"/>
        <w:jc w:val="center"/>
        <w:rPr>
          <w:lang w:val="en-US"/>
        </w:rPr>
      </w:pPr>
      <w:r w:rsidRPr="00931280">
        <w:rPr>
          <w:b/>
          <w:bCs/>
          <w:lang w:val="en-US"/>
        </w:rPr>
        <w:t>Figure 3</w:t>
      </w:r>
      <w:r w:rsidRPr="00931280">
        <w:rPr>
          <w:lang w:val="en-US"/>
        </w:rPr>
        <w:t>. Conceptual Framework</w:t>
      </w:r>
    </w:p>
    <w:p w14:paraId="4F5445E4" w14:textId="681744D5" w:rsidR="00CB2D51" w:rsidRPr="00931280" w:rsidRDefault="00CB2D51" w:rsidP="00CB2D51">
      <w:pPr>
        <w:spacing w:after="0" w:line="240" w:lineRule="auto"/>
        <w:rPr>
          <w:b/>
          <w:bCs/>
          <w:lang w:val="en-US"/>
        </w:rPr>
      </w:pPr>
      <w:r w:rsidRPr="00931280">
        <w:rPr>
          <w:b/>
          <w:bCs/>
          <w:lang w:val="en-US"/>
        </w:rPr>
        <w:t>Investment Opportunity Set (IOS)</w:t>
      </w:r>
      <w:r w:rsidR="00175090">
        <w:rPr>
          <w:b/>
          <w:bCs/>
          <w:lang w:val="en-US"/>
        </w:rPr>
        <w:t xml:space="preserve"> </w:t>
      </w:r>
      <w:r w:rsidR="00175090" w:rsidRPr="00931280">
        <w:rPr>
          <w:b/>
          <w:bCs/>
          <w:lang w:val="en-US"/>
        </w:rPr>
        <w:t>Effect</w:t>
      </w:r>
      <w:r w:rsidRPr="00931280">
        <w:rPr>
          <w:b/>
          <w:bCs/>
          <w:lang w:val="en-US"/>
        </w:rPr>
        <w:t xml:space="preserve"> </w:t>
      </w:r>
      <w:r w:rsidR="00175090">
        <w:rPr>
          <w:b/>
          <w:bCs/>
          <w:lang w:val="en-US"/>
        </w:rPr>
        <w:t>to</w:t>
      </w:r>
      <w:r w:rsidRPr="00931280">
        <w:rPr>
          <w:b/>
          <w:bCs/>
          <w:lang w:val="en-US"/>
        </w:rPr>
        <w:t xml:space="preserve"> Firm Value</w:t>
      </w:r>
      <w:r w:rsidR="00AA2853" w:rsidRPr="00931280">
        <w:rPr>
          <w:b/>
          <w:bCs/>
          <w:lang w:val="en-US"/>
        </w:rPr>
        <w:t xml:space="preserve"> </w:t>
      </w:r>
    </w:p>
    <w:p w14:paraId="7564B9DD" w14:textId="19CE3AD4" w:rsidR="00CB2D51" w:rsidRPr="00931280" w:rsidRDefault="00CB2D51" w:rsidP="00CB2D51">
      <w:pPr>
        <w:spacing w:after="0" w:line="240" w:lineRule="auto"/>
        <w:jc w:val="both"/>
        <w:rPr>
          <w:b/>
          <w:bCs/>
          <w:lang w:val="en-US"/>
        </w:rPr>
      </w:pPr>
      <w:r w:rsidRPr="00931280">
        <w:rPr>
          <w:lang w:val="en-US"/>
        </w:rPr>
        <w:t xml:space="preserve">When implemented, IOS gives a true image of the assets of the company, demonstrating its capacity to make investment choices that could pay off in the long run (Hutchinson &amp; A Gul, 2006). According to signal theory, IOS will give owners, investors, and creditors a favourable signal perspective when evaluating a company through asset expansion, which will raise the </w:t>
      </w:r>
      <w:r w:rsidRPr="00931280">
        <w:rPr>
          <w:lang w:val="en-US"/>
        </w:rPr>
        <w:lastRenderedPageBreak/>
        <w:t>firm's overall value (Khuzaini et al., 2017). Past studies, such as those conducted by Khoeriyah</w:t>
      </w:r>
      <w:r w:rsidR="00775D79" w:rsidRPr="00931280">
        <w:rPr>
          <w:lang w:val="en-US"/>
        </w:rPr>
        <w:t xml:space="preserve"> (</w:t>
      </w:r>
      <w:r w:rsidRPr="00931280">
        <w:rPr>
          <w:lang w:val="en-US"/>
        </w:rPr>
        <w:t>2020), Dharmawan &amp; Riza</w:t>
      </w:r>
      <w:r w:rsidR="00775D79" w:rsidRPr="00931280">
        <w:rPr>
          <w:lang w:val="en-US"/>
        </w:rPr>
        <w:t xml:space="preserve"> (</w:t>
      </w:r>
      <w:r w:rsidRPr="00931280">
        <w:rPr>
          <w:lang w:val="en-US"/>
        </w:rPr>
        <w:t>2019), and Ariyanti et al.</w:t>
      </w:r>
      <w:r w:rsidR="00775D79" w:rsidRPr="00931280">
        <w:rPr>
          <w:lang w:val="en-US"/>
        </w:rPr>
        <w:t xml:space="preserve"> (</w:t>
      </w:r>
      <w:r w:rsidRPr="00931280">
        <w:rPr>
          <w:lang w:val="en-US"/>
        </w:rPr>
        <w:t>2022), have proven a positive relationship between ratio of investment opportunity (IOS) and firm value. According the results</w:t>
      </w:r>
      <w:r w:rsidR="004D2EB1">
        <w:rPr>
          <w:lang w:val="en-US"/>
        </w:rPr>
        <w:t>,</w:t>
      </w:r>
      <w:r w:rsidRPr="00931280">
        <w:rPr>
          <w:lang w:val="en-US"/>
        </w:rPr>
        <w:t xml:space="preserve"> can be obtained</w:t>
      </w:r>
      <w:r w:rsidR="002A3917" w:rsidRPr="00931280">
        <w:rPr>
          <w:lang w:val="en-US"/>
        </w:rPr>
        <w:t xml:space="preserve"> several hypothesis</w:t>
      </w:r>
      <w:r w:rsidRPr="00931280">
        <w:rPr>
          <w:lang w:val="en-US"/>
        </w:rPr>
        <w:t>:</w:t>
      </w:r>
    </w:p>
    <w:p w14:paraId="343B4687" w14:textId="77777777" w:rsidR="00CB2D51" w:rsidRPr="00931280" w:rsidRDefault="00CB2D51" w:rsidP="00CB2D51">
      <w:pPr>
        <w:spacing w:after="0" w:line="240" w:lineRule="auto"/>
        <w:rPr>
          <w:lang w:val="en-US"/>
        </w:rPr>
      </w:pPr>
      <w:r w:rsidRPr="00931280">
        <w:rPr>
          <w:lang w:val="en-US"/>
        </w:rPr>
        <w:t>H</w:t>
      </w:r>
      <w:r w:rsidRPr="003641DC">
        <w:rPr>
          <w:vertAlign w:val="subscript"/>
          <w:lang w:val="en-US"/>
        </w:rPr>
        <w:t>1</w:t>
      </w:r>
      <w:r w:rsidRPr="00931280">
        <w:rPr>
          <w:lang w:val="en-US"/>
        </w:rPr>
        <w:t>: Investment Opportunity Set (IOS) has a positive impact to Firm Value.</w:t>
      </w:r>
    </w:p>
    <w:p w14:paraId="610D6A9B" w14:textId="0377FB07" w:rsidR="00CB2D51" w:rsidRPr="00931280" w:rsidRDefault="00CB2D51" w:rsidP="00CB2D51">
      <w:pPr>
        <w:spacing w:after="0" w:line="240" w:lineRule="auto"/>
        <w:rPr>
          <w:b/>
          <w:bCs/>
          <w:lang w:val="en-US"/>
        </w:rPr>
      </w:pPr>
      <w:r w:rsidRPr="00931280">
        <w:rPr>
          <w:b/>
          <w:bCs/>
          <w:lang w:val="en-US"/>
        </w:rPr>
        <w:t>Company Growth</w:t>
      </w:r>
      <w:r w:rsidR="00175090">
        <w:rPr>
          <w:b/>
          <w:bCs/>
          <w:lang w:val="en-US"/>
        </w:rPr>
        <w:t xml:space="preserve"> </w:t>
      </w:r>
      <w:r w:rsidR="00175090" w:rsidRPr="00931280">
        <w:rPr>
          <w:b/>
          <w:bCs/>
          <w:lang w:val="en-US"/>
        </w:rPr>
        <w:t>Effect</w:t>
      </w:r>
      <w:r w:rsidRPr="00931280">
        <w:rPr>
          <w:b/>
          <w:bCs/>
          <w:lang w:val="en-US"/>
        </w:rPr>
        <w:t xml:space="preserve"> </w:t>
      </w:r>
      <w:r w:rsidR="00175090">
        <w:rPr>
          <w:b/>
          <w:bCs/>
          <w:lang w:val="en-US"/>
        </w:rPr>
        <w:t>to</w:t>
      </w:r>
      <w:r w:rsidRPr="00931280">
        <w:rPr>
          <w:b/>
          <w:bCs/>
          <w:lang w:val="en-US"/>
        </w:rPr>
        <w:t xml:space="preserve"> Firm Value</w:t>
      </w:r>
      <w:r w:rsidR="00AA2853" w:rsidRPr="00931280">
        <w:rPr>
          <w:b/>
          <w:bCs/>
          <w:lang w:val="en-US"/>
        </w:rPr>
        <w:t xml:space="preserve"> </w:t>
      </w:r>
    </w:p>
    <w:p w14:paraId="4E71483C" w14:textId="2CE2CEC5" w:rsidR="00CB2D51" w:rsidRPr="00931280" w:rsidRDefault="00CB2D51" w:rsidP="00CB2D51">
      <w:pPr>
        <w:spacing w:after="0" w:line="240" w:lineRule="auto"/>
        <w:jc w:val="both"/>
        <w:rPr>
          <w:lang w:val="en-US"/>
        </w:rPr>
      </w:pPr>
      <w:r w:rsidRPr="00931280">
        <w:rPr>
          <w:lang w:val="en-US"/>
        </w:rPr>
        <w:t>This company growth refers to changes in the amount of assets in the form of both additions and subtractions in a period compared to the previous period (Ariyanti et al., 2022).  Furthermore, the augment of assets will present a good signal that the company can manage and maintain its performance, thus positively influencing the company's value in the market (Dhani &amp; Utama, 2017). This is relevant to Chabachib et al. research’s (2020), and Ariyanti et al. (2022)</w:t>
      </w:r>
      <w:r w:rsidR="004D2EB1">
        <w:rPr>
          <w:lang w:val="en-US"/>
        </w:rPr>
        <w:t xml:space="preserve"> research’s</w:t>
      </w:r>
      <w:r w:rsidRPr="00931280">
        <w:rPr>
          <w:lang w:val="en-US"/>
        </w:rPr>
        <w:t>,</w:t>
      </w:r>
      <w:r w:rsidR="004D2EB1">
        <w:rPr>
          <w:lang w:val="en-US"/>
        </w:rPr>
        <w:t xml:space="preserve"> </w:t>
      </w:r>
      <w:r w:rsidRPr="00931280">
        <w:rPr>
          <w:lang w:val="en-US"/>
        </w:rPr>
        <w:t>show</w:t>
      </w:r>
      <w:r w:rsidR="004D2EB1">
        <w:rPr>
          <w:lang w:val="en-US"/>
        </w:rPr>
        <w:t>s</w:t>
      </w:r>
      <w:r w:rsidRPr="00931280">
        <w:rPr>
          <w:lang w:val="en-US"/>
        </w:rPr>
        <w:t xml:space="preserve"> positive</w:t>
      </w:r>
      <w:r w:rsidR="004D2EB1">
        <w:rPr>
          <w:lang w:val="en-US"/>
        </w:rPr>
        <w:t xml:space="preserve"> impact</w:t>
      </w:r>
      <w:r w:rsidRPr="00931280">
        <w:rPr>
          <w:lang w:val="en-US"/>
        </w:rPr>
        <w:t xml:space="preserve"> on firm value, which indicates that company growth </w:t>
      </w:r>
      <w:r w:rsidR="002A3917" w:rsidRPr="00931280">
        <w:rPr>
          <w:lang w:val="en-US"/>
        </w:rPr>
        <w:t xml:space="preserve">information </w:t>
      </w:r>
      <w:r w:rsidR="00583B66" w:rsidRPr="00931280">
        <w:rPr>
          <w:lang w:val="en-US"/>
        </w:rPr>
        <w:t>attracts a good response from</w:t>
      </w:r>
      <w:r w:rsidRPr="00931280">
        <w:rPr>
          <w:lang w:val="en-US"/>
        </w:rPr>
        <w:t xml:space="preserve"> investors so it raises stock prices which also affect company's </w:t>
      </w:r>
      <w:r w:rsidR="004D2EB1">
        <w:rPr>
          <w:lang w:val="en-US"/>
        </w:rPr>
        <w:t>worth.</w:t>
      </w:r>
      <w:r w:rsidRPr="00931280">
        <w:rPr>
          <w:lang w:val="en-US"/>
        </w:rPr>
        <w:t xml:space="preserve"> </w:t>
      </w:r>
      <w:r w:rsidR="004D2EB1">
        <w:rPr>
          <w:lang w:val="en-US"/>
        </w:rPr>
        <w:t>Collinear</w:t>
      </w:r>
      <w:r w:rsidRPr="00931280">
        <w:rPr>
          <w:lang w:val="en-US"/>
        </w:rPr>
        <w:t xml:space="preserve"> with </w:t>
      </w:r>
      <w:r w:rsidR="00583B66" w:rsidRPr="00931280">
        <w:rPr>
          <w:lang w:val="en-US"/>
        </w:rPr>
        <w:t>explanation</w:t>
      </w:r>
      <w:r w:rsidRPr="00931280">
        <w:rPr>
          <w:lang w:val="en-US"/>
        </w:rPr>
        <w:t xml:space="preserve"> and findings above, the following hypothesis is obtained:</w:t>
      </w:r>
    </w:p>
    <w:p w14:paraId="029125C0" w14:textId="741E6E10" w:rsidR="00CB2D51" w:rsidRPr="00931280" w:rsidRDefault="00CB2D51" w:rsidP="00CB2D51">
      <w:pPr>
        <w:spacing w:after="0" w:line="240" w:lineRule="auto"/>
        <w:jc w:val="both"/>
        <w:rPr>
          <w:lang w:val="en-US"/>
        </w:rPr>
      </w:pPr>
      <w:r w:rsidRPr="00931280">
        <w:rPr>
          <w:lang w:val="en-US"/>
        </w:rPr>
        <w:t>H</w:t>
      </w:r>
      <w:r w:rsidRPr="003641DC">
        <w:rPr>
          <w:vertAlign w:val="subscript"/>
          <w:lang w:val="en-US"/>
        </w:rPr>
        <w:t xml:space="preserve">2 </w:t>
      </w:r>
      <w:r w:rsidRPr="00931280">
        <w:rPr>
          <w:lang w:val="en-US"/>
        </w:rPr>
        <w:t>: Company Growth has a positive effect to Firm Value</w:t>
      </w:r>
    </w:p>
    <w:p w14:paraId="1561D852" w14:textId="404BB20D" w:rsidR="00CB2D51" w:rsidRPr="00931280" w:rsidRDefault="00CB2D51" w:rsidP="00CB2D51">
      <w:pPr>
        <w:spacing w:after="0" w:line="240" w:lineRule="auto"/>
        <w:jc w:val="both"/>
        <w:rPr>
          <w:b/>
          <w:bCs/>
          <w:lang w:val="en-US"/>
        </w:rPr>
      </w:pPr>
      <w:r w:rsidRPr="00931280">
        <w:rPr>
          <w:b/>
          <w:bCs/>
          <w:lang w:val="en-US"/>
        </w:rPr>
        <w:t xml:space="preserve">Profitability </w:t>
      </w:r>
      <w:r w:rsidR="00175090" w:rsidRPr="00931280">
        <w:rPr>
          <w:b/>
          <w:bCs/>
          <w:lang w:val="en-US"/>
        </w:rPr>
        <w:t>Effect</w:t>
      </w:r>
      <w:r w:rsidR="00175090">
        <w:rPr>
          <w:b/>
          <w:bCs/>
          <w:lang w:val="en-US"/>
        </w:rPr>
        <w:t xml:space="preserve"> to</w:t>
      </w:r>
      <w:r w:rsidRPr="00931280">
        <w:rPr>
          <w:b/>
          <w:bCs/>
          <w:lang w:val="en-US"/>
        </w:rPr>
        <w:t xml:space="preserve"> Firm Value</w:t>
      </w:r>
      <w:r w:rsidR="00AA2853" w:rsidRPr="00931280">
        <w:rPr>
          <w:b/>
          <w:bCs/>
          <w:lang w:val="en-US"/>
        </w:rPr>
        <w:t xml:space="preserve"> </w:t>
      </w:r>
    </w:p>
    <w:p w14:paraId="65B483A7" w14:textId="1FC68BC8" w:rsidR="00CB2D51" w:rsidRPr="00931280" w:rsidRDefault="00CB2D51" w:rsidP="00CB2D51">
      <w:pPr>
        <w:spacing w:after="0" w:line="240" w:lineRule="auto"/>
        <w:jc w:val="both"/>
        <w:rPr>
          <w:lang w:val="en-US"/>
        </w:rPr>
      </w:pPr>
      <w:r w:rsidRPr="00931280">
        <w:rPr>
          <w:lang w:val="en-US"/>
        </w:rPr>
        <w:t>This level of profit is a performance indicator that shows the extent to which management policies and decisions are successful (Gurnita et al., 2021). Maharani (2020), emphasises that companies that can consistently increase profitability will attract investor interest ultimately</w:t>
      </w:r>
      <w:r w:rsidR="004D2EB1">
        <w:rPr>
          <w:lang w:val="en-US"/>
        </w:rPr>
        <w:t>, it</w:t>
      </w:r>
      <w:r w:rsidRPr="00931280">
        <w:rPr>
          <w:lang w:val="en-US"/>
        </w:rPr>
        <w:t xml:space="preserve"> reflect</w:t>
      </w:r>
      <w:r w:rsidR="004D2EB1">
        <w:rPr>
          <w:lang w:val="en-US"/>
        </w:rPr>
        <w:t>ing</w:t>
      </w:r>
      <w:r w:rsidRPr="00931280">
        <w:rPr>
          <w:lang w:val="en-US"/>
        </w:rPr>
        <w:t xml:space="preserve"> </w:t>
      </w:r>
      <w:r w:rsidR="004D2EB1">
        <w:rPr>
          <w:lang w:val="en-US"/>
        </w:rPr>
        <w:t xml:space="preserve">the </w:t>
      </w:r>
      <w:r w:rsidRPr="00931280">
        <w:rPr>
          <w:lang w:val="en-US"/>
        </w:rPr>
        <w:t>company's market value</w:t>
      </w:r>
      <w:r w:rsidR="004D2EB1">
        <w:rPr>
          <w:lang w:val="en-US"/>
        </w:rPr>
        <w:t xml:space="preserve"> raise</w:t>
      </w:r>
      <w:r w:rsidRPr="00931280">
        <w:rPr>
          <w:lang w:val="en-US"/>
        </w:rPr>
        <w:t xml:space="preserve">. Collinear </w:t>
      </w:r>
      <w:r w:rsidR="000846BC">
        <w:rPr>
          <w:lang w:val="en-US"/>
        </w:rPr>
        <w:t>with</w:t>
      </w:r>
      <w:r w:rsidRPr="00931280">
        <w:rPr>
          <w:lang w:val="en-US"/>
        </w:rPr>
        <w:t xml:space="preserve"> Ariyani et al. (2024), and Anggraini &amp; Yan Nyale (2022)</w:t>
      </w:r>
      <w:r w:rsidR="000846BC">
        <w:rPr>
          <w:lang w:val="en-US"/>
        </w:rPr>
        <w:t xml:space="preserve"> research</w:t>
      </w:r>
      <w:r w:rsidR="00455127">
        <w:rPr>
          <w:lang w:val="en-US"/>
        </w:rPr>
        <w:t>s</w:t>
      </w:r>
      <w:r w:rsidRPr="00931280">
        <w:rPr>
          <w:lang w:val="en-US"/>
        </w:rPr>
        <w:t>, explain that profitability has a positive effect on firm value. Th</w:t>
      </w:r>
      <w:r w:rsidR="00583B66" w:rsidRPr="00931280">
        <w:rPr>
          <w:lang w:val="en-US"/>
        </w:rPr>
        <w:t>i</w:t>
      </w:r>
      <w:r w:rsidRPr="00931280">
        <w:rPr>
          <w:lang w:val="en-US"/>
        </w:rPr>
        <w:t>s following hypothesis obtained:</w:t>
      </w:r>
    </w:p>
    <w:p w14:paraId="592B818C" w14:textId="77777777" w:rsidR="00CB2D51" w:rsidRPr="00931280" w:rsidRDefault="00CB2D51" w:rsidP="00CB2D51">
      <w:pPr>
        <w:spacing w:after="0" w:line="240" w:lineRule="auto"/>
        <w:jc w:val="both"/>
        <w:rPr>
          <w:lang w:val="en-US"/>
        </w:rPr>
      </w:pPr>
      <w:r w:rsidRPr="00931280">
        <w:rPr>
          <w:lang w:val="en-US"/>
        </w:rPr>
        <w:t>H</w:t>
      </w:r>
      <w:r w:rsidRPr="003641DC">
        <w:rPr>
          <w:vertAlign w:val="subscript"/>
          <w:lang w:val="en-US"/>
        </w:rPr>
        <w:t>3</w:t>
      </w:r>
      <w:r w:rsidRPr="00931280">
        <w:rPr>
          <w:lang w:val="en-US"/>
        </w:rPr>
        <w:t xml:space="preserve"> : Profitability has a positive effect to Firm Value</w:t>
      </w:r>
    </w:p>
    <w:p w14:paraId="7515B691" w14:textId="3F625571" w:rsidR="00CB2D51" w:rsidRPr="00931280" w:rsidRDefault="00CB2D51" w:rsidP="00CB2D51">
      <w:pPr>
        <w:spacing w:after="0" w:line="240" w:lineRule="auto"/>
        <w:jc w:val="both"/>
        <w:rPr>
          <w:b/>
          <w:bCs/>
          <w:lang w:val="en-US"/>
        </w:rPr>
      </w:pPr>
      <w:r w:rsidRPr="00931280">
        <w:rPr>
          <w:b/>
          <w:bCs/>
          <w:lang w:val="en-US"/>
        </w:rPr>
        <w:t xml:space="preserve">Investment Opportunity Set (IOS) </w:t>
      </w:r>
      <w:r w:rsidR="00175090" w:rsidRPr="00931280">
        <w:rPr>
          <w:b/>
          <w:bCs/>
          <w:lang w:val="en-US"/>
        </w:rPr>
        <w:t xml:space="preserve">Effect </w:t>
      </w:r>
      <w:r w:rsidR="00175090">
        <w:rPr>
          <w:b/>
          <w:bCs/>
          <w:lang w:val="en-US"/>
        </w:rPr>
        <w:t xml:space="preserve"> </w:t>
      </w:r>
      <w:r w:rsidR="00AA2853" w:rsidRPr="00931280">
        <w:rPr>
          <w:b/>
          <w:bCs/>
          <w:lang w:val="en-US"/>
        </w:rPr>
        <w:t xml:space="preserve">to </w:t>
      </w:r>
      <w:r w:rsidRPr="00931280">
        <w:rPr>
          <w:b/>
          <w:bCs/>
          <w:lang w:val="en-US"/>
        </w:rPr>
        <w:t xml:space="preserve">Firm Value Moderated by Dividend Policy </w:t>
      </w:r>
    </w:p>
    <w:p w14:paraId="5D09C94B" w14:textId="30469F44" w:rsidR="00CB2D51" w:rsidRPr="00931280" w:rsidRDefault="00CB2D51" w:rsidP="00CB2D51">
      <w:pPr>
        <w:spacing w:after="0" w:line="240" w:lineRule="auto"/>
        <w:jc w:val="both"/>
        <w:rPr>
          <w:lang w:val="en-US"/>
        </w:rPr>
      </w:pPr>
      <w:r w:rsidRPr="00931280">
        <w:rPr>
          <w:lang w:val="en-US"/>
        </w:rPr>
        <w:t xml:space="preserve">Anggraini &amp; Yan Nyale (2022), suggest that by increasing dividend distribution, companies not only attract new investors but also increase sustainable funding sources. In their own research, they also explain that this increase in funding sources allows the company to make decisions on long-term investments that can significantly grow the business and increase the company's </w:t>
      </w:r>
      <w:r w:rsidR="00DC2E39">
        <w:rPr>
          <w:lang w:val="en-US"/>
        </w:rPr>
        <w:t>worth</w:t>
      </w:r>
      <w:r w:rsidRPr="00931280">
        <w:rPr>
          <w:lang w:val="en-US"/>
        </w:rPr>
        <w:t xml:space="preserve">. Corresponding Ariyani et al. 's research (2024), stated that a dividend can moderately the relation between IOS and firm value. Regarding the cycle and research, the following research can be used to make a hypothesis: </w:t>
      </w:r>
    </w:p>
    <w:p w14:paraId="5B7C1C62" w14:textId="77777777" w:rsidR="00CB2D51" w:rsidRPr="00931280" w:rsidRDefault="00CB2D51" w:rsidP="006E7CCD">
      <w:pPr>
        <w:spacing w:after="0" w:line="240" w:lineRule="auto"/>
        <w:jc w:val="both"/>
        <w:rPr>
          <w:lang w:val="en-US"/>
        </w:rPr>
      </w:pPr>
      <w:r w:rsidRPr="00931280">
        <w:rPr>
          <w:lang w:val="en-US"/>
        </w:rPr>
        <w:t>H</w:t>
      </w:r>
      <w:r w:rsidRPr="003641DC">
        <w:rPr>
          <w:vertAlign w:val="subscript"/>
          <w:lang w:val="en-US"/>
        </w:rPr>
        <w:t xml:space="preserve">4 </w:t>
      </w:r>
      <w:r w:rsidRPr="00931280">
        <w:rPr>
          <w:lang w:val="en-US"/>
        </w:rPr>
        <w:t>: Dividend policy can moderate the effect of IOS to firm value.</w:t>
      </w:r>
    </w:p>
    <w:p w14:paraId="4359C926" w14:textId="5D531B80" w:rsidR="00CB2D51" w:rsidRPr="00931280" w:rsidRDefault="00CB2D51" w:rsidP="006E7CCD">
      <w:pPr>
        <w:spacing w:after="0" w:line="240" w:lineRule="auto"/>
        <w:jc w:val="both"/>
        <w:rPr>
          <w:b/>
          <w:bCs/>
          <w:lang w:val="en-US"/>
        </w:rPr>
      </w:pPr>
      <w:r w:rsidRPr="00931280">
        <w:rPr>
          <w:b/>
          <w:bCs/>
          <w:lang w:val="en-US"/>
        </w:rPr>
        <w:t xml:space="preserve">Company Growth </w:t>
      </w:r>
      <w:r w:rsidR="004D2EB1" w:rsidRPr="00931280">
        <w:rPr>
          <w:b/>
          <w:bCs/>
          <w:lang w:val="en-US"/>
        </w:rPr>
        <w:t xml:space="preserve">Effect </w:t>
      </w:r>
      <w:r w:rsidR="00AA2853" w:rsidRPr="00931280">
        <w:rPr>
          <w:b/>
          <w:bCs/>
          <w:lang w:val="en-US"/>
        </w:rPr>
        <w:t>to</w:t>
      </w:r>
      <w:r w:rsidRPr="00931280">
        <w:rPr>
          <w:b/>
          <w:bCs/>
          <w:lang w:val="en-US"/>
        </w:rPr>
        <w:t xml:space="preserve"> Firm Value Moderated by Dividend Policy </w:t>
      </w:r>
    </w:p>
    <w:p w14:paraId="66867FB5" w14:textId="75935F51" w:rsidR="00CB2D51" w:rsidRPr="00931280" w:rsidRDefault="00CB2D51" w:rsidP="006E7CCD">
      <w:pPr>
        <w:spacing w:after="0" w:line="240" w:lineRule="auto"/>
        <w:jc w:val="both"/>
        <w:rPr>
          <w:lang w:val="en-US"/>
        </w:rPr>
      </w:pPr>
      <w:r w:rsidRPr="00931280">
        <w:rPr>
          <w:lang w:val="en-US"/>
        </w:rPr>
        <w:t>With moderat</w:t>
      </w:r>
      <w:r w:rsidR="00DC2E39">
        <w:rPr>
          <w:lang w:val="en-US"/>
        </w:rPr>
        <w:t>or</w:t>
      </w:r>
      <w:r w:rsidRPr="00931280">
        <w:rPr>
          <w:lang w:val="en-US"/>
        </w:rPr>
        <w:t xml:space="preserve"> variables, it can show dividend policy</w:t>
      </w:r>
      <w:r w:rsidR="00DC2E39" w:rsidRPr="00931280">
        <w:rPr>
          <w:lang w:val="en-US"/>
        </w:rPr>
        <w:t xml:space="preserve"> ability</w:t>
      </w:r>
      <w:r w:rsidRPr="00931280">
        <w:rPr>
          <w:lang w:val="en-US"/>
        </w:rPr>
        <w:t xml:space="preserve"> strength or weaken company growth and firm</w:t>
      </w:r>
      <w:r w:rsidR="00DC2E39">
        <w:rPr>
          <w:lang w:val="en-US"/>
        </w:rPr>
        <w:t xml:space="preserve"> value </w:t>
      </w:r>
      <w:r w:rsidR="00DC2E39" w:rsidRPr="00931280">
        <w:rPr>
          <w:lang w:val="en-US"/>
        </w:rPr>
        <w:t>correlation</w:t>
      </w:r>
      <w:r w:rsidRPr="00931280">
        <w:rPr>
          <w:lang w:val="en-US"/>
        </w:rPr>
        <w:t xml:space="preserve">.  </w:t>
      </w:r>
      <w:r w:rsidR="00DC2E39">
        <w:rPr>
          <w:lang w:val="en-US"/>
        </w:rPr>
        <w:t>I</w:t>
      </w:r>
      <w:r w:rsidRPr="00931280">
        <w:rPr>
          <w:lang w:val="en-US"/>
        </w:rPr>
        <w:t>vani &amp; Efendi (2024),</w:t>
      </w:r>
      <w:r w:rsidR="00DC2E39">
        <w:rPr>
          <w:lang w:val="en-US"/>
        </w:rPr>
        <w:t xml:space="preserve"> emphasizes that</w:t>
      </w:r>
      <w:r w:rsidRPr="00931280">
        <w:rPr>
          <w:lang w:val="en-US"/>
        </w:rPr>
        <w:t xml:space="preserve"> company's choice to distribute dividends or not has direc</w:t>
      </w:r>
      <w:r w:rsidR="00DC2E39">
        <w:rPr>
          <w:lang w:val="en-US"/>
        </w:rPr>
        <w:t>t</w:t>
      </w:r>
      <w:r w:rsidRPr="00931280">
        <w:rPr>
          <w:lang w:val="en-US"/>
        </w:rPr>
        <w:t xml:space="preserve"> implications </w:t>
      </w:r>
      <w:r w:rsidR="00DC2E39">
        <w:rPr>
          <w:lang w:val="en-US"/>
        </w:rPr>
        <w:t xml:space="preserve">for </w:t>
      </w:r>
      <w:r w:rsidRPr="00931280">
        <w:rPr>
          <w:lang w:val="en-US"/>
        </w:rPr>
        <w:t>company's growth</w:t>
      </w:r>
      <w:r w:rsidR="00DC2E39">
        <w:rPr>
          <w:lang w:val="en-US"/>
        </w:rPr>
        <w:t xml:space="preserve"> level</w:t>
      </w:r>
      <w:r w:rsidRPr="00931280">
        <w:rPr>
          <w:lang w:val="en-US"/>
        </w:rPr>
        <w:t xml:space="preserve">. Moderation can weaken </w:t>
      </w:r>
      <w:r w:rsidR="00DC2E39" w:rsidRPr="00931280">
        <w:rPr>
          <w:lang w:val="en-US"/>
        </w:rPr>
        <w:t>the two variables</w:t>
      </w:r>
      <w:r w:rsidRPr="00931280">
        <w:rPr>
          <w:lang w:val="en-US"/>
        </w:rPr>
        <w:t xml:space="preserve"> relationship, where companies that decide not to distribute dividends or decide to retain most of their profits will generally experience faster growth because these funds can be invested in development projects.  Therefore, the decision to keep the profit will encourage the company's organic growth, </w:t>
      </w:r>
      <w:r w:rsidR="00A749FB" w:rsidRPr="00931280">
        <w:rPr>
          <w:lang w:val="en-US"/>
        </w:rPr>
        <w:t>in long-term it has a</w:t>
      </w:r>
      <w:r w:rsidRPr="00931280">
        <w:rPr>
          <w:lang w:val="en-US"/>
        </w:rPr>
        <w:t xml:space="preserve"> potential to </w:t>
      </w:r>
      <w:r w:rsidR="00DC2E39">
        <w:rPr>
          <w:lang w:val="en-US"/>
        </w:rPr>
        <w:t>raise</w:t>
      </w:r>
      <w:r w:rsidRPr="00931280">
        <w:rPr>
          <w:lang w:val="en-US"/>
        </w:rPr>
        <w:t xml:space="preserve"> the company's </w:t>
      </w:r>
      <w:r w:rsidR="00DC2E39">
        <w:rPr>
          <w:lang w:val="en-US"/>
        </w:rPr>
        <w:t>worth</w:t>
      </w:r>
      <w:r w:rsidRPr="00931280">
        <w:rPr>
          <w:lang w:val="en-US"/>
        </w:rPr>
        <w:t xml:space="preserve">.  </w:t>
      </w:r>
      <w:r w:rsidR="005E2095">
        <w:rPr>
          <w:lang w:val="en-US"/>
        </w:rPr>
        <w:t>It s</w:t>
      </w:r>
      <w:r w:rsidRPr="00931280">
        <w:rPr>
          <w:lang w:val="en-US"/>
        </w:rPr>
        <w:t xml:space="preserve">upported by Safitri &amp; Suwitho (2015), and Ivani &amp; Efendi (2024), </w:t>
      </w:r>
      <w:r w:rsidR="005E2095">
        <w:rPr>
          <w:lang w:val="en-US"/>
        </w:rPr>
        <w:t xml:space="preserve">that said </w:t>
      </w:r>
      <w:r w:rsidR="00BB7569">
        <w:rPr>
          <w:lang w:val="en-US"/>
        </w:rPr>
        <w:t xml:space="preserve">distributing </w:t>
      </w:r>
      <w:r w:rsidRPr="00931280">
        <w:rPr>
          <w:lang w:val="en-US"/>
        </w:rPr>
        <w:t xml:space="preserve">dividend moderates the relationship model. </w:t>
      </w:r>
      <w:r w:rsidR="00A749FB" w:rsidRPr="00931280">
        <w:rPr>
          <w:lang w:val="en-US"/>
        </w:rPr>
        <w:t>T</w:t>
      </w:r>
      <w:r w:rsidRPr="00931280">
        <w:rPr>
          <w:lang w:val="en-US"/>
        </w:rPr>
        <w:t xml:space="preserve">hese findings </w:t>
      </w:r>
      <w:r w:rsidR="00A749FB" w:rsidRPr="00931280">
        <w:rPr>
          <w:lang w:val="en-US"/>
        </w:rPr>
        <w:t xml:space="preserve">proposed a </w:t>
      </w:r>
      <w:r w:rsidRPr="00931280">
        <w:rPr>
          <w:lang w:val="en-US"/>
        </w:rPr>
        <w:t>hypothesis</w:t>
      </w:r>
      <w:r w:rsidR="00A749FB" w:rsidRPr="00931280">
        <w:rPr>
          <w:lang w:val="en-US"/>
        </w:rPr>
        <w:t xml:space="preserve"> </w:t>
      </w:r>
      <w:r w:rsidRPr="00931280">
        <w:rPr>
          <w:lang w:val="en-US"/>
        </w:rPr>
        <w:t>:</w:t>
      </w:r>
    </w:p>
    <w:p w14:paraId="50DE38D7" w14:textId="77777777" w:rsidR="00CB2D51" w:rsidRPr="00931280" w:rsidRDefault="00CB2D51" w:rsidP="006E7CCD">
      <w:pPr>
        <w:spacing w:after="0" w:line="240" w:lineRule="auto"/>
        <w:rPr>
          <w:lang w:val="en-US"/>
        </w:rPr>
      </w:pPr>
      <w:r w:rsidRPr="00931280">
        <w:rPr>
          <w:lang w:val="en-US"/>
        </w:rPr>
        <w:t>H</w:t>
      </w:r>
      <w:r w:rsidRPr="003641DC">
        <w:rPr>
          <w:vertAlign w:val="subscript"/>
          <w:lang w:val="en-US"/>
        </w:rPr>
        <w:t>5</w:t>
      </w:r>
      <w:r w:rsidRPr="00931280">
        <w:rPr>
          <w:lang w:val="en-US"/>
        </w:rPr>
        <w:t xml:space="preserve"> : Dividend policy can moderate the effect of company growth to firm value.</w:t>
      </w:r>
    </w:p>
    <w:p w14:paraId="78377422" w14:textId="541FBCFD" w:rsidR="00CB2D51" w:rsidRPr="00931280" w:rsidRDefault="00CB2D51" w:rsidP="006E7CCD">
      <w:pPr>
        <w:spacing w:after="0" w:line="240" w:lineRule="auto"/>
        <w:rPr>
          <w:b/>
          <w:bCs/>
          <w:lang w:val="en-US"/>
        </w:rPr>
      </w:pPr>
      <w:r w:rsidRPr="00931280">
        <w:rPr>
          <w:b/>
          <w:bCs/>
          <w:lang w:val="en-US"/>
        </w:rPr>
        <w:t>Profitability</w:t>
      </w:r>
      <w:r w:rsidR="004D2EB1">
        <w:rPr>
          <w:b/>
          <w:bCs/>
          <w:lang w:val="en-US"/>
        </w:rPr>
        <w:t xml:space="preserve"> </w:t>
      </w:r>
      <w:r w:rsidR="004D2EB1" w:rsidRPr="00931280">
        <w:rPr>
          <w:b/>
          <w:bCs/>
          <w:lang w:val="en-US"/>
        </w:rPr>
        <w:t>Effect</w:t>
      </w:r>
      <w:r w:rsidRPr="00931280">
        <w:rPr>
          <w:b/>
          <w:bCs/>
          <w:lang w:val="en-US"/>
        </w:rPr>
        <w:t xml:space="preserve"> </w:t>
      </w:r>
      <w:r w:rsidR="00AA2853" w:rsidRPr="00931280">
        <w:rPr>
          <w:b/>
          <w:bCs/>
          <w:lang w:val="en-US"/>
        </w:rPr>
        <w:t>to</w:t>
      </w:r>
      <w:r w:rsidRPr="00931280">
        <w:rPr>
          <w:b/>
          <w:bCs/>
          <w:lang w:val="en-US"/>
        </w:rPr>
        <w:t xml:space="preserve"> Firm Value</w:t>
      </w:r>
      <w:r w:rsidR="00AA2853" w:rsidRPr="00931280">
        <w:rPr>
          <w:b/>
          <w:bCs/>
          <w:lang w:val="en-US"/>
        </w:rPr>
        <w:t xml:space="preserve"> </w:t>
      </w:r>
      <w:r w:rsidRPr="00931280">
        <w:rPr>
          <w:b/>
          <w:bCs/>
          <w:lang w:val="en-US"/>
        </w:rPr>
        <w:t xml:space="preserve">Moderated by Dividend Policy </w:t>
      </w:r>
    </w:p>
    <w:p w14:paraId="026F2900" w14:textId="56468947" w:rsidR="00CB2D51" w:rsidRPr="00931280" w:rsidRDefault="00CB2D51" w:rsidP="006E7CCD">
      <w:pPr>
        <w:spacing w:after="0" w:line="240" w:lineRule="auto"/>
        <w:jc w:val="both"/>
        <w:rPr>
          <w:lang w:val="en-US"/>
        </w:rPr>
      </w:pPr>
      <w:r w:rsidRPr="00931280">
        <w:rPr>
          <w:lang w:val="en-US"/>
        </w:rPr>
        <w:t xml:space="preserve">Addition policy </w:t>
      </w:r>
      <w:r w:rsidR="00A749FB" w:rsidRPr="00931280">
        <w:rPr>
          <w:lang w:val="en-US"/>
        </w:rPr>
        <w:t>as moderator</w:t>
      </w:r>
      <w:r w:rsidRPr="00931280">
        <w:rPr>
          <w:lang w:val="en-US"/>
        </w:rPr>
        <w:t xml:space="preserve"> can have an impact, where when profit has a high value, the value of dividend distribution will also be increased. This condition will provide a signal that </w:t>
      </w:r>
      <w:r w:rsidRPr="00931280">
        <w:rPr>
          <w:lang w:val="en-US"/>
        </w:rPr>
        <w:lastRenderedPageBreak/>
        <w:t>can increase stock demand so that the company</w:t>
      </w:r>
      <w:r w:rsidR="00A25D91">
        <w:rPr>
          <w:lang w:val="en-US"/>
        </w:rPr>
        <w:t xml:space="preserve"> worth</w:t>
      </w:r>
      <w:r w:rsidRPr="00931280">
        <w:rPr>
          <w:lang w:val="en-US"/>
        </w:rPr>
        <w:t xml:space="preserve"> will be improved (Mauris &amp; Rizal, 2021). Reinforced by the findings of Atiningsih &amp; Izzaty (2021), which state that company profit ratio (ROA) and firm value </w:t>
      </w:r>
      <w:r w:rsidR="00B24ACA">
        <w:rPr>
          <w:lang w:val="en-US"/>
        </w:rPr>
        <w:t xml:space="preserve">relationship </w:t>
      </w:r>
      <w:r w:rsidRPr="00931280">
        <w:rPr>
          <w:lang w:val="en-US"/>
        </w:rPr>
        <w:t xml:space="preserve">can be moderated by company's policy of distributing dividends. </w:t>
      </w:r>
      <w:r w:rsidR="00A749FB" w:rsidRPr="00931280">
        <w:rPr>
          <w:lang w:val="en-US"/>
        </w:rPr>
        <w:t>T</w:t>
      </w:r>
      <w:r w:rsidRPr="00931280">
        <w:rPr>
          <w:lang w:val="en-US"/>
        </w:rPr>
        <w:t>hese research results</w:t>
      </w:r>
      <w:r w:rsidR="00A749FB" w:rsidRPr="00931280">
        <w:rPr>
          <w:lang w:val="en-US"/>
        </w:rPr>
        <w:t xml:space="preserve"> obtained</w:t>
      </w:r>
      <w:r w:rsidRPr="00931280">
        <w:rPr>
          <w:lang w:val="en-US"/>
        </w:rPr>
        <w:t xml:space="preserve"> the following hypothesis</w:t>
      </w:r>
      <w:r w:rsidR="00A749FB" w:rsidRPr="00931280">
        <w:rPr>
          <w:lang w:val="en-US"/>
        </w:rPr>
        <w:t xml:space="preserve"> </w:t>
      </w:r>
      <w:r w:rsidRPr="00931280">
        <w:rPr>
          <w:lang w:val="en-US"/>
        </w:rPr>
        <w:t>:</w:t>
      </w:r>
    </w:p>
    <w:p w14:paraId="7525D867" w14:textId="7D84A729" w:rsidR="00CB2D51" w:rsidRPr="00931280" w:rsidRDefault="00CB2D51" w:rsidP="006E7CCD">
      <w:pPr>
        <w:spacing w:line="240" w:lineRule="auto"/>
        <w:jc w:val="both"/>
        <w:rPr>
          <w:lang w:val="en-US"/>
        </w:rPr>
      </w:pPr>
      <w:r w:rsidRPr="00931280">
        <w:rPr>
          <w:lang w:val="en-US"/>
        </w:rPr>
        <w:t>H</w:t>
      </w:r>
      <w:r w:rsidRPr="003641DC">
        <w:rPr>
          <w:vertAlign w:val="subscript"/>
          <w:lang w:val="en-US"/>
        </w:rPr>
        <w:t>6</w:t>
      </w:r>
      <w:r w:rsidRPr="00931280">
        <w:rPr>
          <w:lang w:val="en-US"/>
        </w:rPr>
        <w:t xml:space="preserve"> : Dividend policy is able to moderate the effect of profitability to firm value.</w:t>
      </w:r>
    </w:p>
    <w:p w14:paraId="08DABE98" w14:textId="02E9CF44" w:rsidR="004420F0" w:rsidRPr="00931280" w:rsidRDefault="00E211AA">
      <w:pPr>
        <w:spacing w:after="0" w:line="240" w:lineRule="auto"/>
        <w:jc w:val="both"/>
        <w:rPr>
          <w:b/>
          <w:lang w:val="en-US"/>
        </w:rPr>
      </w:pPr>
      <w:bookmarkStart w:id="3" w:name="_heading=h.30j0zll" w:colFirst="0" w:colLast="0"/>
      <w:bookmarkEnd w:id="3"/>
      <w:r w:rsidRPr="00931280">
        <w:rPr>
          <w:b/>
          <w:lang w:val="en-US"/>
        </w:rPr>
        <w:t xml:space="preserve">3. </w:t>
      </w:r>
      <w:r w:rsidR="00F02D2D" w:rsidRPr="00931280">
        <w:rPr>
          <w:b/>
          <w:lang w:val="en-US"/>
        </w:rPr>
        <w:t>RESULT</w:t>
      </w:r>
    </w:p>
    <w:p w14:paraId="33CEACBB" w14:textId="6CB08E97" w:rsidR="00F02D2D" w:rsidRPr="00931280" w:rsidRDefault="00F02D2D" w:rsidP="00F02D2D">
      <w:pPr>
        <w:spacing w:after="0" w:line="240" w:lineRule="auto"/>
        <w:jc w:val="both"/>
        <w:rPr>
          <w:rFonts w:eastAsia="Cambria" w:cs="Cambria"/>
          <w:b/>
          <w:lang w:eastAsia="en-US"/>
        </w:rPr>
      </w:pPr>
      <w:r w:rsidRPr="00931280">
        <w:rPr>
          <w:rFonts w:eastAsia="Cambria" w:cs="Cambria"/>
          <w:lang w:eastAsia="en-US"/>
        </w:rPr>
        <w:t>Descriptive Analysis</w:t>
      </w:r>
      <w:r w:rsidR="002112B8">
        <w:rPr>
          <w:rFonts w:eastAsia="Cambria" w:cs="Cambria"/>
          <w:lang w:eastAsia="en-US"/>
        </w:rPr>
        <w:t xml:space="preserve"> </w:t>
      </w:r>
      <w:r w:rsidR="002112B8" w:rsidRPr="00931280">
        <w:rPr>
          <w:rFonts w:eastAsia="Cambria" w:cs="Cambria"/>
          <w:lang w:eastAsia="en-US"/>
        </w:rPr>
        <w:t>Results</w:t>
      </w:r>
    </w:p>
    <w:p w14:paraId="1AC54153" w14:textId="77777777" w:rsidR="00F02D2D" w:rsidRPr="00931280" w:rsidRDefault="00F02D2D" w:rsidP="00F02D2D">
      <w:pPr>
        <w:spacing w:after="0" w:line="240" w:lineRule="auto"/>
        <w:jc w:val="center"/>
        <w:rPr>
          <w:rFonts w:eastAsia="Cambria" w:cs="Cambria"/>
          <w:lang w:eastAsia="en-US"/>
        </w:rPr>
      </w:pPr>
      <w:bookmarkStart w:id="4" w:name="_vdy0ekz34iar"/>
      <w:bookmarkEnd w:id="4"/>
      <w:r w:rsidRPr="00931280">
        <w:rPr>
          <w:rFonts w:eastAsia="Cambria" w:cs="Cambria"/>
          <w:b/>
          <w:lang w:eastAsia="en-US"/>
        </w:rPr>
        <w:t xml:space="preserve">Table 4. </w:t>
      </w:r>
      <w:r w:rsidRPr="00931280">
        <w:rPr>
          <w:rFonts w:eastAsia="Cambria" w:cs="Cambria"/>
          <w:lang w:eastAsia="en-US"/>
        </w:rPr>
        <w:t xml:space="preserve">Descriptive Analysis of Research Test Results </w:t>
      </w:r>
    </w:p>
    <w:tbl>
      <w:tblPr>
        <w:tblW w:w="804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1290"/>
        <w:gridCol w:w="1380"/>
        <w:gridCol w:w="870"/>
        <w:gridCol w:w="1770"/>
      </w:tblGrid>
      <w:tr w:rsidR="003641DC" w:rsidRPr="00931280" w14:paraId="68623092" w14:textId="77777777" w:rsidTr="003641DC">
        <w:trPr>
          <w:trHeight w:val="286"/>
        </w:trPr>
        <w:tc>
          <w:tcPr>
            <w:tcW w:w="2730" w:type="dxa"/>
            <w:tcBorders>
              <w:top w:val="single" w:sz="8" w:space="0" w:color="000000"/>
              <w:left w:val="nil"/>
              <w:bottom w:val="single" w:sz="8" w:space="0" w:color="000000"/>
              <w:right w:val="nil"/>
            </w:tcBorders>
            <w:tcMar>
              <w:top w:w="100" w:type="dxa"/>
              <w:left w:w="100" w:type="dxa"/>
              <w:bottom w:w="100" w:type="dxa"/>
              <w:right w:w="100" w:type="dxa"/>
            </w:tcMar>
          </w:tcPr>
          <w:p w14:paraId="1C67DA42" w14:textId="77777777" w:rsidR="003641DC" w:rsidRPr="00931280" w:rsidRDefault="003641DC" w:rsidP="00F02D2D">
            <w:pPr>
              <w:widowControl w:val="0"/>
              <w:spacing w:after="0" w:line="240" w:lineRule="auto"/>
              <w:mirrorIndents/>
              <w:jc w:val="center"/>
              <w:rPr>
                <w:rFonts w:eastAsia="Cambria" w:cs="Cambria"/>
                <w:b/>
                <w:lang w:eastAsia="en-US"/>
              </w:rPr>
            </w:pPr>
          </w:p>
        </w:tc>
        <w:tc>
          <w:tcPr>
            <w:tcW w:w="1290" w:type="dxa"/>
            <w:tcBorders>
              <w:top w:val="single" w:sz="8" w:space="0" w:color="000000"/>
              <w:left w:val="nil"/>
              <w:bottom w:val="single" w:sz="8" w:space="0" w:color="000000"/>
              <w:right w:val="nil"/>
            </w:tcBorders>
            <w:tcMar>
              <w:top w:w="100" w:type="dxa"/>
              <w:left w:w="100" w:type="dxa"/>
              <w:bottom w:w="100" w:type="dxa"/>
              <w:right w:w="100" w:type="dxa"/>
            </w:tcMar>
            <w:hideMark/>
          </w:tcPr>
          <w:p w14:paraId="6BB21EE3" w14:textId="368EE79D" w:rsidR="003641DC" w:rsidRPr="00931280" w:rsidRDefault="003641DC" w:rsidP="00F02D2D">
            <w:pPr>
              <w:widowControl w:val="0"/>
              <w:spacing w:after="0" w:line="240" w:lineRule="auto"/>
              <w:mirrorIndents/>
              <w:jc w:val="center"/>
              <w:rPr>
                <w:rFonts w:eastAsia="Cambria" w:cs="Cambria"/>
                <w:b/>
                <w:lang w:eastAsia="en-US"/>
              </w:rPr>
            </w:pPr>
            <w:r w:rsidRPr="00931280">
              <w:rPr>
                <w:rFonts w:eastAsia="Cambria" w:cs="Cambria"/>
                <w:b/>
                <w:lang w:eastAsia="en-US"/>
              </w:rPr>
              <w:t>Min</w:t>
            </w:r>
          </w:p>
        </w:tc>
        <w:tc>
          <w:tcPr>
            <w:tcW w:w="1380" w:type="dxa"/>
            <w:tcBorders>
              <w:top w:val="single" w:sz="8" w:space="0" w:color="000000"/>
              <w:left w:val="nil"/>
              <w:bottom w:val="single" w:sz="8" w:space="0" w:color="000000"/>
              <w:right w:val="nil"/>
            </w:tcBorders>
            <w:tcMar>
              <w:top w:w="100" w:type="dxa"/>
              <w:left w:w="100" w:type="dxa"/>
              <w:bottom w:w="100" w:type="dxa"/>
              <w:right w:w="100" w:type="dxa"/>
            </w:tcMar>
            <w:hideMark/>
          </w:tcPr>
          <w:p w14:paraId="2B57EC18" w14:textId="235841C3" w:rsidR="003641DC" w:rsidRPr="00931280" w:rsidRDefault="003641DC" w:rsidP="00F02D2D">
            <w:pPr>
              <w:widowControl w:val="0"/>
              <w:spacing w:after="0" w:line="240" w:lineRule="auto"/>
              <w:mirrorIndents/>
              <w:jc w:val="center"/>
              <w:rPr>
                <w:rFonts w:eastAsia="Cambria" w:cs="Cambria"/>
                <w:b/>
                <w:lang w:eastAsia="en-US"/>
              </w:rPr>
            </w:pPr>
            <w:r w:rsidRPr="00931280">
              <w:rPr>
                <w:rFonts w:eastAsia="Cambria" w:cs="Cambria"/>
                <w:b/>
                <w:lang w:eastAsia="en-US"/>
              </w:rPr>
              <w:t>Max</w:t>
            </w:r>
          </w:p>
        </w:tc>
        <w:tc>
          <w:tcPr>
            <w:tcW w:w="870" w:type="dxa"/>
            <w:tcBorders>
              <w:top w:val="single" w:sz="8" w:space="0" w:color="000000"/>
              <w:left w:val="nil"/>
              <w:bottom w:val="single" w:sz="8" w:space="0" w:color="000000"/>
              <w:right w:val="nil"/>
            </w:tcBorders>
            <w:tcMar>
              <w:top w:w="100" w:type="dxa"/>
              <w:left w:w="100" w:type="dxa"/>
              <w:bottom w:w="100" w:type="dxa"/>
              <w:right w:w="100" w:type="dxa"/>
            </w:tcMar>
            <w:hideMark/>
          </w:tcPr>
          <w:p w14:paraId="6709117C" w14:textId="77777777" w:rsidR="003641DC" w:rsidRPr="00931280" w:rsidRDefault="003641DC" w:rsidP="00F02D2D">
            <w:pPr>
              <w:widowControl w:val="0"/>
              <w:spacing w:after="0" w:line="240" w:lineRule="auto"/>
              <w:mirrorIndents/>
              <w:jc w:val="center"/>
              <w:rPr>
                <w:rFonts w:eastAsia="Cambria" w:cs="Cambria"/>
                <w:b/>
                <w:lang w:eastAsia="en-US"/>
              </w:rPr>
            </w:pPr>
            <w:r w:rsidRPr="00931280">
              <w:rPr>
                <w:rFonts w:eastAsia="Cambria" w:cs="Cambria"/>
                <w:b/>
                <w:lang w:eastAsia="en-US"/>
              </w:rPr>
              <w:t>Mean</w:t>
            </w:r>
          </w:p>
        </w:tc>
        <w:tc>
          <w:tcPr>
            <w:tcW w:w="1770" w:type="dxa"/>
            <w:tcBorders>
              <w:top w:val="single" w:sz="8" w:space="0" w:color="000000"/>
              <w:left w:val="nil"/>
              <w:bottom w:val="single" w:sz="8" w:space="0" w:color="000000"/>
              <w:right w:val="nil"/>
            </w:tcBorders>
            <w:tcMar>
              <w:top w:w="100" w:type="dxa"/>
              <w:left w:w="100" w:type="dxa"/>
              <w:bottom w:w="100" w:type="dxa"/>
              <w:right w:w="100" w:type="dxa"/>
            </w:tcMar>
            <w:hideMark/>
          </w:tcPr>
          <w:p w14:paraId="61F0A7CC" w14:textId="60871C58" w:rsidR="003641DC" w:rsidRPr="00931280" w:rsidRDefault="003641DC" w:rsidP="00F02D2D">
            <w:pPr>
              <w:widowControl w:val="0"/>
              <w:spacing w:after="0" w:line="240" w:lineRule="auto"/>
              <w:mirrorIndents/>
              <w:jc w:val="center"/>
              <w:rPr>
                <w:rFonts w:eastAsia="Cambria" w:cs="Cambria"/>
                <w:b/>
                <w:lang w:eastAsia="en-US"/>
              </w:rPr>
            </w:pPr>
            <w:r w:rsidRPr="00931280">
              <w:rPr>
                <w:rFonts w:eastAsia="Cambria" w:cs="Cambria"/>
                <w:b/>
                <w:lang w:eastAsia="en-US"/>
              </w:rPr>
              <w:t>Std. Dev</w:t>
            </w:r>
          </w:p>
        </w:tc>
      </w:tr>
      <w:tr w:rsidR="003641DC" w:rsidRPr="00931280" w14:paraId="5A82100A" w14:textId="77777777" w:rsidTr="003641DC">
        <w:trPr>
          <w:trHeight w:val="314"/>
        </w:trPr>
        <w:tc>
          <w:tcPr>
            <w:tcW w:w="2730" w:type="dxa"/>
            <w:tcBorders>
              <w:top w:val="single" w:sz="8" w:space="0" w:color="000000"/>
              <w:left w:val="nil"/>
              <w:bottom w:val="nil"/>
              <w:right w:val="nil"/>
            </w:tcBorders>
            <w:tcMar>
              <w:top w:w="100" w:type="dxa"/>
              <w:left w:w="100" w:type="dxa"/>
              <w:bottom w:w="100" w:type="dxa"/>
              <w:right w:w="100" w:type="dxa"/>
            </w:tcMar>
            <w:hideMark/>
          </w:tcPr>
          <w:p w14:paraId="19EE4DB9" w14:textId="77777777" w:rsidR="003641DC" w:rsidRPr="00931280" w:rsidRDefault="003641DC" w:rsidP="00F02D2D">
            <w:pPr>
              <w:widowControl w:val="0"/>
              <w:spacing w:after="0" w:line="240" w:lineRule="auto"/>
              <w:mirrorIndents/>
              <w:rPr>
                <w:rFonts w:eastAsia="Cambria" w:cs="Cambria"/>
                <w:lang w:eastAsia="en-US"/>
              </w:rPr>
            </w:pPr>
            <w:r w:rsidRPr="00931280">
              <w:rPr>
                <w:rFonts w:eastAsia="Cambria" w:cs="Cambria"/>
                <w:lang w:eastAsia="en-US"/>
              </w:rPr>
              <w:t>IOS</w:t>
            </w:r>
          </w:p>
        </w:tc>
        <w:tc>
          <w:tcPr>
            <w:tcW w:w="1290" w:type="dxa"/>
            <w:tcBorders>
              <w:top w:val="single" w:sz="8" w:space="0" w:color="000000"/>
              <w:left w:val="nil"/>
              <w:bottom w:val="nil"/>
              <w:right w:val="nil"/>
            </w:tcBorders>
            <w:tcMar>
              <w:top w:w="100" w:type="dxa"/>
              <w:left w:w="100" w:type="dxa"/>
              <w:bottom w:w="100" w:type="dxa"/>
              <w:right w:w="100" w:type="dxa"/>
            </w:tcMar>
            <w:hideMark/>
          </w:tcPr>
          <w:p w14:paraId="3841ABB1"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0,043</w:t>
            </w:r>
          </w:p>
        </w:tc>
        <w:tc>
          <w:tcPr>
            <w:tcW w:w="1380" w:type="dxa"/>
            <w:tcBorders>
              <w:top w:val="single" w:sz="8" w:space="0" w:color="000000"/>
              <w:left w:val="nil"/>
              <w:bottom w:val="nil"/>
              <w:right w:val="nil"/>
            </w:tcBorders>
            <w:tcMar>
              <w:top w:w="100" w:type="dxa"/>
              <w:left w:w="100" w:type="dxa"/>
              <w:bottom w:w="100" w:type="dxa"/>
              <w:right w:w="100" w:type="dxa"/>
            </w:tcMar>
            <w:hideMark/>
          </w:tcPr>
          <w:p w14:paraId="4A648848"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10,314</w:t>
            </w:r>
          </w:p>
        </w:tc>
        <w:tc>
          <w:tcPr>
            <w:tcW w:w="870" w:type="dxa"/>
            <w:tcBorders>
              <w:top w:val="single" w:sz="8" w:space="0" w:color="000000"/>
              <w:left w:val="nil"/>
              <w:bottom w:val="nil"/>
              <w:right w:val="nil"/>
            </w:tcBorders>
            <w:tcMar>
              <w:top w:w="100" w:type="dxa"/>
              <w:left w:w="100" w:type="dxa"/>
              <w:bottom w:w="100" w:type="dxa"/>
              <w:right w:w="100" w:type="dxa"/>
            </w:tcMar>
            <w:hideMark/>
          </w:tcPr>
          <w:p w14:paraId="0DCD09FA"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0,818</w:t>
            </w:r>
          </w:p>
        </w:tc>
        <w:tc>
          <w:tcPr>
            <w:tcW w:w="1770" w:type="dxa"/>
            <w:tcBorders>
              <w:top w:val="single" w:sz="8" w:space="0" w:color="000000"/>
              <w:left w:val="nil"/>
              <w:bottom w:val="nil"/>
              <w:right w:val="nil"/>
            </w:tcBorders>
            <w:tcMar>
              <w:top w:w="100" w:type="dxa"/>
              <w:left w:w="100" w:type="dxa"/>
              <w:bottom w:w="100" w:type="dxa"/>
              <w:right w:w="100" w:type="dxa"/>
            </w:tcMar>
            <w:hideMark/>
          </w:tcPr>
          <w:p w14:paraId="0E046ACE"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1,509</w:t>
            </w:r>
          </w:p>
        </w:tc>
      </w:tr>
      <w:tr w:rsidR="003641DC" w:rsidRPr="00931280" w14:paraId="08EFDB23" w14:textId="77777777" w:rsidTr="003641DC">
        <w:trPr>
          <w:trHeight w:val="314"/>
        </w:trPr>
        <w:tc>
          <w:tcPr>
            <w:tcW w:w="2730" w:type="dxa"/>
            <w:tcBorders>
              <w:top w:val="nil"/>
              <w:left w:val="nil"/>
              <w:bottom w:val="nil"/>
              <w:right w:val="nil"/>
            </w:tcBorders>
            <w:tcMar>
              <w:top w:w="100" w:type="dxa"/>
              <w:left w:w="100" w:type="dxa"/>
              <w:bottom w:w="100" w:type="dxa"/>
              <w:right w:w="100" w:type="dxa"/>
            </w:tcMar>
            <w:hideMark/>
          </w:tcPr>
          <w:p w14:paraId="4AAE3A1B" w14:textId="77777777" w:rsidR="003641DC" w:rsidRPr="00931280" w:rsidRDefault="003641DC" w:rsidP="00F02D2D">
            <w:pPr>
              <w:widowControl w:val="0"/>
              <w:spacing w:after="0" w:line="240" w:lineRule="auto"/>
              <w:mirrorIndents/>
              <w:rPr>
                <w:rFonts w:eastAsia="Cambria" w:cs="Cambria"/>
                <w:lang w:eastAsia="en-US"/>
              </w:rPr>
            </w:pPr>
            <w:r w:rsidRPr="00931280">
              <w:rPr>
                <w:rFonts w:eastAsia="Cambria" w:cs="Cambria"/>
                <w:lang w:eastAsia="en-US"/>
              </w:rPr>
              <w:t>Company Growth</w:t>
            </w:r>
          </w:p>
        </w:tc>
        <w:tc>
          <w:tcPr>
            <w:tcW w:w="1290" w:type="dxa"/>
            <w:tcBorders>
              <w:top w:val="nil"/>
              <w:left w:val="nil"/>
              <w:bottom w:val="nil"/>
              <w:right w:val="nil"/>
            </w:tcBorders>
            <w:tcMar>
              <w:top w:w="100" w:type="dxa"/>
              <w:left w:w="100" w:type="dxa"/>
              <w:bottom w:w="100" w:type="dxa"/>
              <w:right w:w="100" w:type="dxa"/>
            </w:tcMar>
            <w:hideMark/>
          </w:tcPr>
          <w:p w14:paraId="7C88459A"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-0,889</w:t>
            </w:r>
          </w:p>
        </w:tc>
        <w:tc>
          <w:tcPr>
            <w:tcW w:w="1380" w:type="dxa"/>
            <w:tcBorders>
              <w:top w:val="nil"/>
              <w:left w:val="nil"/>
              <w:bottom w:val="nil"/>
              <w:right w:val="nil"/>
            </w:tcBorders>
            <w:tcMar>
              <w:top w:w="100" w:type="dxa"/>
              <w:left w:w="100" w:type="dxa"/>
              <w:bottom w:w="100" w:type="dxa"/>
              <w:right w:w="100" w:type="dxa"/>
            </w:tcMar>
            <w:hideMark/>
          </w:tcPr>
          <w:p w14:paraId="12E31FFB"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8,870</w:t>
            </w:r>
          </w:p>
        </w:tc>
        <w:tc>
          <w:tcPr>
            <w:tcW w:w="870" w:type="dxa"/>
            <w:tcBorders>
              <w:top w:val="nil"/>
              <w:left w:val="nil"/>
              <w:bottom w:val="nil"/>
              <w:right w:val="nil"/>
            </w:tcBorders>
            <w:tcMar>
              <w:top w:w="100" w:type="dxa"/>
              <w:left w:w="100" w:type="dxa"/>
              <w:bottom w:w="100" w:type="dxa"/>
              <w:right w:w="100" w:type="dxa"/>
            </w:tcMar>
            <w:hideMark/>
          </w:tcPr>
          <w:p w14:paraId="2E4E9D8D"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0,182</w:t>
            </w:r>
          </w:p>
        </w:tc>
        <w:tc>
          <w:tcPr>
            <w:tcW w:w="1770" w:type="dxa"/>
            <w:tcBorders>
              <w:top w:val="nil"/>
              <w:left w:val="nil"/>
              <w:bottom w:val="nil"/>
              <w:right w:val="nil"/>
            </w:tcBorders>
            <w:tcMar>
              <w:top w:w="100" w:type="dxa"/>
              <w:left w:w="100" w:type="dxa"/>
              <w:bottom w:w="100" w:type="dxa"/>
              <w:right w:w="100" w:type="dxa"/>
            </w:tcMar>
            <w:hideMark/>
          </w:tcPr>
          <w:p w14:paraId="18FEFB00"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1,031</w:t>
            </w:r>
          </w:p>
        </w:tc>
      </w:tr>
      <w:tr w:rsidR="003641DC" w:rsidRPr="00931280" w14:paraId="2E220C52" w14:textId="77777777" w:rsidTr="003641DC">
        <w:trPr>
          <w:trHeight w:val="313"/>
        </w:trPr>
        <w:tc>
          <w:tcPr>
            <w:tcW w:w="2730" w:type="dxa"/>
            <w:tcBorders>
              <w:top w:val="nil"/>
              <w:left w:val="nil"/>
              <w:bottom w:val="nil"/>
              <w:right w:val="nil"/>
            </w:tcBorders>
            <w:tcMar>
              <w:top w:w="100" w:type="dxa"/>
              <w:left w:w="100" w:type="dxa"/>
              <w:bottom w:w="100" w:type="dxa"/>
              <w:right w:w="100" w:type="dxa"/>
            </w:tcMar>
            <w:hideMark/>
          </w:tcPr>
          <w:p w14:paraId="74B680AA" w14:textId="77777777" w:rsidR="003641DC" w:rsidRPr="00931280" w:rsidRDefault="003641DC" w:rsidP="00F02D2D">
            <w:pPr>
              <w:widowControl w:val="0"/>
              <w:spacing w:after="0" w:line="240" w:lineRule="auto"/>
              <w:mirrorIndents/>
              <w:rPr>
                <w:rFonts w:eastAsia="Cambria" w:cs="Cambria"/>
                <w:lang w:eastAsia="en-US"/>
              </w:rPr>
            </w:pPr>
            <w:r w:rsidRPr="00931280">
              <w:rPr>
                <w:rFonts w:eastAsia="Cambria" w:cs="Cambria"/>
                <w:lang w:eastAsia="en-US"/>
              </w:rPr>
              <w:t>Profitability</w:t>
            </w:r>
          </w:p>
        </w:tc>
        <w:tc>
          <w:tcPr>
            <w:tcW w:w="1290" w:type="dxa"/>
            <w:tcBorders>
              <w:top w:val="nil"/>
              <w:left w:val="nil"/>
              <w:bottom w:val="nil"/>
              <w:right w:val="nil"/>
            </w:tcBorders>
            <w:tcMar>
              <w:top w:w="100" w:type="dxa"/>
              <w:left w:w="100" w:type="dxa"/>
              <w:bottom w:w="100" w:type="dxa"/>
              <w:right w:w="100" w:type="dxa"/>
            </w:tcMar>
            <w:hideMark/>
          </w:tcPr>
          <w:p w14:paraId="0B234431"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-0,208</w:t>
            </w:r>
          </w:p>
        </w:tc>
        <w:tc>
          <w:tcPr>
            <w:tcW w:w="1380" w:type="dxa"/>
            <w:tcBorders>
              <w:top w:val="nil"/>
              <w:left w:val="nil"/>
              <w:bottom w:val="nil"/>
              <w:right w:val="nil"/>
            </w:tcBorders>
            <w:tcMar>
              <w:top w:w="100" w:type="dxa"/>
              <w:left w:w="100" w:type="dxa"/>
              <w:bottom w:w="100" w:type="dxa"/>
              <w:right w:w="100" w:type="dxa"/>
            </w:tcMar>
            <w:hideMark/>
          </w:tcPr>
          <w:p w14:paraId="62FBB802"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8,428</w:t>
            </w:r>
          </w:p>
        </w:tc>
        <w:tc>
          <w:tcPr>
            <w:tcW w:w="870" w:type="dxa"/>
            <w:tcBorders>
              <w:top w:val="nil"/>
              <w:left w:val="nil"/>
              <w:bottom w:val="nil"/>
              <w:right w:val="nil"/>
            </w:tcBorders>
            <w:tcMar>
              <w:top w:w="100" w:type="dxa"/>
              <w:left w:w="100" w:type="dxa"/>
              <w:bottom w:w="100" w:type="dxa"/>
              <w:right w:w="100" w:type="dxa"/>
            </w:tcMar>
            <w:hideMark/>
          </w:tcPr>
          <w:p w14:paraId="6DCF0502"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0,223</w:t>
            </w:r>
          </w:p>
        </w:tc>
        <w:tc>
          <w:tcPr>
            <w:tcW w:w="1770" w:type="dxa"/>
            <w:tcBorders>
              <w:top w:val="nil"/>
              <w:left w:val="nil"/>
              <w:bottom w:val="nil"/>
              <w:right w:val="nil"/>
            </w:tcBorders>
            <w:tcMar>
              <w:top w:w="100" w:type="dxa"/>
              <w:left w:w="100" w:type="dxa"/>
              <w:bottom w:w="100" w:type="dxa"/>
              <w:right w:w="100" w:type="dxa"/>
            </w:tcMar>
            <w:hideMark/>
          </w:tcPr>
          <w:p w14:paraId="3A00073A"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0,893</w:t>
            </w:r>
          </w:p>
        </w:tc>
      </w:tr>
      <w:tr w:rsidR="003641DC" w:rsidRPr="00931280" w14:paraId="6F1591EE" w14:textId="77777777" w:rsidTr="003641DC">
        <w:trPr>
          <w:trHeight w:val="314"/>
        </w:trPr>
        <w:tc>
          <w:tcPr>
            <w:tcW w:w="2730" w:type="dxa"/>
            <w:tcBorders>
              <w:top w:val="nil"/>
              <w:left w:val="nil"/>
              <w:bottom w:val="nil"/>
              <w:right w:val="nil"/>
            </w:tcBorders>
            <w:tcMar>
              <w:top w:w="100" w:type="dxa"/>
              <w:left w:w="100" w:type="dxa"/>
              <w:bottom w:w="100" w:type="dxa"/>
              <w:right w:w="100" w:type="dxa"/>
            </w:tcMar>
            <w:hideMark/>
          </w:tcPr>
          <w:p w14:paraId="6B3F6DDE" w14:textId="77777777" w:rsidR="003641DC" w:rsidRPr="00931280" w:rsidRDefault="003641DC" w:rsidP="00F02D2D">
            <w:pPr>
              <w:widowControl w:val="0"/>
              <w:spacing w:after="0" w:line="240" w:lineRule="auto"/>
              <w:mirrorIndents/>
              <w:rPr>
                <w:rFonts w:eastAsia="Cambria" w:cs="Cambria"/>
                <w:lang w:eastAsia="en-US"/>
              </w:rPr>
            </w:pPr>
            <w:r w:rsidRPr="00931280">
              <w:rPr>
                <w:rFonts w:eastAsia="Cambria" w:cs="Cambria"/>
                <w:lang w:eastAsia="en-US"/>
              </w:rPr>
              <w:t>Firm Value</w:t>
            </w:r>
          </w:p>
        </w:tc>
        <w:tc>
          <w:tcPr>
            <w:tcW w:w="1290" w:type="dxa"/>
            <w:tcBorders>
              <w:top w:val="nil"/>
              <w:left w:val="nil"/>
              <w:bottom w:val="nil"/>
              <w:right w:val="nil"/>
            </w:tcBorders>
            <w:tcMar>
              <w:top w:w="100" w:type="dxa"/>
              <w:left w:w="100" w:type="dxa"/>
              <w:bottom w:w="100" w:type="dxa"/>
              <w:right w:w="100" w:type="dxa"/>
            </w:tcMar>
            <w:hideMark/>
          </w:tcPr>
          <w:p w14:paraId="32D89746"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0,059</w:t>
            </w:r>
          </w:p>
        </w:tc>
        <w:tc>
          <w:tcPr>
            <w:tcW w:w="1380" w:type="dxa"/>
            <w:tcBorders>
              <w:top w:val="nil"/>
              <w:left w:val="nil"/>
              <w:bottom w:val="nil"/>
              <w:right w:val="nil"/>
            </w:tcBorders>
            <w:tcMar>
              <w:top w:w="100" w:type="dxa"/>
              <w:left w:w="100" w:type="dxa"/>
              <w:bottom w:w="100" w:type="dxa"/>
              <w:right w:w="100" w:type="dxa"/>
            </w:tcMar>
            <w:hideMark/>
          </w:tcPr>
          <w:p w14:paraId="3A3021A3"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4,914</w:t>
            </w:r>
          </w:p>
        </w:tc>
        <w:tc>
          <w:tcPr>
            <w:tcW w:w="870" w:type="dxa"/>
            <w:tcBorders>
              <w:top w:val="nil"/>
              <w:left w:val="nil"/>
              <w:bottom w:val="nil"/>
              <w:right w:val="nil"/>
            </w:tcBorders>
            <w:tcMar>
              <w:top w:w="100" w:type="dxa"/>
              <w:left w:w="100" w:type="dxa"/>
              <w:bottom w:w="100" w:type="dxa"/>
              <w:right w:w="100" w:type="dxa"/>
            </w:tcMar>
            <w:hideMark/>
          </w:tcPr>
          <w:p w14:paraId="63872F72"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1,246</w:t>
            </w:r>
          </w:p>
        </w:tc>
        <w:tc>
          <w:tcPr>
            <w:tcW w:w="1770" w:type="dxa"/>
            <w:tcBorders>
              <w:top w:val="nil"/>
              <w:left w:val="nil"/>
              <w:bottom w:val="nil"/>
              <w:right w:val="nil"/>
            </w:tcBorders>
            <w:tcMar>
              <w:top w:w="100" w:type="dxa"/>
              <w:left w:w="100" w:type="dxa"/>
              <w:bottom w:w="100" w:type="dxa"/>
              <w:right w:w="100" w:type="dxa"/>
            </w:tcMar>
            <w:hideMark/>
          </w:tcPr>
          <w:p w14:paraId="54342252"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0,978</w:t>
            </w:r>
          </w:p>
        </w:tc>
      </w:tr>
      <w:tr w:rsidR="003641DC" w:rsidRPr="00931280" w14:paraId="6FF67BAD" w14:textId="77777777" w:rsidTr="003641DC">
        <w:trPr>
          <w:trHeight w:val="14"/>
        </w:trPr>
        <w:tc>
          <w:tcPr>
            <w:tcW w:w="2730" w:type="dxa"/>
            <w:tcBorders>
              <w:top w:val="nil"/>
              <w:left w:val="nil"/>
              <w:bottom w:val="single" w:sz="8" w:space="0" w:color="000000"/>
              <w:right w:val="nil"/>
            </w:tcBorders>
            <w:tcMar>
              <w:top w:w="100" w:type="dxa"/>
              <w:left w:w="100" w:type="dxa"/>
              <w:bottom w:w="100" w:type="dxa"/>
              <w:right w:w="100" w:type="dxa"/>
            </w:tcMar>
            <w:hideMark/>
          </w:tcPr>
          <w:p w14:paraId="298C581D" w14:textId="77777777" w:rsidR="003641DC" w:rsidRPr="00931280" w:rsidRDefault="003641DC" w:rsidP="00F02D2D">
            <w:pPr>
              <w:widowControl w:val="0"/>
              <w:spacing w:after="0" w:line="240" w:lineRule="auto"/>
              <w:mirrorIndents/>
              <w:rPr>
                <w:rFonts w:eastAsia="Cambria" w:cs="Cambria"/>
                <w:lang w:eastAsia="en-US"/>
              </w:rPr>
            </w:pPr>
            <w:r w:rsidRPr="00931280">
              <w:rPr>
                <w:rFonts w:eastAsia="Cambria" w:cs="Cambria"/>
                <w:lang w:eastAsia="en-US"/>
              </w:rPr>
              <w:t>Dividend Policy</w:t>
            </w:r>
          </w:p>
        </w:tc>
        <w:tc>
          <w:tcPr>
            <w:tcW w:w="1290" w:type="dxa"/>
            <w:tcBorders>
              <w:top w:val="nil"/>
              <w:left w:val="nil"/>
              <w:bottom w:val="single" w:sz="8" w:space="0" w:color="000000"/>
              <w:right w:val="nil"/>
            </w:tcBorders>
            <w:tcMar>
              <w:top w:w="100" w:type="dxa"/>
              <w:left w:w="100" w:type="dxa"/>
              <w:bottom w:w="100" w:type="dxa"/>
              <w:right w:w="100" w:type="dxa"/>
            </w:tcMar>
            <w:hideMark/>
          </w:tcPr>
          <w:p w14:paraId="613D3E90"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-0,456</w:t>
            </w:r>
          </w:p>
        </w:tc>
        <w:tc>
          <w:tcPr>
            <w:tcW w:w="1380" w:type="dxa"/>
            <w:tcBorders>
              <w:top w:val="nil"/>
              <w:left w:val="nil"/>
              <w:bottom w:val="single" w:sz="8" w:space="0" w:color="000000"/>
              <w:right w:val="nil"/>
            </w:tcBorders>
            <w:tcMar>
              <w:top w:w="100" w:type="dxa"/>
              <w:left w:w="100" w:type="dxa"/>
              <w:bottom w:w="100" w:type="dxa"/>
              <w:right w:w="100" w:type="dxa"/>
            </w:tcMar>
            <w:hideMark/>
          </w:tcPr>
          <w:p w14:paraId="05960D08"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7,699</w:t>
            </w:r>
          </w:p>
        </w:tc>
        <w:tc>
          <w:tcPr>
            <w:tcW w:w="870" w:type="dxa"/>
            <w:tcBorders>
              <w:top w:val="nil"/>
              <w:left w:val="nil"/>
              <w:bottom w:val="single" w:sz="4" w:space="0" w:color="000000"/>
              <w:right w:val="nil"/>
            </w:tcBorders>
            <w:tcMar>
              <w:top w:w="100" w:type="dxa"/>
              <w:left w:w="100" w:type="dxa"/>
              <w:bottom w:w="100" w:type="dxa"/>
              <w:right w:w="100" w:type="dxa"/>
            </w:tcMar>
            <w:hideMark/>
          </w:tcPr>
          <w:p w14:paraId="687EA2E7"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0,278</w:t>
            </w:r>
          </w:p>
        </w:tc>
        <w:tc>
          <w:tcPr>
            <w:tcW w:w="1770" w:type="dxa"/>
            <w:tcBorders>
              <w:top w:val="nil"/>
              <w:left w:val="nil"/>
              <w:bottom w:val="single" w:sz="4" w:space="0" w:color="000000"/>
              <w:right w:val="nil"/>
            </w:tcBorders>
            <w:tcMar>
              <w:top w:w="100" w:type="dxa"/>
              <w:left w:w="100" w:type="dxa"/>
              <w:bottom w:w="100" w:type="dxa"/>
              <w:right w:w="100" w:type="dxa"/>
            </w:tcMar>
            <w:hideMark/>
          </w:tcPr>
          <w:p w14:paraId="5D3C5E32" w14:textId="77777777" w:rsidR="003641DC" w:rsidRPr="00931280" w:rsidRDefault="003641DC" w:rsidP="00F02D2D">
            <w:pPr>
              <w:widowControl w:val="0"/>
              <w:spacing w:after="0" w:line="240" w:lineRule="auto"/>
              <w:mirrorIndents/>
              <w:jc w:val="center"/>
              <w:rPr>
                <w:rFonts w:eastAsia="Cambria" w:cs="Cambria"/>
                <w:lang w:eastAsia="en-US"/>
              </w:rPr>
            </w:pPr>
            <w:r w:rsidRPr="00931280">
              <w:rPr>
                <w:rFonts w:eastAsia="Cambria" w:cs="Cambria"/>
                <w:lang w:eastAsia="en-US"/>
              </w:rPr>
              <w:t>1,050</w:t>
            </w:r>
          </w:p>
        </w:tc>
      </w:tr>
      <w:tr w:rsidR="003641DC" w:rsidRPr="00931280" w14:paraId="750B24C6" w14:textId="77777777" w:rsidTr="003641DC">
        <w:trPr>
          <w:trHeight w:val="314"/>
        </w:trPr>
        <w:tc>
          <w:tcPr>
            <w:tcW w:w="2730" w:type="dxa"/>
            <w:tcBorders>
              <w:top w:val="single" w:sz="8" w:space="0" w:color="000000"/>
              <w:left w:val="nil"/>
              <w:bottom w:val="single" w:sz="8" w:space="0" w:color="000000"/>
              <w:right w:val="nil"/>
            </w:tcBorders>
            <w:tcMar>
              <w:top w:w="100" w:type="dxa"/>
              <w:left w:w="100" w:type="dxa"/>
              <w:bottom w:w="100" w:type="dxa"/>
              <w:right w:w="100" w:type="dxa"/>
            </w:tcMar>
            <w:hideMark/>
          </w:tcPr>
          <w:p w14:paraId="5DF3A20B" w14:textId="77777777" w:rsidR="003641DC" w:rsidRPr="00931280" w:rsidRDefault="003641DC" w:rsidP="00F02D2D">
            <w:pPr>
              <w:widowControl w:val="0"/>
              <w:spacing w:after="0" w:line="240" w:lineRule="auto"/>
              <w:mirrorIndents/>
              <w:rPr>
                <w:rFonts w:eastAsia="Cambria" w:cs="Cambria"/>
                <w:lang w:eastAsia="en-US"/>
              </w:rPr>
            </w:pPr>
            <w:r w:rsidRPr="00931280">
              <w:rPr>
                <w:rFonts w:eastAsia="Cambria" w:cs="Cambria"/>
                <w:lang w:eastAsia="en-US"/>
              </w:rPr>
              <w:t xml:space="preserve">Valid (N) </w:t>
            </w:r>
            <w:r w:rsidRPr="00931280">
              <w:rPr>
                <w:rFonts w:eastAsia="Cambria" w:cs="Cambria"/>
                <w:i/>
                <w:lang w:eastAsia="en-US"/>
              </w:rPr>
              <w:t>(listwise</w:t>
            </w:r>
            <w:r w:rsidRPr="00931280">
              <w:rPr>
                <w:rFonts w:eastAsia="Cambria" w:cs="Cambria"/>
                <w:lang w:eastAsia="en-US"/>
              </w:rPr>
              <w:t>)</w:t>
            </w:r>
          </w:p>
        </w:tc>
        <w:tc>
          <w:tcPr>
            <w:tcW w:w="1290" w:type="dxa"/>
            <w:tcBorders>
              <w:top w:val="single" w:sz="8" w:space="0" w:color="000000"/>
              <w:left w:val="nil"/>
              <w:bottom w:val="single" w:sz="8" w:space="0" w:color="000000"/>
              <w:right w:val="nil"/>
            </w:tcBorders>
            <w:tcMar>
              <w:top w:w="100" w:type="dxa"/>
              <w:left w:w="100" w:type="dxa"/>
              <w:bottom w:w="100" w:type="dxa"/>
              <w:right w:w="100" w:type="dxa"/>
            </w:tcMar>
          </w:tcPr>
          <w:p w14:paraId="1906A335" w14:textId="77777777" w:rsidR="003641DC" w:rsidRPr="00931280" w:rsidRDefault="003641DC" w:rsidP="00F02D2D">
            <w:pPr>
              <w:widowControl w:val="0"/>
              <w:spacing w:after="0" w:line="240" w:lineRule="auto"/>
              <w:mirrorIndents/>
              <w:jc w:val="center"/>
              <w:rPr>
                <w:rFonts w:eastAsia="Cambria" w:cs="Cambria"/>
                <w:lang w:eastAsia="en-US"/>
              </w:rPr>
            </w:pPr>
          </w:p>
        </w:tc>
        <w:tc>
          <w:tcPr>
            <w:tcW w:w="1380" w:type="dxa"/>
            <w:tcBorders>
              <w:top w:val="single" w:sz="8" w:space="0" w:color="000000"/>
              <w:left w:val="nil"/>
              <w:bottom w:val="single" w:sz="8" w:space="0" w:color="000000"/>
              <w:right w:val="nil"/>
            </w:tcBorders>
            <w:tcMar>
              <w:top w:w="100" w:type="dxa"/>
              <w:left w:w="100" w:type="dxa"/>
              <w:bottom w:w="100" w:type="dxa"/>
              <w:right w:w="100" w:type="dxa"/>
            </w:tcMar>
          </w:tcPr>
          <w:p w14:paraId="2EAFE9F8" w14:textId="77777777" w:rsidR="003641DC" w:rsidRPr="00931280" w:rsidRDefault="003641DC" w:rsidP="00F02D2D">
            <w:pPr>
              <w:widowControl w:val="0"/>
              <w:spacing w:after="0" w:line="240" w:lineRule="auto"/>
              <w:mirrorIndents/>
              <w:jc w:val="center"/>
              <w:rPr>
                <w:rFonts w:eastAsia="Cambria" w:cs="Cambria"/>
                <w:lang w:eastAsia="en-US"/>
              </w:rPr>
            </w:pPr>
          </w:p>
        </w:tc>
        <w:tc>
          <w:tcPr>
            <w:tcW w:w="870" w:type="dxa"/>
            <w:tcBorders>
              <w:top w:val="single" w:sz="4" w:space="0" w:color="000000"/>
              <w:left w:val="nil"/>
              <w:bottom w:val="single" w:sz="8" w:space="0" w:color="000000"/>
              <w:right w:val="nil"/>
            </w:tcBorders>
            <w:tcMar>
              <w:top w:w="100" w:type="dxa"/>
              <w:left w:w="100" w:type="dxa"/>
              <w:bottom w:w="100" w:type="dxa"/>
              <w:right w:w="100" w:type="dxa"/>
            </w:tcMar>
          </w:tcPr>
          <w:p w14:paraId="2DAF8E09" w14:textId="77777777" w:rsidR="003641DC" w:rsidRPr="00931280" w:rsidRDefault="003641DC" w:rsidP="00F02D2D">
            <w:pPr>
              <w:widowControl w:val="0"/>
              <w:spacing w:after="0" w:line="240" w:lineRule="auto"/>
              <w:mirrorIndents/>
              <w:jc w:val="center"/>
              <w:rPr>
                <w:rFonts w:eastAsia="Cambria" w:cs="Cambria"/>
                <w:lang w:eastAsia="en-US"/>
              </w:rPr>
            </w:pPr>
          </w:p>
        </w:tc>
        <w:tc>
          <w:tcPr>
            <w:tcW w:w="1770" w:type="dxa"/>
            <w:tcBorders>
              <w:top w:val="single" w:sz="4" w:space="0" w:color="000000"/>
              <w:left w:val="nil"/>
              <w:bottom w:val="single" w:sz="8" w:space="0" w:color="000000"/>
              <w:right w:val="nil"/>
            </w:tcBorders>
            <w:tcMar>
              <w:top w:w="100" w:type="dxa"/>
              <w:left w:w="100" w:type="dxa"/>
              <w:bottom w:w="100" w:type="dxa"/>
              <w:right w:w="100" w:type="dxa"/>
            </w:tcMar>
          </w:tcPr>
          <w:p w14:paraId="42E8B8ED" w14:textId="77777777" w:rsidR="003641DC" w:rsidRPr="00931280" w:rsidRDefault="003641DC" w:rsidP="00F02D2D">
            <w:pPr>
              <w:widowControl w:val="0"/>
              <w:spacing w:after="0" w:line="240" w:lineRule="auto"/>
              <w:mirrorIndents/>
              <w:jc w:val="center"/>
              <w:rPr>
                <w:rFonts w:eastAsia="Cambria" w:cs="Cambria"/>
                <w:lang w:eastAsia="en-US"/>
              </w:rPr>
            </w:pPr>
          </w:p>
        </w:tc>
      </w:tr>
    </w:tbl>
    <w:p w14:paraId="5EC1105C" w14:textId="22294726" w:rsidR="00F02D2D" w:rsidRPr="00931280" w:rsidRDefault="00F02D2D" w:rsidP="00F02D2D">
      <w:pPr>
        <w:spacing w:after="0" w:line="240" w:lineRule="auto"/>
        <w:mirrorIndents/>
        <w:jc w:val="center"/>
        <w:rPr>
          <w:rFonts w:eastAsia="Cambria" w:cs="Cambria"/>
          <w:sz w:val="20"/>
          <w:szCs w:val="20"/>
          <w:lang w:eastAsia="en-US"/>
        </w:rPr>
      </w:pPr>
      <w:r w:rsidRPr="00931280">
        <w:rPr>
          <w:rFonts w:eastAsia="Cambria" w:cs="Cambria"/>
          <w:sz w:val="20"/>
          <w:szCs w:val="20"/>
          <w:lang w:eastAsia="en-US"/>
        </w:rPr>
        <w:t>Sources : Output SPSS, processed data (2024)</w:t>
      </w:r>
    </w:p>
    <w:p w14:paraId="4ACE8437" w14:textId="4C0DD271" w:rsidR="004420F0" w:rsidRPr="00931280" w:rsidRDefault="00F02D2D" w:rsidP="00F02D2D">
      <w:pPr>
        <w:spacing w:after="0" w:line="240" w:lineRule="auto"/>
        <w:ind w:firstLine="284"/>
        <w:jc w:val="both"/>
        <w:rPr>
          <w:bCs/>
          <w:lang w:val="en-US"/>
        </w:rPr>
      </w:pPr>
      <w:r w:rsidRPr="00931280">
        <w:rPr>
          <w:bCs/>
          <w:lang w:val="en-US"/>
        </w:rPr>
        <w:t>This descriptive statistical test aims to measure the amount of data, the range of minimum, maximum, average value, and the STDEV of t</w:t>
      </w:r>
      <w:r w:rsidR="002112B8">
        <w:rPr>
          <w:bCs/>
          <w:lang w:val="en-US"/>
        </w:rPr>
        <w:t>his research</w:t>
      </w:r>
      <w:r w:rsidRPr="00931280">
        <w:rPr>
          <w:bCs/>
          <w:lang w:val="en-US"/>
        </w:rPr>
        <w:t xml:space="preserve"> variables. Table 4 reflects the amount of data as the N value is 108 data consisting of</w:t>
      </w:r>
      <w:r w:rsidR="00543F1A" w:rsidRPr="00931280">
        <w:rPr>
          <w:bCs/>
          <w:lang w:val="en-US"/>
        </w:rPr>
        <w:t xml:space="preserve"> IOS</w:t>
      </w:r>
      <w:r w:rsidRPr="00931280">
        <w:rPr>
          <w:bCs/>
          <w:lang w:val="en-US"/>
        </w:rPr>
        <w:t>, Company Growth, Profitability, Company Value, and Dividend Policy. The IOS variable is calculated through the value of MBVE with min value 0.043 to and max value 10.314 where the avg value is 0.818 higher than the STDEV. value 1.509, which implies that variable data has a high data variation. High data distribution also occurs in the Company Growth variable with a min value -0.889 and max value 8.870 and a</w:t>
      </w:r>
      <w:r w:rsidR="00A749FB" w:rsidRPr="00931280">
        <w:rPr>
          <w:bCs/>
          <w:lang w:val="en-US"/>
        </w:rPr>
        <w:t>n</w:t>
      </w:r>
      <w:r w:rsidRPr="00931280">
        <w:rPr>
          <w:bCs/>
          <w:lang w:val="en-US"/>
        </w:rPr>
        <w:t xml:space="preserve"> avg value 0.182 where the value is lesser than the parameterized STDEV. score 1.031. Likewise with the ratio of company profits avg. value is 0.223 with a larger deviation of STDEV 0.893 from the minimum score is -0.208 to 8.428. Meanwhile, the dependent variables or firm value measured using PBV value has a avg. value of 1.246 with lower STDEV. 0.978, implies that Data has less variation or homogeneous data distribution from a range of at least 0.059 to 4.914. The dividend policy variable avg value is 0.278 and STDEV of 1.050 with a minimum score -0.456 to 7.699 refers to data that is scattered with great variation.</w:t>
      </w:r>
    </w:p>
    <w:p w14:paraId="2E0F75DC" w14:textId="74A3D079" w:rsidR="00F02D2D" w:rsidRPr="00931280" w:rsidRDefault="00F02D2D" w:rsidP="00BF6BEF">
      <w:pPr>
        <w:spacing w:after="0" w:line="240" w:lineRule="auto"/>
        <w:jc w:val="both"/>
        <w:rPr>
          <w:b/>
          <w:lang w:val="en-US"/>
        </w:rPr>
      </w:pPr>
      <w:r w:rsidRPr="00931280">
        <w:rPr>
          <w:b/>
          <w:lang w:val="en-US"/>
        </w:rPr>
        <w:t>Classical Assumption Testing</w:t>
      </w:r>
    </w:p>
    <w:p w14:paraId="483DF06B" w14:textId="7077D1FF" w:rsidR="00F02D2D" w:rsidRPr="00931280" w:rsidRDefault="00F02D2D" w:rsidP="00F02D2D">
      <w:pPr>
        <w:spacing w:after="0" w:line="240" w:lineRule="auto"/>
        <w:ind w:firstLine="284"/>
        <w:jc w:val="both"/>
        <w:rPr>
          <w:lang w:val="id-ID"/>
        </w:rPr>
      </w:pPr>
      <w:r w:rsidRPr="00931280">
        <w:rPr>
          <w:lang w:val="id-ID"/>
        </w:rPr>
        <w:t>Normality testing using Kolmogorov-Smirnov test aims to describe normality distribution data through the significance value with the assumption that the data is distributed normally if the sig. value Asymp. Sig. (2-tailed) is above 0.05 (Ghozali, 2011). Data testing from this study is presented with these result:</w:t>
      </w:r>
    </w:p>
    <w:p w14:paraId="3688819A" w14:textId="77777777" w:rsidR="00FD2E41" w:rsidRPr="00931280" w:rsidRDefault="00FD2E41">
      <w:pPr>
        <w:rPr>
          <w:rFonts w:eastAsia="Cambria" w:cs="Cambria"/>
          <w:b/>
          <w:lang w:eastAsia="en-US"/>
        </w:rPr>
      </w:pPr>
      <w:r w:rsidRPr="00931280">
        <w:rPr>
          <w:rFonts w:eastAsia="Cambria" w:cs="Cambria"/>
          <w:b/>
          <w:lang w:eastAsia="en-US"/>
        </w:rPr>
        <w:br w:type="page"/>
      </w:r>
    </w:p>
    <w:p w14:paraId="7950B593" w14:textId="56E63492" w:rsidR="00F02D2D" w:rsidRPr="00931280" w:rsidRDefault="00F02D2D" w:rsidP="00F02D2D">
      <w:pPr>
        <w:spacing w:after="0" w:line="240" w:lineRule="auto"/>
        <w:ind w:firstLine="720"/>
        <w:jc w:val="center"/>
        <w:rPr>
          <w:rFonts w:eastAsia="Cambria" w:cs="Cambria"/>
          <w:lang w:eastAsia="en-US"/>
        </w:rPr>
      </w:pPr>
      <w:r w:rsidRPr="00931280">
        <w:rPr>
          <w:rFonts w:eastAsia="Cambria" w:cs="Cambria"/>
          <w:b/>
          <w:lang w:eastAsia="en-US"/>
        </w:rPr>
        <w:lastRenderedPageBreak/>
        <w:t xml:space="preserve">Table 5 </w:t>
      </w:r>
      <w:r w:rsidRPr="00931280">
        <w:rPr>
          <w:rFonts w:eastAsia="Cambria" w:cs="Cambria"/>
          <w:lang w:eastAsia="en-US"/>
        </w:rPr>
        <w:t>Normality Test Results</w:t>
      </w:r>
    </w:p>
    <w:tbl>
      <w:tblPr>
        <w:tblW w:w="4961"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992"/>
        <w:gridCol w:w="1985"/>
      </w:tblGrid>
      <w:tr w:rsidR="00F02D2D" w:rsidRPr="00931280" w14:paraId="7AA519EA" w14:textId="77777777" w:rsidTr="00FD2E41">
        <w:tc>
          <w:tcPr>
            <w:tcW w:w="1984" w:type="dxa"/>
            <w:tcBorders>
              <w:top w:val="single" w:sz="8" w:space="0" w:color="000000"/>
              <w:left w:val="nil"/>
              <w:bottom w:val="single" w:sz="4" w:space="0" w:color="000000"/>
              <w:right w:val="nil"/>
            </w:tcBorders>
            <w:tcMar>
              <w:top w:w="100" w:type="dxa"/>
              <w:left w:w="100" w:type="dxa"/>
              <w:bottom w:w="100" w:type="dxa"/>
              <w:right w:w="100" w:type="dxa"/>
            </w:tcMar>
          </w:tcPr>
          <w:p w14:paraId="2852D33F" w14:textId="77777777" w:rsidR="00F02D2D" w:rsidRPr="00931280" w:rsidRDefault="00F02D2D" w:rsidP="00F02D2D">
            <w:pPr>
              <w:widowControl w:val="0"/>
              <w:spacing w:after="0" w:line="240" w:lineRule="auto"/>
              <w:ind w:left="708"/>
              <w:rPr>
                <w:rFonts w:eastAsia="Cambria" w:cs="Cambria"/>
                <w:lang w:eastAsia="en-US"/>
              </w:rPr>
            </w:pPr>
          </w:p>
        </w:tc>
        <w:tc>
          <w:tcPr>
            <w:tcW w:w="2977" w:type="dxa"/>
            <w:gridSpan w:val="2"/>
            <w:tcBorders>
              <w:top w:val="single" w:sz="8" w:space="0" w:color="000000"/>
              <w:left w:val="nil"/>
              <w:bottom w:val="single" w:sz="4" w:space="0" w:color="000000"/>
              <w:right w:val="nil"/>
            </w:tcBorders>
            <w:tcMar>
              <w:top w:w="100" w:type="dxa"/>
              <w:left w:w="100" w:type="dxa"/>
              <w:bottom w:w="100" w:type="dxa"/>
              <w:right w:w="100" w:type="dxa"/>
            </w:tcMar>
            <w:hideMark/>
          </w:tcPr>
          <w:p w14:paraId="0C7EE1B2" w14:textId="77777777" w:rsidR="00F02D2D" w:rsidRPr="00931280" w:rsidRDefault="00F02D2D" w:rsidP="00F02D2D">
            <w:pPr>
              <w:widowControl w:val="0"/>
              <w:spacing w:after="0" w:line="240" w:lineRule="auto"/>
              <w:jc w:val="center"/>
              <w:rPr>
                <w:rFonts w:eastAsia="Cambria" w:cs="Cambria"/>
                <w:lang w:eastAsia="en-US"/>
              </w:rPr>
            </w:pPr>
            <w:r w:rsidRPr="00931280">
              <w:rPr>
                <w:rFonts w:eastAsia="Cambria" w:cs="Cambria"/>
                <w:lang w:eastAsia="en-US"/>
              </w:rPr>
              <w:t>Unstandardized Residual</w:t>
            </w:r>
          </w:p>
        </w:tc>
      </w:tr>
      <w:tr w:rsidR="00F02D2D" w:rsidRPr="00931280" w14:paraId="61085474" w14:textId="77777777" w:rsidTr="00FD2E41">
        <w:tc>
          <w:tcPr>
            <w:tcW w:w="1984" w:type="dxa"/>
            <w:tcBorders>
              <w:top w:val="single" w:sz="4" w:space="0" w:color="000000"/>
              <w:left w:val="nil"/>
              <w:bottom w:val="nil"/>
              <w:right w:val="nil"/>
            </w:tcBorders>
            <w:tcMar>
              <w:top w:w="100" w:type="dxa"/>
              <w:left w:w="100" w:type="dxa"/>
              <w:bottom w:w="100" w:type="dxa"/>
              <w:right w:w="100" w:type="dxa"/>
            </w:tcMar>
            <w:hideMark/>
          </w:tcPr>
          <w:p w14:paraId="2AE02550" w14:textId="77777777" w:rsidR="00F02D2D" w:rsidRPr="00931280" w:rsidRDefault="00F02D2D" w:rsidP="00F02D2D">
            <w:pPr>
              <w:widowControl w:val="0"/>
              <w:spacing w:after="0" w:line="240" w:lineRule="auto"/>
              <w:rPr>
                <w:rFonts w:eastAsia="Cambria" w:cs="Cambria"/>
                <w:lang w:eastAsia="en-US"/>
              </w:rPr>
            </w:pPr>
            <w:r w:rsidRPr="00931280">
              <w:rPr>
                <w:rFonts w:eastAsia="Cambria" w:cs="Cambria"/>
                <w:lang w:eastAsia="en-US"/>
              </w:rPr>
              <w:t xml:space="preserve">N </w:t>
            </w:r>
          </w:p>
        </w:tc>
        <w:tc>
          <w:tcPr>
            <w:tcW w:w="2977" w:type="dxa"/>
            <w:gridSpan w:val="2"/>
            <w:tcBorders>
              <w:top w:val="single" w:sz="4" w:space="0" w:color="000000"/>
              <w:left w:val="nil"/>
              <w:bottom w:val="nil"/>
              <w:right w:val="nil"/>
            </w:tcBorders>
            <w:tcMar>
              <w:top w:w="100" w:type="dxa"/>
              <w:left w:w="100" w:type="dxa"/>
              <w:bottom w:w="100" w:type="dxa"/>
              <w:right w:w="100" w:type="dxa"/>
            </w:tcMar>
            <w:hideMark/>
          </w:tcPr>
          <w:p w14:paraId="740438EA" w14:textId="77777777" w:rsidR="00F02D2D" w:rsidRPr="00931280" w:rsidRDefault="00F02D2D" w:rsidP="00F02D2D">
            <w:pPr>
              <w:widowControl w:val="0"/>
              <w:spacing w:after="0" w:line="240" w:lineRule="auto"/>
              <w:jc w:val="center"/>
              <w:rPr>
                <w:rFonts w:eastAsia="Cambria" w:cs="Cambria"/>
                <w:lang w:eastAsia="en-US"/>
              </w:rPr>
            </w:pPr>
            <w:r w:rsidRPr="00931280">
              <w:rPr>
                <w:rFonts w:eastAsia="Cambria" w:cs="Cambria"/>
                <w:lang w:eastAsia="en-US"/>
              </w:rPr>
              <w:t>108</w:t>
            </w:r>
          </w:p>
        </w:tc>
      </w:tr>
      <w:tr w:rsidR="00F02D2D" w:rsidRPr="00931280" w14:paraId="58058545" w14:textId="77777777" w:rsidTr="00FD2E41">
        <w:tc>
          <w:tcPr>
            <w:tcW w:w="1984" w:type="dxa"/>
            <w:tcBorders>
              <w:top w:val="nil"/>
              <w:left w:val="nil"/>
              <w:bottom w:val="single" w:sz="8" w:space="0" w:color="000000"/>
              <w:right w:val="nil"/>
            </w:tcBorders>
            <w:tcMar>
              <w:top w:w="100" w:type="dxa"/>
              <w:left w:w="100" w:type="dxa"/>
              <w:bottom w:w="100" w:type="dxa"/>
              <w:right w:w="100" w:type="dxa"/>
            </w:tcMar>
            <w:hideMark/>
          </w:tcPr>
          <w:p w14:paraId="179CD244" w14:textId="77777777" w:rsidR="00F02D2D" w:rsidRPr="00931280" w:rsidRDefault="00F02D2D" w:rsidP="00F02D2D">
            <w:pPr>
              <w:widowControl w:val="0"/>
              <w:spacing w:after="0" w:line="240" w:lineRule="auto"/>
              <w:rPr>
                <w:rFonts w:eastAsia="Cambria" w:cs="Cambria"/>
                <w:lang w:eastAsia="en-US"/>
              </w:rPr>
            </w:pPr>
            <w:r w:rsidRPr="00931280">
              <w:rPr>
                <w:rFonts w:eastAsia="Cambria" w:cs="Cambria"/>
                <w:lang w:eastAsia="en-US"/>
              </w:rPr>
              <w:t>Statistic Test</w:t>
            </w:r>
          </w:p>
        </w:tc>
        <w:tc>
          <w:tcPr>
            <w:tcW w:w="2977" w:type="dxa"/>
            <w:gridSpan w:val="2"/>
            <w:tcBorders>
              <w:top w:val="nil"/>
              <w:left w:val="nil"/>
              <w:bottom w:val="single" w:sz="8" w:space="0" w:color="000000"/>
              <w:right w:val="nil"/>
            </w:tcBorders>
            <w:tcMar>
              <w:top w:w="100" w:type="dxa"/>
              <w:left w:w="100" w:type="dxa"/>
              <w:bottom w:w="100" w:type="dxa"/>
              <w:right w:w="100" w:type="dxa"/>
            </w:tcMar>
            <w:hideMark/>
          </w:tcPr>
          <w:p w14:paraId="763B324C" w14:textId="77777777" w:rsidR="00F02D2D" w:rsidRPr="00931280" w:rsidRDefault="00F02D2D" w:rsidP="00F02D2D">
            <w:pPr>
              <w:widowControl w:val="0"/>
              <w:spacing w:after="0" w:line="240" w:lineRule="auto"/>
              <w:jc w:val="center"/>
              <w:rPr>
                <w:rFonts w:eastAsia="Cambria" w:cs="Cambria"/>
                <w:lang w:eastAsia="en-US"/>
              </w:rPr>
            </w:pPr>
            <w:r w:rsidRPr="00931280">
              <w:rPr>
                <w:rFonts w:eastAsia="Cambria" w:cs="Cambria"/>
                <w:lang w:eastAsia="en-US"/>
              </w:rPr>
              <w:t>0,051</w:t>
            </w:r>
          </w:p>
        </w:tc>
      </w:tr>
      <w:tr w:rsidR="00F02D2D" w:rsidRPr="00931280" w14:paraId="7DCE336F" w14:textId="77777777" w:rsidTr="00F67D32">
        <w:tc>
          <w:tcPr>
            <w:tcW w:w="2976" w:type="dxa"/>
            <w:gridSpan w:val="2"/>
            <w:tcBorders>
              <w:top w:val="nil"/>
              <w:left w:val="nil"/>
              <w:bottom w:val="single" w:sz="8" w:space="0" w:color="000000"/>
              <w:right w:val="nil"/>
            </w:tcBorders>
            <w:tcMar>
              <w:top w:w="100" w:type="dxa"/>
              <w:left w:w="100" w:type="dxa"/>
              <w:bottom w:w="100" w:type="dxa"/>
              <w:right w:w="100" w:type="dxa"/>
            </w:tcMar>
            <w:hideMark/>
          </w:tcPr>
          <w:p w14:paraId="66D6850D" w14:textId="77777777" w:rsidR="00F02D2D" w:rsidRPr="00931280" w:rsidRDefault="00F02D2D" w:rsidP="00F02D2D">
            <w:pPr>
              <w:widowControl w:val="0"/>
              <w:spacing w:after="0" w:line="240" w:lineRule="auto"/>
              <w:rPr>
                <w:rFonts w:eastAsia="Cambria" w:cs="Cambria"/>
                <w:lang w:eastAsia="en-US"/>
              </w:rPr>
            </w:pPr>
            <w:r w:rsidRPr="00931280">
              <w:rPr>
                <w:rFonts w:eastAsia="Cambria" w:cs="Cambria"/>
                <w:lang w:eastAsia="en-US"/>
              </w:rPr>
              <w:t>Asymp. Sig. (2-tailed)</w:t>
            </w:r>
          </w:p>
        </w:tc>
        <w:tc>
          <w:tcPr>
            <w:tcW w:w="1985" w:type="dxa"/>
            <w:tcBorders>
              <w:top w:val="nil"/>
              <w:left w:val="nil"/>
              <w:bottom w:val="single" w:sz="8" w:space="0" w:color="000000"/>
              <w:right w:val="nil"/>
            </w:tcBorders>
            <w:tcMar>
              <w:top w:w="100" w:type="dxa"/>
              <w:left w:w="100" w:type="dxa"/>
              <w:bottom w:w="100" w:type="dxa"/>
              <w:right w:w="100" w:type="dxa"/>
            </w:tcMar>
            <w:hideMark/>
          </w:tcPr>
          <w:p w14:paraId="4EBB2D85" w14:textId="55109D49" w:rsidR="00F02D2D" w:rsidRPr="00931280" w:rsidRDefault="00A749FB" w:rsidP="00A749FB">
            <w:pPr>
              <w:widowControl w:val="0"/>
              <w:spacing w:after="0" w:line="240" w:lineRule="auto"/>
              <w:rPr>
                <w:rFonts w:eastAsia="Cambria" w:cs="Cambria"/>
                <w:lang w:eastAsia="en-US"/>
              </w:rPr>
            </w:pPr>
            <w:r w:rsidRPr="00931280">
              <w:rPr>
                <w:rFonts w:eastAsia="Cambria" w:cs="Cambria"/>
                <w:lang w:eastAsia="en-US"/>
              </w:rPr>
              <w:t xml:space="preserve">  </w:t>
            </w:r>
            <w:r w:rsidR="00F02D2D" w:rsidRPr="00931280">
              <w:rPr>
                <w:rFonts w:eastAsia="Cambria" w:cs="Cambria"/>
                <w:lang w:eastAsia="en-US"/>
              </w:rPr>
              <w:t>0,200</w:t>
            </w:r>
          </w:p>
        </w:tc>
      </w:tr>
    </w:tbl>
    <w:p w14:paraId="6A982DA5" w14:textId="77777777" w:rsidR="00F02D2D" w:rsidRPr="00931280" w:rsidRDefault="00F02D2D" w:rsidP="00F02D2D">
      <w:pPr>
        <w:spacing w:after="0" w:line="240" w:lineRule="auto"/>
        <w:jc w:val="center"/>
        <w:rPr>
          <w:rFonts w:eastAsia="Cambria" w:cs="Cambria"/>
          <w:sz w:val="20"/>
          <w:szCs w:val="20"/>
          <w:lang w:eastAsia="en-US"/>
        </w:rPr>
      </w:pPr>
      <w:r w:rsidRPr="00931280">
        <w:rPr>
          <w:rFonts w:eastAsia="Cambria" w:cs="Cambria"/>
          <w:sz w:val="20"/>
          <w:szCs w:val="20"/>
          <w:lang w:eastAsia="en-US"/>
        </w:rPr>
        <w:t>Sourced : Output SPSS, processed data (2024)</w:t>
      </w:r>
    </w:p>
    <w:p w14:paraId="0A3221C0" w14:textId="05FA6EA7" w:rsidR="00AB5F83" w:rsidRPr="00931280" w:rsidRDefault="00AB5F83" w:rsidP="00AB5F83">
      <w:pPr>
        <w:spacing w:after="0" w:line="240" w:lineRule="auto"/>
        <w:jc w:val="both"/>
        <w:rPr>
          <w:rFonts w:eastAsia="Cambria" w:cs="Cambria"/>
          <w:lang w:eastAsia="en-US"/>
        </w:rPr>
      </w:pPr>
      <w:r w:rsidRPr="00931280">
        <w:rPr>
          <w:rFonts w:eastAsia="Cambria" w:cs="Cambria"/>
          <w:lang w:eastAsia="en-US"/>
        </w:rPr>
        <w:t xml:space="preserve">Table 5 shows the residuals data value </w:t>
      </w:r>
      <w:r w:rsidR="005A7938" w:rsidRPr="00931280">
        <w:rPr>
          <w:rFonts w:eastAsia="Cambria" w:cs="Cambria"/>
          <w:lang w:eastAsia="en-US"/>
        </w:rPr>
        <w:t>distributed normally</w:t>
      </w:r>
      <w:r w:rsidRPr="00931280">
        <w:rPr>
          <w:rFonts w:eastAsia="Cambria" w:cs="Cambria"/>
          <w:lang w:eastAsia="en-US"/>
        </w:rPr>
        <w:t xml:space="preserve"> </w:t>
      </w:r>
      <w:r w:rsidR="005A7938" w:rsidRPr="00931280">
        <w:rPr>
          <w:rFonts w:eastAsia="Cambria" w:cs="Cambria"/>
          <w:lang w:eastAsia="en-US"/>
        </w:rPr>
        <w:t>when the</w:t>
      </w:r>
      <w:r w:rsidRPr="00931280">
        <w:rPr>
          <w:rFonts w:eastAsia="Cambria" w:cs="Cambria"/>
          <w:lang w:eastAsia="en-US"/>
        </w:rPr>
        <w:t xml:space="preserve"> output on </w:t>
      </w:r>
      <w:r w:rsidR="00A749FB" w:rsidRPr="00931280">
        <w:rPr>
          <w:rFonts w:eastAsia="Cambria" w:cs="Cambria"/>
          <w:lang w:eastAsia="en-US"/>
        </w:rPr>
        <w:t>the test</w:t>
      </w:r>
      <w:r w:rsidRPr="00931280">
        <w:rPr>
          <w:rFonts w:eastAsia="Cambria" w:cs="Cambria"/>
          <w:lang w:eastAsia="en-US"/>
        </w:rPr>
        <w:t xml:space="preserve"> has a sig</w:t>
      </w:r>
      <w:r w:rsidR="006C326C">
        <w:rPr>
          <w:rFonts w:eastAsia="Cambria" w:cs="Cambria"/>
          <w:lang w:eastAsia="en-US"/>
        </w:rPr>
        <w:t>.</w:t>
      </w:r>
      <w:r w:rsidRPr="00931280">
        <w:rPr>
          <w:rFonts w:eastAsia="Cambria" w:cs="Cambria"/>
          <w:lang w:eastAsia="en-US"/>
        </w:rPr>
        <w:t xml:space="preserve"> value higher than 0.05 with a value of 0.200. Likewise, </w:t>
      </w:r>
      <w:r w:rsidR="005A7938" w:rsidRPr="00931280">
        <w:rPr>
          <w:rFonts w:eastAsia="Cambria" w:cs="Cambria"/>
          <w:lang w:eastAsia="en-US"/>
        </w:rPr>
        <w:t>it’s</w:t>
      </w:r>
      <w:r w:rsidRPr="00931280">
        <w:rPr>
          <w:rFonts w:eastAsia="Cambria" w:cs="Cambria"/>
          <w:lang w:eastAsia="en-US"/>
        </w:rPr>
        <w:t xml:space="preserve"> </w:t>
      </w:r>
      <w:r w:rsidR="00844F86">
        <w:rPr>
          <w:rFonts w:eastAsia="Cambria" w:cs="Cambria"/>
          <w:lang w:eastAsia="en-US"/>
        </w:rPr>
        <w:t>assume</w:t>
      </w:r>
      <w:r w:rsidR="00CA4C4A">
        <w:rPr>
          <w:rFonts w:eastAsia="Cambria" w:cs="Cambria"/>
          <w:lang w:eastAsia="en-US"/>
        </w:rPr>
        <w:t>s</w:t>
      </w:r>
      <w:r w:rsidRPr="00931280">
        <w:rPr>
          <w:rFonts w:eastAsia="Cambria" w:cs="Cambria"/>
          <w:lang w:eastAsia="en-US"/>
        </w:rPr>
        <w:t xml:space="preserve"> the regression model met the normal distribution</w:t>
      </w:r>
      <w:r w:rsidR="00844F86">
        <w:rPr>
          <w:rFonts w:eastAsia="Cambria" w:cs="Cambria"/>
          <w:lang w:eastAsia="en-US"/>
        </w:rPr>
        <w:t>.</w:t>
      </w:r>
    </w:p>
    <w:p w14:paraId="40458716" w14:textId="2BC4EAA4" w:rsidR="00AB5F83" w:rsidRPr="00931280" w:rsidRDefault="00AB5F83" w:rsidP="00FD2E41">
      <w:pPr>
        <w:spacing w:after="0" w:line="240" w:lineRule="auto"/>
        <w:ind w:firstLine="284"/>
        <w:jc w:val="both"/>
        <w:rPr>
          <w:rFonts w:cs="Times New Roman"/>
          <w:lang w:eastAsia="en-US"/>
        </w:rPr>
      </w:pPr>
      <w:r w:rsidRPr="00931280">
        <w:rPr>
          <w:rFonts w:eastAsia="Cambria" w:cs="Cambria"/>
          <w:lang w:eastAsia="en-US"/>
        </w:rPr>
        <w:t xml:space="preserve">Multicollinearity tests are used to ensure the relationship among independent variables through the Variance Inflation Factor (VIF) score. if VIF &gt; 10 and tolerance &lt;0.10 then there are no multicollinearity symptoms in the data </w:t>
      </w:r>
      <w:bookmarkStart w:id="5" w:name="_51ki026rm00q"/>
      <w:bookmarkEnd w:id="5"/>
      <w:r w:rsidR="00775D79" w:rsidRPr="00931280">
        <w:rPr>
          <w:rFonts w:eastAsia="Cambria" w:cs="Cambria"/>
          <w:lang w:eastAsia="en-US"/>
        </w:rPr>
        <w:t>(Ghozali, 2011).</w:t>
      </w:r>
    </w:p>
    <w:p w14:paraId="465C23A5" w14:textId="77777777" w:rsidR="00AB5F83" w:rsidRPr="00931280" w:rsidRDefault="00AB5F83" w:rsidP="00F67D32">
      <w:pPr>
        <w:spacing w:after="0" w:line="240" w:lineRule="auto"/>
        <w:ind w:firstLine="720"/>
        <w:jc w:val="center"/>
        <w:rPr>
          <w:rFonts w:eastAsia="Cambria" w:cs="Cambria"/>
          <w:b/>
          <w:lang w:eastAsia="en-US"/>
        </w:rPr>
      </w:pPr>
      <w:r w:rsidRPr="00931280">
        <w:rPr>
          <w:rFonts w:eastAsia="Cambria" w:cs="Cambria"/>
          <w:b/>
          <w:lang w:eastAsia="en-US"/>
        </w:rPr>
        <w:t>Tabel 6</w:t>
      </w:r>
      <w:r w:rsidRPr="00931280">
        <w:rPr>
          <w:rFonts w:eastAsia="Cambria" w:cs="Cambria"/>
          <w:lang w:eastAsia="en-US"/>
        </w:rPr>
        <w:t xml:space="preserve"> Test Results for the Existence of Multicollinearity Symptoms</w:t>
      </w:r>
    </w:p>
    <w:tbl>
      <w:tblPr>
        <w:tblW w:w="4995" w:type="dxa"/>
        <w:tblInd w:w="2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650"/>
        <w:gridCol w:w="1545"/>
      </w:tblGrid>
      <w:tr w:rsidR="00AB5F83" w:rsidRPr="00931280" w14:paraId="7F4B0769" w14:textId="77777777" w:rsidTr="00F67D32">
        <w:trPr>
          <w:trHeight w:val="195"/>
        </w:trPr>
        <w:tc>
          <w:tcPr>
            <w:tcW w:w="1800" w:type="dxa"/>
            <w:tcBorders>
              <w:top w:val="single" w:sz="8" w:space="0" w:color="000000"/>
              <w:left w:val="nil"/>
              <w:bottom w:val="single" w:sz="4" w:space="0" w:color="000000"/>
              <w:right w:val="nil"/>
            </w:tcBorders>
            <w:tcMar>
              <w:top w:w="100" w:type="dxa"/>
              <w:left w:w="100" w:type="dxa"/>
              <w:bottom w:w="100" w:type="dxa"/>
              <w:right w:w="100" w:type="dxa"/>
            </w:tcMar>
            <w:hideMark/>
          </w:tcPr>
          <w:p w14:paraId="17C9CEA7"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Model</w:t>
            </w:r>
          </w:p>
        </w:tc>
        <w:tc>
          <w:tcPr>
            <w:tcW w:w="1650" w:type="dxa"/>
            <w:tcBorders>
              <w:top w:val="single" w:sz="4" w:space="0" w:color="auto"/>
              <w:left w:val="nil"/>
              <w:bottom w:val="single" w:sz="4" w:space="0" w:color="000000"/>
              <w:right w:val="nil"/>
            </w:tcBorders>
            <w:tcMar>
              <w:top w:w="100" w:type="dxa"/>
              <w:left w:w="100" w:type="dxa"/>
              <w:bottom w:w="100" w:type="dxa"/>
              <w:right w:w="100" w:type="dxa"/>
            </w:tcMar>
            <w:hideMark/>
          </w:tcPr>
          <w:p w14:paraId="340996AA"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Tolerance</w:t>
            </w:r>
          </w:p>
        </w:tc>
        <w:tc>
          <w:tcPr>
            <w:tcW w:w="1545" w:type="dxa"/>
            <w:tcBorders>
              <w:top w:val="single" w:sz="4" w:space="0" w:color="auto"/>
              <w:left w:val="nil"/>
              <w:bottom w:val="single" w:sz="4" w:space="0" w:color="000000"/>
              <w:right w:val="nil"/>
            </w:tcBorders>
            <w:tcMar>
              <w:top w:w="100" w:type="dxa"/>
              <w:left w:w="100" w:type="dxa"/>
              <w:bottom w:w="100" w:type="dxa"/>
              <w:right w:w="100" w:type="dxa"/>
            </w:tcMar>
            <w:hideMark/>
          </w:tcPr>
          <w:p w14:paraId="6EE5C1DC"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VIF</w:t>
            </w:r>
          </w:p>
        </w:tc>
      </w:tr>
      <w:tr w:rsidR="00AB5F83" w:rsidRPr="00931280" w14:paraId="276FC30F" w14:textId="77777777" w:rsidTr="00AB5F83">
        <w:trPr>
          <w:trHeight w:val="168"/>
        </w:trPr>
        <w:tc>
          <w:tcPr>
            <w:tcW w:w="1800" w:type="dxa"/>
            <w:tcBorders>
              <w:top w:val="single" w:sz="4" w:space="0" w:color="000000"/>
              <w:left w:val="nil"/>
              <w:bottom w:val="nil"/>
              <w:right w:val="nil"/>
            </w:tcBorders>
            <w:tcMar>
              <w:top w:w="100" w:type="dxa"/>
              <w:left w:w="100" w:type="dxa"/>
              <w:bottom w:w="100" w:type="dxa"/>
              <w:right w:w="100" w:type="dxa"/>
            </w:tcMar>
            <w:hideMark/>
          </w:tcPr>
          <w:p w14:paraId="7C6835F6"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IOS</w:t>
            </w:r>
          </w:p>
        </w:tc>
        <w:tc>
          <w:tcPr>
            <w:tcW w:w="1650" w:type="dxa"/>
            <w:tcBorders>
              <w:top w:val="single" w:sz="4" w:space="0" w:color="000000"/>
              <w:left w:val="nil"/>
              <w:bottom w:val="nil"/>
              <w:right w:val="nil"/>
            </w:tcBorders>
            <w:tcMar>
              <w:top w:w="100" w:type="dxa"/>
              <w:left w:w="100" w:type="dxa"/>
              <w:bottom w:w="100" w:type="dxa"/>
              <w:right w:w="100" w:type="dxa"/>
            </w:tcMar>
            <w:hideMark/>
          </w:tcPr>
          <w:p w14:paraId="44EB1115"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0,952</w:t>
            </w:r>
          </w:p>
        </w:tc>
        <w:tc>
          <w:tcPr>
            <w:tcW w:w="1545" w:type="dxa"/>
            <w:tcBorders>
              <w:top w:val="single" w:sz="4" w:space="0" w:color="000000"/>
              <w:left w:val="nil"/>
              <w:bottom w:val="nil"/>
              <w:right w:val="nil"/>
            </w:tcBorders>
            <w:tcMar>
              <w:top w:w="100" w:type="dxa"/>
              <w:left w:w="100" w:type="dxa"/>
              <w:bottom w:w="100" w:type="dxa"/>
              <w:right w:w="100" w:type="dxa"/>
            </w:tcMar>
            <w:hideMark/>
          </w:tcPr>
          <w:p w14:paraId="08FB3011"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1,050</w:t>
            </w:r>
          </w:p>
        </w:tc>
      </w:tr>
      <w:tr w:rsidR="00AB5F83" w:rsidRPr="00931280" w14:paraId="6748CB9B" w14:textId="77777777" w:rsidTr="00AB5F83">
        <w:trPr>
          <w:trHeight w:val="168"/>
        </w:trPr>
        <w:tc>
          <w:tcPr>
            <w:tcW w:w="1800" w:type="dxa"/>
            <w:tcBorders>
              <w:top w:val="nil"/>
              <w:left w:val="nil"/>
              <w:bottom w:val="nil"/>
              <w:right w:val="nil"/>
            </w:tcBorders>
            <w:tcMar>
              <w:top w:w="100" w:type="dxa"/>
              <w:left w:w="100" w:type="dxa"/>
              <w:bottom w:w="100" w:type="dxa"/>
              <w:right w:w="100" w:type="dxa"/>
            </w:tcMar>
            <w:hideMark/>
          </w:tcPr>
          <w:p w14:paraId="059AE9D9"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CG</w:t>
            </w:r>
          </w:p>
        </w:tc>
        <w:tc>
          <w:tcPr>
            <w:tcW w:w="1650" w:type="dxa"/>
            <w:tcBorders>
              <w:top w:val="nil"/>
              <w:left w:val="nil"/>
              <w:bottom w:val="nil"/>
              <w:right w:val="nil"/>
            </w:tcBorders>
            <w:tcMar>
              <w:top w:w="100" w:type="dxa"/>
              <w:left w:w="100" w:type="dxa"/>
              <w:bottom w:w="100" w:type="dxa"/>
              <w:right w:w="100" w:type="dxa"/>
            </w:tcMar>
            <w:hideMark/>
          </w:tcPr>
          <w:p w14:paraId="2309E3AE"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0,987</w:t>
            </w:r>
          </w:p>
        </w:tc>
        <w:tc>
          <w:tcPr>
            <w:tcW w:w="1545" w:type="dxa"/>
            <w:tcBorders>
              <w:top w:val="nil"/>
              <w:left w:val="nil"/>
              <w:bottom w:val="nil"/>
              <w:right w:val="nil"/>
            </w:tcBorders>
            <w:tcMar>
              <w:top w:w="100" w:type="dxa"/>
              <w:left w:w="100" w:type="dxa"/>
              <w:bottom w:w="100" w:type="dxa"/>
              <w:right w:w="100" w:type="dxa"/>
            </w:tcMar>
            <w:hideMark/>
          </w:tcPr>
          <w:p w14:paraId="4D704661"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1,023</w:t>
            </w:r>
          </w:p>
        </w:tc>
      </w:tr>
      <w:tr w:rsidR="00AB5F83" w:rsidRPr="00931280" w14:paraId="6788A216" w14:textId="77777777" w:rsidTr="00AB5F83">
        <w:trPr>
          <w:trHeight w:val="168"/>
        </w:trPr>
        <w:tc>
          <w:tcPr>
            <w:tcW w:w="1800" w:type="dxa"/>
            <w:tcBorders>
              <w:top w:val="nil"/>
              <w:left w:val="nil"/>
              <w:bottom w:val="nil"/>
              <w:right w:val="nil"/>
            </w:tcBorders>
            <w:tcMar>
              <w:top w:w="100" w:type="dxa"/>
              <w:left w:w="100" w:type="dxa"/>
              <w:bottom w:w="100" w:type="dxa"/>
              <w:right w:w="100" w:type="dxa"/>
            </w:tcMar>
            <w:hideMark/>
          </w:tcPr>
          <w:p w14:paraId="6EB7E760"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ROA</w:t>
            </w:r>
          </w:p>
        </w:tc>
        <w:tc>
          <w:tcPr>
            <w:tcW w:w="1650" w:type="dxa"/>
            <w:tcBorders>
              <w:top w:val="nil"/>
              <w:left w:val="nil"/>
              <w:bottom w:val="nil"/>
              <w:right w:val="nil"/>
            </w:tcBorders>
            <w:tcMar>
              <w:top w:w="100" w:type="dxa"/>
              <w:left w:w="100" w:type="dxa"/>
              <w:bottom w:w="100" w:type="dxa"/>
              <w:right w:w="100" w:type="dxa"/>
            </w:tcMar>
            <w:hideMark/>
          </w:tcPr>
          <w:p w14:paraId="20344790"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0,508</w:t>
            </w:r>
          </w:p>
        </w:tc>
        <w:tc>
          <w:tcPr>
            <w:tcW w:w="1545" w:type="dxa"/>
            <w:tcBorders>
              <w:top w:val="nil"/>
              <w:left w:val="nil"/>
              <w:bottom w:val="nil"/>
              <w:right w:val="nil"/>
            </w:tcBorders>
            <w:tcMar>
              <w:top w:w="100" w:type="dxa"/>
              <w:left w:w="100" w:type="dxa"/>
              <w:bottom w:w="100" w:type="dxa"/>
              <w:right w:w="100" w:type="dxa"/>
            </w:tcMar>
            <w:hideMark/>
          </w:tcPr>
          <w:p w14:paraId="10AA1231"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1,968</w:t>
            </w:r>
          </w:p>
        </w:tc>
      </w:tr>
      <w:tr w:rsidR="00AB5F83" w:rsidRPr="00931280" w14:paraId="7CB59AC2" w14:textId="77777777" w:rsidTr="00AB5F83">
        <w:trPr>
          <w:trHeight w:val="168"/>
        </w:trPr>
        <w:tc>
          <w:tcPr>
            <w:tcW w:w="1800" w:type="dxa"/>
            <w:tcBorders>
              <w:top w:val="nil"/>
              <w:left w:val="nil"/>
              <w:bottom w:val="single" w:sz="8" w:space="0" w:color="000000"/>
              <w:right w:val="nil"/>
            </w:tcBorders>
            <w:tcMar>
              <w:top w:w="100" w:type="dxa"/>
              <w:left w:w="100" w:type="dxa"/>
              <w:bottom w:w="100" w:type="dxa"/>
              <w:right w:w="100" w:type="dxa"/>
            </w:tcMar>
            <w:hideMark/>
          </w:tcPr>
          <w:p w14:paraId="7FBF2059"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DPR</w:t>
            </w:r>
          </w:p>
        </w:tc>
        <w:tc>
          <w:tcPr>
            <w:tcW w:w="1650" w:type="dxa"/>
            <w:tcBorders>
              <w:top w:val="nil"/>
              <w:left w:val="nil"/>
              <w:bottom w:val="single" w:sz="8" w:space="0" w:color="000000"/>
              <w:right w:val="nil"/>
            </w:tcBorders>
            <w:tcMar>
              <w:top w:w="100" w:type="dxa"/>
              <w:left w:w="100" w:type="dxa"/>
              <w:bottom w:w="100" w:type="dxa"/>
              <w:right w:w="100" w:type="dxa"/>
            </w:tcMar>
            <w:hideMark/>
          </w:tcPr>
          <w:p w14:paraId="6248E7EC"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0,506</w:t>
            </w:r>
          </w:p>
        </w:tc>
        <w:tc>
          <w:tcPr>
            <w:tcW w:w="1545" w:type="dxa"/>
            <w:tcBorders>
              <w:top w:val="nil"/>
              <w:left w:val="nil"/>
              <w:bottom w:val="single" w:sz="8" w:space="0" w:color="000000"/>
              <w:right w:val="nil"/>
            </w:tcBorders>
            <w:tcMar>
              <w:top w:w="100" w:type="dxa"/>
              <w:left w:w="100" w:type="dxa"/>
              <w:bottom w:w="100" w:type="dxa"/>
              <w:right w:w="100" w:type="dxa"/>
            </w:tcMar>
            <w:hideMark/>
          </w:tcPr>
          <w:p w14:paraId="21F630A9" w14:textId="77777777" w:rsidR="00AB5F83" w:rsidRPr="00931280" w:rsidRDefault="00AB5F83" w:rsidP="00F67D32">
            <w:pPr>
              <w:widowControl w:val="0"/>
              <w:spacing w:after="0" w:line="240" w:lineRule="auto"/>
              <w:jc w:val="center"/>
              <w:rPr>
                <w:rFonts w:eastAsia="Cambria" w:cs="Cambria"/>
                <w:lang w:eastAsia="en-US"/>
              </w:rPr>
            </w:pPr>
            <w:r w:rsidRPr="00931280">
              <w:rPr>
                <w:rFonts w:eastAsia="Cambria" w:cs="Cambria"/>
                <w:lang w:eastAsia="en-US"/>
              </w:rPr>
              <w:t>1,976</w:t>
            </w:r>
          </w:p>
        </w:tc>
      </w:tr>
    </w:tbl>
    <w:p w14:paraId="5DFEFCBC" w14:textId="77777777" w:rsidR="00AB5F83" w:rsidRPr="00931280" w:rsidRDefault="00AB5F83" w:rsidP="00AB5F83">
      <w:pPr>
        <w:spacing w:after="0" w:line="240" w:lineRule="auto"/>
        <w:jc w:val="center"/>
        <w:rPr>
          <w:rFonts w:eastAsia="Cambria" w:cs="Cambria"/>
          <w:sz w:val="20"/>
          <w:szCs w:val="20"/>
          <w:lang w:eastAsia="en-US"/>
        </w:rPr>
      </w:pPr>
      <w:bookmarkStart w:id="6" w:name="_g6em7sap69z"/>
      <w:bookmarkEnd w:id="6"/>
      <w:r w:rsidRPr="00931280">
        <w:rPr>
          <w:rFonts w:eastAsia="Cambria" w:cs="Cambria"/>
          <w:sz w:val="20"/>
          <w:szCs w:val="20"/>
          <w:lang w:eastAsia="en-US"/>
        </w:rPr>
        <w:t>Sourced : Output SPSS, data processed (2024)</w:t>
      </w:r>
    </w:p>
    <w:p w14:paraId="1A32A6AB" w14:textId="5A54DFD2" w:rsidR="00AB5F83" w:rsidRPr="00931280" w:rsidRDefault="00AB5F83" w:rsidP="00FD2E41">
      <w:pPr>
        <w:spacing w:after="0" w:line="240" w:lineRule="auto"/>
        <w:ind w:firstLine="284"/>
        <w:jc w:val="both"/>
        <w:rPr>
          <w:rFonts w:eastAsia="Cambria" w:cs="Cambria"/>
          <w:lang w:eastAsia="en-US"/>
        </w:rPr>
      </w:pPr>
      <w:bookmarkStart w:id="7" w:name="_j2e0ff2st2u8"/>
      <w:bookmarkEnd w:id="7"/>
      <w:r w:rsidRPr="00931280">
        <w:rPr>
          <w:rFonts w:eastAsia="Cambria" w:cs="Cambria"/>
          <w:lang w:eastAsia="en-US"/>
        </w:rPr>
        <w:t xml:space="preserve">Table 6 shows multicollinearity test results of the independent variables with a tolerance &gt; 0.1 and VIF &lt; 10 indicate there are no experienced multicollinearity symptoms in the data. Evidenced by the tolerance exceeding the 0.1 threshold with an IOS of 0.952; Company Growth of 0.987; Profitability of 0.508; and dividend policy value of 0.506. While the VIF value exceeds 10 including IOS of 1,050; Company Growth is worth 1,023; Profitability is worth 1,968; and Dividend Policy is worth 1,976. </w:t>
      </w:r>
    </w:p>
    <w:p w14:paraId="2430B6F4" w14:textId="15CB1F8F" w:rsidR="00AB5F83" w:rsidRPr="00931280" w:rsidRDefault="00AB5F83" w:rsidP="00FD2E41">
      <w:pPr>
        <w:spacing w:after="0" w:line="240" w:lineRule="auto"/>
        <w:ind w:firstLine="284"/>
        <w:jc w:val="both"/>
        <w:rPr>
          <w:rFonts w:eastAsia="Cambria" w:cs="Cambria"/>
          <w:lang w:eastAsia="en-US"/>
        </w:rPr>
      </w:pPr>
      <w:bookmarkStart w:id="8" w:name="_uboujlv2u1u1"/>
      <w:bookmarkEnd w:id="8"/>
      <w:r w:rsidRPr="00931280">
        <w:rPr>
          <w:rFonts w:eastAsia="Cambria" w:cs="Cambria"/>
          <w:lang w:eastAsia="en-US"/>
        </w:rPr>
        <w:t>The autocorrelation test is used to identify the presence of autocorrelation symptoms with the size of the confounding or residual variable error in period t with period t-</w:t>
      </w:r>
      <w:r w:rsidR="00BC4BB5" w:rsidRPr="00931280">
        <w:rPr>
          <w:rFonts w:eastAsia="Cambria" w:cs="Cambria"/>
          <w:lang w:eastAsia="en-US"/>
        </w:rPr>
        <w:t>1 (Adare et al., 2015)</w:t>
      </w:r>
      <w:r w:rsidRPr="00931280">
        <w:rPr>
          <w:rFonts w:eastAsia="Cambria" w:cs="Cambria"/>
          <w:lang w:eastAsia="en-US"/>
        </w:rPr>
        <w:t xml:space="preserve">. Autocorrelation testing can be done by comparing Durbin-Watson values. </w:t>
      </w:r>
    </w:p>
    <w:p w14:paraId="7BE77765" w14:textId="77777777" w:rsidR="00AB5F83" w:rsidRPr="00931280" w:rsidRDefault="00AB5F83" w:rsidP="00FD2E41">
      <w:pPr>
        <w:spacing w:after="0" w:line="240" w:lineRule="auto"/>
        <w:jc w:val="center"/>
        <w:rPr>
          <w:rFonts w:eastAsia="Cambria" w:cs="Cambria"/>
          <w:lang w:eastAsia="en-US"/>
        </w:rPr>
      </w:pPr>
      <w:r w:rsidRPr="00931280">
        <w:rPr>
          <w:rFonts w:eastAsia="Cambria" w:cs="Cambria"/>
          <w:b/>
          <w:lang w:eastAsia="en-US"/>
        </w:rPr>
        <w:t>Table 7</w:t>
      </w:r>
      <w:r w:rsidRPr="00931280">
        <w:rPr>
          <w:rFonts w:eastAsia="Cambria" w:cs="Cambria"/>
          <w:lang w:eastAsia="en-US"/>
        </w:rPr>
        <w:t xml:space="preserve"> Test Results For the Presence of Autocorrelation Symptoms in Research</w:t>
      </w:r>
    </w:p>
    <w:tbl>
      <w:tblPr>
        <w:tblW w:w="46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795"/>
        <w:gridCol w:w="1080"/>
        <w:gridCol w:w="1860"/>
      </w:tblGrid>
      <w:tr w:rsidR="00AB5F83" w:rsidRPr="00931280" w14:paraId="135516A8" w14:textId="77777777" w:rsidTr="00AB5F83">
        <w:trPr>
          <w:trHeight w:val="305"/>
          <w:jc w:val="center"/>
        </w:trPr>
        <w:tc>
          <w:tcPr>
            <w:tcW w:w="870" w:type="dxa"/>
            <w:tcBorders>
              <w:top w:val="single" w:sz="8" w:space="0" w:color="000000"/>
              <w:left w:val="nil"/>
              <w:bottom w:val="single" w:sz="8" w:space="0" w:color="000000"/>
              <w:right w:val="nil"/>
            </w:tcBorders>
            <w:hideMark/>
          </w:tcPr>
          <w:p w14:paraId="79DC45D7" w14:textId="77777777" w:rsidR="00AB5F83" w:rsidRPr="00931280" w:rsidRDefault="00AB5F83" w:rsidP="00FD2E41">
            <w:pPr>
              <w:widowControl w:val="0"/>
              <w:spacing w:after="0" w:line="240" w:lineRule="auto"/>
              <w:jc w:val="center"/>
              <w:rPr>
                <w:rFonts w:eastAsia="Cambria" w:cs="Cambria"/>
                <w:b/>
                <w:lang w:eastAsia="en-US"/>
              </w:rPr>
            </w:pPr>
            <w:r w:rsidRPr="00931280">
              <w:rPr>
                <w:rFonts w:eastAsia="Cambria" w:cs="Cambria"/>
                <w:b/>
                <w:lang w:eastAsia="en-US"/>
              </w:rPr>
              <w:t>DW</w:t>
            </w:r>
          </w:p>
        </w:tc>
        <w:tc>
          <w:tcPr>
            <w:tcW w:w="795" w:type="dxa"/>
            <w:tcBorders>
              <w:top w:val="single" w:sz="8" w:space="0" w:color="000000"/>
              <w:left w:val="nil"/>
              <w:bottom w:val="single" w:sz="8" w:space="0" w:color="000000"/>
              <w:right w:val="nil"/>
            </w:tcBorders>
            <w:hideMark/>
          </w:tcPr>
          <w:p w14:paraId="12703588" w14:textId="77777777" w:rsidR="00AB5F83" w:rsidRPr="00931280" w:rsidRDefault="00AB5F83" w:rsidP="00FD2E41">
            <w:pPr>
              <w:widowControl w:val="0"/>
              <w:spacing w:after="0" w:line="240" w:lineRule="auto"/>
              <w:jc w:val="center"/>
              <w:rPr>
                <w:rFonts w:eastAsia="Cambria" w:cs="Cambria"/>
                <w:b/>
                <w:lang w:eastAsia="en-US"/>
              </w:rPr>
            </w:pPr>
            <w:r w:rsidRPr="00931280">
              <w:rPr>
                <w:rFonts w:eastAsia="Cambria" w:cs="Cambria"/>
                <w:b/>
                <w:lang w:eastAsia="en-US"/>
              </w:rPr>
              <w:t>DU</w:t>
            </w:r>
          </w:p>
        </w:tc>
        <w:tc>
          <w:tcPr>
            <w:tcW w:w="1080" w:type="dxa"/>
            <w:tcBorders>
              <w:top w:val="single" w:sz="8" w:space="0" w:color="000000"/>
              <w:left w:val="nil"/>
              <w:bottom w:val="single" w:sz="8" w:space="0" w:color="000000"/>
              <w:right w:val="nil"/>
            </w:tcBorders>
            <w:hideMark/>
          </w:tcPr>
          <w:p w14:paraId="75C24F96" w14:textId="77777777" w:rsidR="00AB5F83" w:rsidRPr="00931280" w:rsidRDefault="00AB5F83" w:rsidP="00FD2E41">
            <w:pPr>
              <w:widowControl w:val="0"/>
              <w:spacing w:after="0" w:line="240" w:lineRule="auto"/>
              <w:jc w:val="center"/>
              <w:rPr>
                <w:rFonts w:eastAsia="Cambria" w:cs="Cambria"/>
                <w:b/>
                <w:lang w:eastAsia="en-US"/>
              </w:rPr>
            </w:pPr>
            <w:r w:rsidRPr="00931280">
              <w:rPr>
                <w:rFonts w:eastAsia="Cambria" w:cs="Cambria"/>
                <w:b/>
                <w:lang w:eastAsia="en-US"/>
              </w:rPr>
              <w:t>4-DU</w:t>
            </w:r>
          </w:p>
        </w:tc>
        <w:tc>
          <w:tcPr>
            <w:tcW w:w="1860" w:type="dxa"/>
            <w:tcBorders>
              <w:top w:val="single" w:sz="8" w:space="0" w:color="000000"/>
              <w:left w:val="nil"/>
              <w:bottom w:val="single" w:sz="8" w:space="0" w:color="000000"/>
              <w:right w:val="nil"/>
            </w:tcBorders>
            <w:hideMark/>
          </w:tcPr>
          <w:p w14:paraId="3A741BA3" w14:textId="77777777" w:rsidR="00AB5F83" w:rsidRPr="00931280" w:rsidRDefault="00AB5F83" w:rsidP="00FD2E41">
            <w:pPr>
              <w:widowControl w:val="0"/>
              <w:spacing w:after="0" w:line="240" w:lineRule="auto"/>
              <w:jc w:val="center"/>
              <w:rPr>
                <w:rFonts w:eastAsia="Cambria" w:cs="Cambria"/>
                <w:b/>
                <w:lang w:eastAsia="en-US"/>
              </w:rPr>
            </w:pPr>
            <w:r w:rsidRPr="00931280">
              <w:rPr>
                <w:rFonts w:eastAsia="Cambria" w:cs="Cambria"/>
                <w:b/>
                <w:lang w:eastAsia="en-US"/>
              </w:rPr>
              <w:t>Criteria</w:t>
            </w:r>
          </w:p>
        </w:tc>
      </w:tr>
      <w:tr w:rsidR="00AB5F83" w:rsidRPr="00931280" w14:paraId="0E09CAB9" w14:textId="77777777" w:rsidTr="00AB5F83">
        <w:trPr>
          <w:jc w:val="center"/>
        </w:trPr>
        <w:tc>
          <w:tcPr>
            <w:tcW w:w="870" w:type="dxa"/>
            <w:tcBorders>
              <w:top w:val="single" w:sz="8" w:space="0" w:color="000000"/>
              <w:left w:val="nil"/>
              <w:bottom w:val="single" w:sz="8" w:space="0" w:color="000000"/>
              <w:right w:val="nil"/>
            </w:tcBorders>
            <w:hideMark/>
          </w:tcPr>
          <w:p w14:paraId="4252E7B9" w14:textId="77777777" w:rsidR="00AB5F83" w:rsidRPr="00931280" w:rsidRDefault="00AB5F83" w:rsidP="00FD2E41">
            <w:pPr>
              <w:widowControl w:val="0"/>
              <w:spacing w:after="0" w:line="240" w:lineRule="auto"/>
              <w:jc w:val="center"/>
              <w:rPr>
                <w:rFonts w:eastAsia="Cambria" w:cs="Cambria"/>
                <w:lang w:eastAsia="en-US"/>
              </w:rPr>
            </w:pPr>
            <w:r w:rsidRPr="00931280">
              <w:rPr>
                <w:rFonts w:eastAsia="Cambria" w:cs="Cambria"/>
                <w:lang w:eastAsia="en-US"/>
              </w:rPr>
              <w:t>1,947</w:t>
            </w:r>
          </w:p>
        </w:tc>
        <w:tc>
          <w:tcPr>
            <w:tcW w:w="795" w:type="dxa"/>
            <w:tcBorders>
              <w:top w:val="single" w:sz="8" w:space="0" w:color="000000"/>
              <w:left w:val="nil"/>
              <w:bottom w:val="single" w:sz="8" w:space="0" w:color="000000"/>
              <w:right w:val="nil"/>
            </w:tcBorders>
            <w:hideMark/>
          </w:tcPr>
          <w:p w14:paraId="019082FF" w14:textId="77777777" w:rsidR="00AB5F83" w:rsidRPr="00931280" w:rsidRDefault="00AB5F83" w:rsidP="00FD2E41">
            <w:pPr>
              <w:widowControl w:val="0"/>
              <w:spacing w:after="0" w:line="240" w:lineRule="auto"/>
              <w:jc w:val="center"/>
              <w:rPr>
                <w:rFonts w:eastAsia="Cambria" w:cs="Cambria"/>
                <w:lang w:eastAsia="en-US"/>
              </w:rPr>
            </w:pPr>
            <w:r w:rsidRPr="00931280">
              <w:rPr>
                <w:rFonts w:eastAsia="Cambria" w:cs="Cambria"/>
                <w:lang w:eastAsia="en-US"/>
              </w:rPr>
              <w:t>1,763</w:t>
            </w:r>
          </w:p>
        </w:tc>
        <w:tc>
          <w:tcPr>
            <w:tcW w:w="1080" w:type="dxa"/>
            <w:tcBorders>
              <w:top w:val="single" w:sz="8" w:space="0" w:color="000000"/>
              <w:left w:val="nil"/>
              <w:bottom w:val="single" w:sz="8" w:space="0" w:color="000000"/>
              <w:right w:val="nil"/>
            </w:tcBorders>
            <w:hideMark/>
          </w:tcPr>
          <w:p w14:paraId="1FFE1B7F" w14:textId="77777777" w:rsidR="00AB5F83" w:rsidRPr="00931280" w:rsidRDefault="00AB5F83" w:rsidP="00FD2E41">
            <w:pPr>
              <w:widowControl w:val="0"/>
              <w:spacing w:after="0" w:line="240" w:lineRule="auto"/>
              <w:jc w:val="center"/>
              <w:rPr>
                <w:rFonts w:eastAsia="Cambria" w:cs="Cambria"/>
                <w:lang w:eastAsia="en-US"/>
              </w:rPr>
            </w:pPr>
            <w:r w:rsidRPr="00931280">
              <w:rPr>
                <w:rFonts w:eastAsia="Cambria" w:cs="Cambria"/>
                <w:lang w:eastAsia="en-US"/>
              </w:rPr>
              <w:t>2,236</w:t>
            </w:r>
          </w:p>
        </w:tc>
        <w:tc>
          <w:tcPr>
            <w:tcW w:w="1860" w:type="dxa"/>
            <w:tcBorders>
              <w:top w:val="single" w:sz="8" w:space="0" w:color="000000"/>
              <w:left w:val="nil"/>
              <w:bottom w:val="single" w:sz="8" w:space="0" w:color="000000"/>
              <w:right w:val="nil"/>
            </w:tcBorders>
            <w:hideMark/>
          </w:tcPr>
          <w:p w14:paraId="7271AD14" w14:textId="77777777" w:rsidR="00AB5F83" w:rsidRPr="00931280" w:rsidRDefault="00AB5F83" w:rsidP="00FD2E41">
            <w:pPr>
              <w:widowControl w:val="0"/>
              <w:spacing w:after="0" w:line="240" w:lineRule="auto"/>
              <w:jc w:val="center"/>
              <w:rPr>
                <w:rFonts w:eastAsia="Cambria" w:cs="Cambria"/>
                <w:lang w:eastAsia="en-US"/>
              </w:rPr>
            </w:pPr>
            <w:r w:rsidRPr="00931280">
              <w:rPr>
                <w:rFonts w:eastAsia="Cambria" w:cs="Cambria"/>
                <w:lang w:eastAsia="en-US"/>
              </w:rPr>
              <w:t>DU&lt;DW&lt;4-DU</w:t>
            </w:r>
          </w:p>
        </w:tc>
      </w:tr>
    </w:tbl>
    <w:p w14:paraId="28B2CD09" w14:textId="77777777" w:rsidR="00AB5F83" w:rsidRPr="00931280" w:rsidRDefault="00AB5F83" w:rsidP="00FD2E41">
      <w:pPr>
        <w:spacing w:after="0" w:line="240" w:lineRule="auto"/>
        <w:jc w:val="center"/>
        <w:rPr>
          <w:rFonts w:eastAsia="Cambria" w:cs="Cambria"/>
          <w:sz w:val="20"/>
          <w:szCs w:val="20"/>
          <w:lang w:eastAsia="en-US"/>
        </w:rPr>
      </w:pPr>
      <w:bookmarkStart w:id="9" w:name="_jycyl4i22638"/>
      <w:bookmarkEnd w:id="9"/>
      <w:r w:rsidRPr="00931280">
        <w:rPr>
          <w:rFonts w:eastAsia="Cambria" w:cs="Cambria"/>
          <w:sz w:val="20"/>
          <w:szCs w:val="20"/>
          <w:lang w:eastAsia="en-US"/>
        </w:rPr>
        <w:t>Sourced : Output SPSS, processed data (2024)</w:t>
      </w:r>
    </w:p>
    <w:p w14:paraId="6E70A417" w14:textId="45036FCC" w:rsidR="00AB5F83" w:rsidRPr="00931280" w:rsidRDefault="00AB5F83" w:rsidP="00FD2E41">
      <w:pPr>
        <w:spacing w:after="0" w:line="240" w:lineRule="auto"/>
        <w:jc w:val="both"/>
        <w:rPr>
          <w:rFonts w:eastAsia="Cambria" w:cs="Cambria"/>
          <w:lang w:eastAsia="en-US"/>
        </w:rPr>
      </w:pPr>
      <w:bookmarkStart w:id="10" w:name="_rajfa2ibre2d"/>
      <w:bookmarkEnd w:id="10"/>
      <w:r w:rsidRPr="00931280">
        <w:rPr>
          <w:rFonts w:eastAsia="Cambria" w:cs="Cambria"/>
          <w:lang w:eastAsia="en-US"/>
        </w:rPr>
        <w:t>In this study using Durbin Watson testing where on Table 7, the Durbin Watson score is 1.947 from 108 samples. With 4 independent variables (k = 4), a significance of 0.05 obtained DU worth 1.7637. Then the 4-DU calculation obtained 2.236 so that based on the Durbin Watson criteria with DU &lt; DW &lt; 4-DU, the regression model</w:t>
      </w:r>
      <w:r w:rsidR="00A445CD">
        <w:rPr>
          <w:rFonts w:eastAsia="Cambria" w:cs="Cambria"/>
          <w:lang w:eastAsia="en-US"/>
        </w:rPr>
        <w:t xml:space="preserve"> data</w:t>
      </w:r>
      <w:r w:rsidRPr="00931280">
        <w:rPr>
          <w:rFonts w:eastAsia="Cambria" w:cs="Cambria"/>
          <w:lang w:eastAsia="en-US"/>
        </w:rPr>
        <w:t xml:space="preserve"> </w:t>
      </w:r>
      <w:r w:rsidR="00A445CD">
        <w:rPr>
          <w:rFonts w:eastAsia="Cambria" w:cs="Cambria"/>
          <w:lang w:eastAsia="en-US"/>
        </w:rPr>
        <w:t xml:space="preserve">here </w:t>
      </w:r>
      <w:r w:rsidRPr="00931280">
        <w:rPr>
          <w:rFonts w:eastAsia="Cambria" w:cs="Cambria"/>
          <w:lang w:eastAsia="en-US"/>
        </w:rPr>
        <w:t>do</w:t>
      </w:r>
      <w:r w:rsidR="00A445CD">
        <w:rPr>
          <w:rFonts w:eastAsia="Cambria" w:cs="Cambria"/>
          <w:lang w:eastAsia="en-US"/>
        </w:rPr>
        <w:t xml:space="preserve">esn’t </w:t>
      </w:r>
      <w:r w:rsidRPr="00931280">
        <w:rPr>
          <w:rFonts w:eastAsia="Cambria" w:cs="Cambria"/>
          <w:lang w:eastAsia="en-US"/>
        </w:rPr>
        <w:t xml:space="preserve">contain autocorrelation symptoms or 1.7637 &lt; 1.947 &lt; 2.236. </w:t>
      </w:r>
    </w:p>
    <w:p w14:paraId="7253EDAE" w14:textId="15B130A8" w:rsidR="00AB5F83" w:rsidRPr="00931280" w:rsidRDefault="00AB5F83" w:rsidP="00FD2E41">
      <w:pPr>
        <w:spacing w:after="0" w:line="240" w:lineRule="auto"/>
        <w:ind w:firstLine="284"/>
        <w:jc w:val="both"/>
        <w:rPr>
          <w:rFonts w:eastAsia="Cambria" w:cs="Cambria"/>
          <w:lang w:eastAsia="en-US"/>
        </w:rPr>
      </w:pPr>
      <w:bookmarkStart w:id="11" w:name="_ff9pcqf14o1c"/>
      <w:bookmarkEnd w:id="11"/>
      <w:r w:rsidRPr="00931280">
        <w:rPr>
          <w:rFonts w:eastAsia="Cambria" w:cs="Cambria"/>
          <w:lang w:eastAsia="en-US"/>
        </w:rPr>
        <w:t>Heteroscedasticity testing has the aim of comparing differences in research data</w:t>
      </w:r>
      <w:r w:rsidR="00BC4BB5" w:rsidRPr="00931280">
        <w:rPr>
          <w:rFonts w:eastAsia="Cambria" w:cs="Cambria"/>
          <w:lang w:eastAsia="en-US"/>
        </w:rPr>
        <w:t xml:space="preserve"> (Pinontoan, 2013)</w:t>
      </w:r>
      <w:r w:rsidRPr="00931280">
        <w:rPr>
          <w:rFonts w:eastAsia="Cambria" w:cs="Cambria"/>
          <w:lang w:eastAsia="en-US"/>
        </w:rPr>
        <w:t xml:space="preserve">. One method is to use the Glejser test, where if the significance score is &lt;0.05, it can be concluded there is no heteroscedasticity. </w:t>
      </w:r>
    </w:p>
    <w:p w14:paraId="18D218A3" w14:textId="77777777" w:rsidR="00AB5F83" w:rsidRPr="00931280" w:rsidRDefault="00AB5F83" w:rsidP="00AB5F83">
      <w:pPr>
        <w:spacing w:after="0" w:line="240" w:lineRule="auto"/>
        <w:rPr>
          <w:rFonts w:eastAsia="Cambria" w:cs="Cambria"/>
          <w:b/>
          <w:lang w:eastAsia="en-US"/>
        </w:rPr>
      </w:pPr>
      <w:r w:rsidRPr="00931280">
        <w:rPr>
          <w:rFonts w:eastAsia="Cambria" w:cs="Cambria"/>
          <w:b/>
          <w:lang w:eastAsia="en-US"/>
        </w:rPr>
        <w:br w:type="page"/>
      </w:r>
    </w:p>
    <w:p w14:paraId="4F07D265" w14:textId="762CBEA8" w:rsidR="00AB5F83" w:rsidRPr="00931280" w:rsidRDefault="00AB5F83" w:rsidP="00AB5F83">
      <w:pPr>
        <w:spacing w:after="0" w:line="240" w:lineRule="auto"/>
        <w:jc w:val="center"/>
        <w:rPr>
          <w:rFonts w:eastAsia="Cambria" w:cs="Cambria"/>
          <w:lang w:eastAsia="en-US"/>
        </w:rPr>
      </w:pPr>
      <w:r w:rsidRPr="00931280">
        <w:rPr>
          <w:rFonts w:eastAsia="Cambria" w:cs="Cambria"/>
          <w:b/>
          <w:lang w:eastAsia="en-US"/>
        </w:rPr>
        <w:lastRenderedPageBreak/>
        <w:t xml:space="preserve">Table 8 </w:t>
      </w:r>
      <w:r w:rsidRPr="00931280">
        <w:rPr>
          <w:rFonts w:eastAsia="Cambria" w:cs="Cambria"/>
          <w:lang w:eastAsia="en-US"/>
        </w:rPr>
        <w:t xml:space="preserve"> </w:t>
      </w:r>
      <w:r w:rsidR="005A7938" w:rsidRPr="00931280">
        <w:rPr>
          <w:rFonts w:eastAsia="Cambria" w:cs="Cambria"/>
          <w:lang w:eastAsia="en-US"/>
        </w:rPr>
        <w:t>Result Test</w:t>
      </w:r>
      <w:r w:rsidRPr="00931280">
        <w:rPr>
          <w:rFonts w:eastAsia="Cambria" w:cs="Cambria"/>
          <w:lang w:eastAsia="en-US"/>
        </w:rPr>
        <w:t xml:space="preserve"> For the Presence of Heteroscedasticity Symptoms  in Research</w:t>
      </w:r>
    </w:p>
    <w:tbl>
      <w:tblPr>
        <w:tblW w:w="3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140"/>
        <w:gridCol w:w="915"/>
      </w:tblGrid>
      <w:tr w:rsidR="00AB5F83" w:rsidRPr="00931280" w14:paraId="27C7A314" w14:textId="77777777" w:rsidTr="00AB5F83">
        <w:trPr>
          <w:jc w:val="center"/>
        </w:trPr>
        <w:tc>
          <w:tcPr>
            <w:tcW w:w="1230" w:type="dxa"/>
            <w:tcBorders>
              <w:top w:val="single" w:sz="8" w:space="0" w:color="000000"/>
              <w:left w:val="nil"/>
              <w:bottom w:val="single" w:sz="4" w:space="0" w:color="000000"/>
              <w:right w:val="nil"/>
            </w:tcBorders>
            <w:tcMar>
              <w:top w:w="100" w:type="dxa"/>
              <w:left w:w="100" w:type="dxa"/>
              <w:bottom w:w="100" w:type="dxa"/>
              <w:right w:w="100" w:type="dxa"/>
            </w:tcMar>
            <w:hideMark/>
          </w:tcPr>
          <w:p w14:paraId="7A1F5AD5" w14:textId="77777777" w:rsidR="00AB5F83" w:rsidRPr="00931280" w:rsidRDefault="00AB5F83" w:rsidP="00AB5F83">
            <w:pPr>
              <w:widowControl w:val="0"/>
              <w:spacing w:after="0" w:line="240" w:lineRule="auto"/>
              <w:jc w:val="center"/>
              <w:rPr>
                <w:rFonts w:eastAsia="Cambria" w:cs="Cambria"/>
                <w:b/>
                <w:lang w:eastAsia="en-US"/>
              </w:rPr>
            </w:pPr>
            <w:r w:rsidRPr="00931280">
              <w:rPr>
                <w:rFonts w:eastAsia="Cambria" w:cs="Cambria"/>
                <w:b/>
                <w:lang w:eastAsia="en-US"/>
              </w:rPr>
              <w:t>Model</w:t>
            </w:r>
          </w:p>
        </w:tc>
        <w:tc>
          <w:tcPr>
            <w:tcW w:w="1140" w:type="dxa"/>
            <w:tcBorders>
              <w:top w:val="single" w:sz="8" w:space="0" w:color="000000"/>
              <w:left w:val="nil"/>
              <w:bottom w:val="single" w:sz="4" w:space="0" w:color="000000"/>
              <w:right w:val="nil"/>
            </w:tcBorders>
            <w:tcMar>
              <w:top w:w="100" w:type="dxa"/>
              <w:left w:w="100" w:type="dxa"/>
              <w:bottom w:w="100" w:type="dxa"/>
              <w:right w:w="100" w:type="dxa"/>
            </w:tcMar>
            <w:hideMark/>
          </w:tcPr>
          <w:p w14:paraId="1FEC9E08" w14:textId="77777777" w:rsidR="00AB5F83" w:rsidRPr="00931280" w:rsidRDefault="00AB5F83" w:rsidP="00AB5F83">
            <w:pPr>
              <w:widowControl w:val="0"/>
              <w:spacing w:after="0" w:line="240" w:lineRule="auto"/>
              <w:jc w:val="center"/>
              <w:rPr>
                <w:rFonts w:eastAsia="Cambria" w:cs="Cambria"/>
                <w:b/>
                <w:lang w:eastAsia="en-US"/>
              </w:rPr>
            </w:pPr>
            <w:r w:rsidRPr="00931280">
              <w:rPr>
                <w:rFonts w:eastAsia="Cambria" w:cs="Cambria"/>
                <w:b/>
                <w:lang w:eastAsia="en-US"/>
              </w:rPr>
              <w:t>t</w:t>
            </w:r>
          </w:p>
        </w:tc>
        <w:tc>
          <w:tcPr>
            <w:tcW w:w="915" w:type="dxa"/>
            <w:tcBorders>
              <w:top w:val="single" w:sz="8" w:space="0" w:color="000000"/>
              <w:left w:val="nil"/>
              <w:bottom w:val="single" w:sz="4" w:space="0" w:color="000000"/>
              <w:right w:val="nil"/>
            </w:tcBorders>
            <w:tcMar>
              <w:top w:w="100" w:type="dxa"/>
              <w:left w:w="100" w:type="dxa"/>
              <w:bottom w:w="100" w:type="dxa"/>
              <w:right w:w="100" w:type="dxa"/>
            </w:tcMar>
            <w:hideMark/>
          </w:tcPr>
          <w:p w14:paraId="53776E19" w14:textId="77777777" w:rsidR="00AB5F83" w:rsidRPr="00931280" w:rsidRDefault="00AB5F83" w:rsidP="00AB5F83">
            <w:pPr>
              <w:widowControl w:val="0"/>
              <w:spacing w:after="0" w:line="240" w:lineRule="auto"/>
              <w:jc w:val="center"/>
              <w:rPr>
                <w:rFonts w:eastAsia="Cambria" w:cs="Cambria"/>
                <w:b/>
                <w:lang w:eastAsia="en-US"/>
              </w:rPr>
            </w:pPr>
            <w:r w:rsidRPr="00931280">
              <w:rPr>
                <w:rFonts w:eastAsia="Cambria" w:cs="Cambria"/>
                <w:b/>
                <w:lang w:eastAsia="en-US"/>
              </w:rPr>
              <w:t>Sig.</w:t>
            </w:r>
          </w:p>
        </w:tc>
      </w:tr>
      <w:tr w:rsidR="00AB5F83" w:rsidRPr="00931280" w14:paraId="4F433FA1" w14:textId="77777777" w:rsidTr="00AB5F83">
        <w:trPr>
          <w:jc w:val="center"/>
        </w:trPr>
        <w:tc>
          <w:tcPr>
            <w:tcW w:w="1230" w:type="dxa"/>
            <w:tcBorders>
              <w:top w:val="single" w:sz="4" w:space="0" w:color="000000"/>
              <w:left w:val="nil"/>
              <w:bottom w:val="nil"/>
              <w:right w:val="nil"/>
            </w:tcBorders>
            <w:tcMar>
              <w:top w:w="100" w:type="dxa"/>
              <w:left w:w="100" w:type="dxa"/>
              <w:bottom w:w="100" w:type="dxa"/>
              <w:right w:w="100" w:type="dxa"/>
            </w:tcMar>
            <w:hideMark/>
          </w:tcPr>
          <w:p w14:paraId="30C8029E"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IOS</w:t>
            </w:r>
          </w:p>
        </w:tc>
        <w:tc>
          <w:tcPr>
            <w:tcW w:w="1140" w:type="dxa"/>
            <w:tcBorders>
              <w:top w:val="single" w:sz="4" w:space="0" w:color="000000"/>
              <w:left w:val="nil"/>
              <w:bottom w:val="nil"/>
              <w:right w:val="nil"/>
            </w:tcBorders>
            <w:tcMar>
              <w:top w:w="100" w:type="dxa"/>
              <w:left w:w="100" w:type="dxa"/>
              <w:bottom w:w="100" w:type="dxa"/>
              <w:right w:w="100" w:type="dxa"/>
            </w:tcMar>
            <w:hideMark/>
          </w:tcPr>
          <w:p w14:paraId="041944C3"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0,857</w:t>
            </w:r>
          </w:p>
        </w:tc>
        <w:tc>
          <w:tcPr>
            <w:tcW w:w="915" w:type="dxa"/>
            <w:tcBorders>
              <w:top w:val="single" w:sz="4" w:space="0" w:color="000000"/>
              <w:left w:val="nil"/>
              <w:bottom w:val="nil"/>
              <w:right w:val="nil"/>
            </w:tcBorders>
            <w:tcMar>
              <w:top w:w="100" w:type="dxa"/>
              <w:left w:w="100" w:type="dxa"/>
              <w:bottom w:w="100" w:type="dxa"/>
              <w:right w:w="100" w:type="dxa"/>
            </w:tcMar>
            <w:hideMark/>
          </w:tcPr>
          <w:p w14:paraId="586FACC1"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0,393</w:t>
            </w:r>
          </w:p>
        </w:tc>
      </w:tr>
      <w:tr w:rsidR="00AB5F83" w:rsidRPr="00931280" w14:paraId="30CC3E77" w14:textId="77777777" w:rsidTr="00A04F0E">
        <w:trPr>
          <w:jc w:val="center"/>
        </w:trPr>
        <w:tc>
          <w:tcPr>
            <w:tcW w:w="1230" w:type="dxa"/>
            <w:tcBorders>
              <w:top w:val="nil"/>
              <w:left w:val="nil"/>
              <w:bottom w:val="nil"/>
              <w:right w:val="nil"/>
            </w:tcBorders>
            <w:tcMar>
              <w:top w:w="100" w:type="dxa"/>
              <w:left w:w="100" w:type="dxa"/>
              <w:bottom w:w="100" w:type="dxa"/>
              <w:right w:w="100" w:type="dxa"/>
            </w:tcMar>
            <w:hideMark/>
          </w:tcPr>
          <w:p w14:paraId="61ECE35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CG</w:t>
            </w:r>
          </w:p>
        </w:tc>
        <w:tc>
          <w:tcPr>
            <w:tcW w:w="1140" w:type="dxa"/>
            <w:tcBorders>
              <w:top w:val="nil"/>
              <w:left w:val="nil"/>
              <w:bottom w:val="nil"/>
              <w:right w:val="nil"/>
            </w:tcBorders>
            <w:tcMar>
              <w:top w:w="100" w:type="dxa"/>
              <w:left w:w="100" w:type="dxa"/>
              <w:bottom w:w="100" w:type="dxa"/>
              <w:right w:w="100" w:type="dxa"/>
            </w:tcMar>
            <w:hideMark/>
          </w:tcPr>
          <w:p w14:paraId="57D9A6D7"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-0,246</w:t>
            </w:r>
          </w:p>
        </w:tc>
        <w:tc>
          <w:tcPr>
            <w:tcW w:w="915" w:type="dxa"/>
            <w:tcBorders>
              <w:top w:val="nil"/>
              <w:left w:val="nil"/>
              <w:bottom w:val="nil"/>
              <w:right w:val="nil"/>
            </w:tcBorders>
            <w:tcMar>
              <w:top w:w="100" w:type="dxa"/>
              <w:left w:w="100" w:type="dxa"/>
              <w:bottom w:w="100" w:type="dxa"/>
              <w:right w:w="100" w:type="dxa"/>
            </w:tcMar>
            <w:hideMark/>
          </w:tcPr>
          <w:p w14:paraId="53E26F14"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0,806</w:t>
            </w:r>
          </w:p>
        </w:tc>
      </w:tr>
      <w:tr w:rsidR="00AB5F83" w:rsidRPr="00931280" w14:paraId="0D914B26" w14:textId="77777777" w:rsidTr="00A04F0E">
        <w:trPr>
          <w:jc w:val="center"/>
        </w:trPr>
        <w:tc>
          <w:tcPr>
            <w:tcW w:w="1230" w:type="dxa"/>
            <w:tcBorders>
              <w:top w:val="nil"/>
              <w:left w:val="nil"/>
              <w:bottom w:val="nil"/>
              <w:right w:val="nil"/>
            </w:tcBorders>
            <w:tcMar>
              <w:top w:w="100" w:type="dxa"/>
              <w:left w:w="100" w:type="dxa"/>
              <w:bottom w:w="100" w:type="dxa"/>
              <w:right w:w="100" w:type="dxa"/>
            </w:tcMar>
            <w:hideMark/>
          </w:tcPr>
          <w:p w14:paraId="268519CC"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ROA</w:t>
            </w:r>
          </w:p>
        </w:tc>
        <w:tc>
          <w:tcPr>
            <w:tcW w:w="1140" w:type="dxa"/>
            <w:tcBorders>
              <w:top w:val="nil"/>
              <w:left w:val="nil"/>
              <w:bottom w:val="nil"/>
              <w:right w:val="nil"/>
            </w:tcBorders>
            <w:tcMar>
              <w:top w:w="100" w:type="dxa"/>
              <w:left w:w="100" w:type="dxa"/>
              <w:bottom w:w="100" w:type="dxa"/>
              <w:right w:w="100" w:type="dxa"/>
            </w:tcMar>
            <w:hideMark/>
          </w:tcPr>
          <w:p w14:paraId="5B3B7449"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-0,475</w:t>
            </w:r>
          </w:p>
        </w:tc>
        <w:tc>
          <w:tcPr>
            <w:tcW w:w="915" w:type="dxa"/>
            <w:tcBorders>
              <w:top w:val="nil"/>
              <w:left w:val="nil"/>
              <w:bottom w:val="nil"/>
              <w:right w:val="nil"/>
            </w:tcBorders>
            <w:tcMar>
              <w:top w:w="100" w:type="dxa"/>
              <w:left w:w="100" w:type="dxa"/>
              <w:bottom w:w="100" w:type="dxa"/>
              <w:right w:w="100" w:type="dxa"/>
            </w:tcMar>
            <w:hideMark/>
          </w:tcPr>
          <w:p w14:paraId="12E8F1CF"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0,636</w:t>
            </w:r>
          </w:p>
        </w:tc>
      </w:tr>
      <w:tr w:rsidR="00AB5F83" w:rsidRPr="00931280" w14:paraId="4EF435DF" w14:textId="77777777" w:rsidTr="00A04F0E">
        <w:trPr>
          <w:jc w:val="center"/>
        </w:trPr>
        <w:tc>
          <w:tcPr>
            <w:tcW w:w="1230" w:type="dxa"/>
            <w:tcBorders>
              <w:top w:val="nil"/>
              <w:left w:val="nil"/>
              <w:bottom w:val="nil"/>
              <w:right w:val="nil"/>
            </w:tcBorders>
            <w:tcMar>
              <w:top w:w="100" w:type="dxa"/>
              <w:left w:w="100" w:type="dxa"/>
              <w:bottom w:w="100" w:type="dxa"/>
              <w:right w:w="100" w:type="dxa"/>
            </w:tcMar>
            <w:hideMark/>
          </w:tcPr>
          <w:p w14:paraId="19FCA615"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PBV</w:t>
            </w:r>
          </w:p>
        </w:tc>
        <w:tc>
          <w:tcPr>
            <w:tcW w:w="1140" w:type="dxa"/>
            <w:tcBorders>
              <w:top w:val="nil"/>
              <w:left w:val="nil"/>
              <w:bottom w:val="nil"/>
              <w:right w:val="nil"/>
            </w:tcBorders>
            <w:tcMar>
              <w:top w:w="100" w:type="dxa"/>
              <w:left w:w="100" w:type="dxa"/>
              <w:bottom w:w="100" w:type="dxa"/>
              <w:right w:w="100" w:type="dxa"/>
            </w:tcMar>
            <w:hideMark/>
          </w:tcPr>
          <w:p w14:paraId="0C7C2CBA"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0,960</w:t>
            </w:r>
          </w:p>
        </w:tc>
        <w:tc>
          <w:tcPr>
            <w:tcW w:w="915" w:type="dxa"/>
            <w:tcBorders>
              <w:top w:val="nil"/>
              <w:left w:val="nil"/>
              <w:bottom w:val="nil"/>
              <w:right w:val="nil"/>
            </w:tcBorders>
            <w:tcMar>
              <w:top w:w="100" w:type="dxa"/>
              <w:left w:w="100" w:type="dxa"/>
              <w:bottom w:w="100" w:type="dxa"/>
              <w:right w:w="100" w:type="dxa"/>
            </w:tcMar>
            <w:hideMark/>
          </w:tcPr>
          <w:p w14:paraId="12CC9EC9"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0,339</w:t>
            </w:r>
          </w:p>
        </w:tc>
      </w:tr>
      <w:tr w:rsidR="00AB5F83" w:rsidRPr="00931280" w14:paraId="27D41578" w14:textId="77777777" w:rsidTr="00A04F0E">
        <w:trPr>
          <w:jc w:val="center"/>
        </w:trPr>
        <w:tc>
          <w:tcPr>
            <w:tcW w:w="1230" w:type="dxa"/>
            <w:tcBorders>
              <w:top w:val="nil"/>
              <w:left w:val="nil"/>
              <w:bottom w:val="single" w:sz="4" w:space="0" w:color="auto"/>
              <w:right w:val="nil"/>
            </w:tcBorders>
            <w:tcMar>
              <w:top w:w="100" w:type="dxa"/>
              <w:left w:w="100" w:type="dxa"/>
              <w:bottom w:w="100" w:type="dxa"/>
              <w:right w:w="100" w:type="dxa"/>
            </w:tcMar>
            <w:hideMark/>
          </w:tcPr>
          <w:p w14:paraId="09C39657"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DPR</w:t>
            </w:r>
          </w:p>
        </w:tc>
        <w:tc>
          <w:tcPr>
            <w:tcW w:w="1140" w:type="dxa"/>
            <w:tcBorders>
              <w:top w:val="nil"/>
              <w:left w:val="nil"/>
              <w:bottom w:val="single" w:sz="4" w:space="0" w:color="auto"/>
              <w:right w:val="nil"/>
            </w:tcBorders>
            <w:tcMar>
              <w:top w:w="100" w:type="dxa"/>
              <w:left w:w="100" w:type="dxa"/>
              <w:bottom w:w="100" w:type="dxa"/>
              <w:right w:w="100" w:type="dxa"/>
            </w:tcMar>
            <w:hideMark/>
          </w:tcPr>
          <w:p w14:paraId="2F6B316B"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0,081</w:t>
            </w:r>
          </w:p>
        </w:tc>
        <w:tc>
          <w:tcPr>
            <w:tcW w:w="915" w:type="dxa"/>
            <w:tcBorders>
              <w:top w:val="nil"/>
              <w:left w:val="nil"/>
              <w:bottom w:val="single" w:sz="4" w:space="0" w:color="auto"/>
              <w:right w:val="nil"/>
            </w:tcBorders>
            <w:tcMar>
              <w:top w:w="100" w:type="dxa"/>
              <w:left w:w="100" w:type="dxa"/>
              <w:bottom w:w="100" w:type="dxa"/>
              <w:right w:w="100" w:type="dxa"/>
            </w:tcMar>
            <w:hideMark/>
          </w:tcPr>
          <w:p w14:paraId="3E5396FC"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0,936</w:t>
            </w:r>
          </w:p>
        </w:tc>
      </w:tr>
    </w:tbl>
    <w:p w14:paraId="0E4860DB" w14:textId="77777777" w:rsidR="00AB5F83" w:rsidRPr="00931280" w:rsidRDefault="00AB5F83" w:rsidP="00AB5F83">
      <w:pPr>
        <w:spacing w:after="0" w:line="240" w:lineRule="auto"/>
        <w:jc w:val="center"/>
        <w:rPr>
          <w:rFonts w:eastAsia="Cambria" w:cs="Cambria"/>
          <w:sz w:val="20"/>
          <w:szCs w:val="20"/>
          <w:lang w:eastAsia="en-US"/>
        </w:rPr>
      </w:pPr>
      <w:bookmarkStart w:id="12" w:name="_25titmyhl61d"/>
      <w:bookmarkEnd w:id="12"/>
      <w:r w:rsidRPr="00931280">
        <w:rPr>
          <w:rFonts w:eastAsia="Cambria" w:cs="Cambria"/>
          <w:sz w:val="20"/>
          <w:szCs w:val="20"/>
          <w:lang w:eastAsia="en-US"/>
        </w:rPr>
        <w:t>Sourced : Output SPSS, processed data (2024)</w:t>
      </w:r>
    </w:p>
    <w:p w14:paraId="09B8773F" w14:textId="7200863B" w:rsidR="00AB5F83" w:rsidRPr="00931280" w:rsidRDefault="00AB5F83" w:rsidP="00AB5F83">
      <w:pPr>
        <w:spacing w:after="0" w:line="240" w:lineRule="auto"/>
        <w:jc w:val="both"/>
        <w:rPr>
          <w:rFonts w:eastAsia="Cambria" w:cs="Cambria"/>
          <w:lang w:eastAsia="en-US"/>
        </w:rPr>
      </w:pPr>
      <w:bookmarkStart w:id="13" w:name="_khftqm1z4iw7"/>
      <w:bookmarkEnd w:id="13"/>
      <w:r w:rsidRPr="00931280">
        <w:rPr>
          <w:rFonts w:eastAsia="Cambria" w:cs="Cambria"/>
          <w:lang w:eastAsia="en-US"/>
        </w:rPr>
        <w:t xml:space="preserve">Table 8 shows the Glejser test result for the heteroscedasticity test where independent variables on the absolute value of the residual (RES2) obtained a sig value of more than 0.05. The value of IOS (0.393 &gt; 0.05), CG (0.806 &gt; 0.05), ROA (0.636 &gt; 0.05), PBV (0.339 &gt; 0.05), and DPR (0.936 &gt; 0.05) which indicates </w:t>
      </w:r>
      <w:r w:rsidR="00A445CD">
        <w:rPr>
          <w:rFonts w:eastAsia="Cambria" w:cs="Cambria"/>
          <w:lang w:eastAsia="en-US"/>
        </w:rPr>
        <w:t>there is no</w:t>
      </w:r>
      <w:r w:rsidRPr="00931280">
        <w:rPr>
          <w:rFonts w:eastAsia="Cambria" w:cs="Cambria"/>
          <w:lang w:eastAsia="en-US"/>
        </w:rPr>
        <w:t xml:space="preserve"> experience symptoms of heteroscedasticity. </w:t>
      </w:r>
    </w:p>
    <w:p w14:paraId="04C35C85" w14:textId="77777777" w:rsidR="00AB5F83" w:rsidRPr="00931280" w:rsidRDefault="00AB5F83" w:rsidP="00AB5F83">
      <w:pPr>
        <w:spacing w:after="0" w:line="240" w:lineRule="auto"/>
        <w:jc w:val="both"/>
        <w:rPr>
          <w:rFonts w:eastAsia="Cambria" w:cs="Cambria"/>
          <w:b/>
          <w:lang w:eastAsia="en-US"/>
        </w:rPr>
      </w:pPr>
      <w:r w:rsidRPr="00931280">
        <w:rPr>
          <w:rFonts w:eastAsia="Cambria" w:cs="Cambria"/>
          <w:b/>
          <w:lang w:eastAsia="en-US"/>
        </w:rPr>
        <w:t>Panel Data Regression Model</w:t>
      </w:r>
    </w:p>
    <w:p w14:paraId="55C1095F" w14:textId="0DA16D33" w:rsidR="00AB5F83" w:rsidRPr="00931280" w:rsidRDefault="00AB5F83" w:rsidP="00FD2E41">
      <w:pPr>
        <w:spacing w:after="0" w:line="240" w:lineRule="auto"/>
        <w:ind w:firstLine="284"/>
        <w:jc w:val="both"/>
        <w:rPr>
          <w:rFonts w:eastAsia="Cambria" w:cs="Cambria"/>
          <w:lang w:eastAsia="en-US"/>
        </w:rPr>
      </w:pPr>
      <w:r w:rsidRPr="00931280">
        <w:rPr>
          <w:rFonts w:eastAsia="Cambria" w:cs="Cambria"/>
          <w:lang w:eastAsia="en-US"/>
        </w:rPr>
        <w:t xml:space="preserve">From panel data regression testing result, first equation of simple regression model obtained as follows:  </w:t>
      </w:r>
    </w:p>
    <w:p w14:paraId="69915E0C" w14:textId="77777777" w:rsidR="00AB5F83" w:rsidRPr="00931280" w:rsidRDefault="00AB5F83" w:rsidP="00AB5F83">
      <w:pPr>
        <w:spacing w:after="0" w:line="240" w:lineRule="auto"/>
        <w:jc w:val="center"/>
        <w:rPr>
          <w:rFonts w:eastAsia="Cambria" w:cs="Cambria"/>
          <w:b/>
          <w:lang w:eastAsia="en-US"/>
        </w:rPr>
      </w:pPr>
      <w:r w:rsidRPr="00931280">
        <w:rPr>
          <w:rFonts w:eastAsia="Cambria" w:cs="Cambria"/>
          <w:lang w:eastAsia="en-US"/>
        </w:rPr>
        <w:t xml:space="preserve">PBV = 0.108 + 0.200 IOS - 0.031 CG + 0.061 ROA + e </w:t>
      </w:r>
      <w:r w:rsidRPr="00931280">
        <w:rPr>
          <w:rFonts w:eastAsia="Cambria" w:cs="Cambria"/>
          <w:b/>
          <w:lang w:eastAsia="en-US"/>
        </w:rPr>
        <w:t>(1)</w:t>
      </w:r>
    </w:p>
    <w:p w14:paraId="08D1D8B7" w14:textId="77777777" w:rsidR="00AB5F83" w:rsidRPr="00931280" w:rsidRDefault="00AB5F83" w:rsidP="00AB5F83">
      <w:pPr>
        <w:spacing w:after="0" w:line="240" w:lineRule="auto"/>
        <w:jc w:val="both"/>
        <w:rPr>
          <w:rFonts w:eastAsia="Cambria" w:cs="Cambria"/>
          <w:lang w:eastAsia="en-US"/>
        </w:rPr>
      </w:pPr>
      <w:bookmarkStart w:id="14" w:name="_91khl5p1brjn"/>
      <w:bookmarkEnd w:id="14"/>
      <w:r w:rsidRPr="00931280">
        <w:rPr>
          <w:rFonts w:eastAsia="Cambria" w:cs="Cambria"/>
          <w:lang w:eastAsia="en-US"/>
        </w:rPr>
        <w:t xml:space="preserve">From the regression test results, it’s found that IOS has influence positively over PBV, where when the IOS value increases, it will increase the PBV value. Meanwhile, CG hurts PBV, which means it will decrease PBV value. Then ROA has a positive effect over PBV, which shows a unidirectional relationship between PBV value and ROA. </w:t>
      </w:r>
    </w:p>
    <w:p w14:paraId="75739C99" w14:textId="77777777" w:rsidR="00AB5F83" w:rsidRPr="00931280" w:rsidRDefault="00AB5F83" w:rsidP="00FD2E41">
      <w:pPr>
        <w:spacing w:after="0" w:line="240" w:lineRule="auto"/>
        <w:ind w:firstLine="284"/>
        <w:jc w:val="both"/>
        <w:rPr>
          <w:rFonts w:eastAsia="Cambria" w:cs="Cambria"/>
          <w:lang w:eastAsia="en-US"/>
        </w:rPr>
      </w:pPr>
      <w:r w:rsidRPr="00931280">
        <w:rPr>
          <w:rFonts w:eastAsia="Cambria" w:cs="Cambria"/>
          <w:lang w:eastAsia="en-US"/>
        </w:rPr>
        <w:t xml:space="preserve">Meanwhile, from the second regression test result, here is the second regression test equation: </w:t>
      </w:r>
    </w:p>
    <w:p w14:paraId="6F4B9BA8" w14:textId="77777777" w:rsidR="00AB5F83" w:rsidRPr="00931280" w:rsidRDefault="00AB5F83" w:rsidP="00AB5F83">
      <w:pPr>
        <w:spacing w:after="0" w:line="240" w:lineRule="auto"/>
        <w:jc w:val="center"/>
        <w:rPr>
          <w:rFonts w:eastAsia="Cambria" w:cs="Cambria"/>
          <w:b/>
          <w:lang w:eastAsia="en-US"/>
        </w:rPr>
      </w:pPr>
      <w:r w:rsidRPr="00931280">
        <w:rPr>
          <w:rFonts w:eastAsia="Cambria" w:cs="Cambria"/>
          <w:lang w:eastAsia="en-US"/>
        </w:rPr>
        <w:t xml:space="preserve">PBV = -0.256 + 0.214 IOS - 0.041 CG - 0.839 ROA + 1.129 DPR + e </w:t>
      </w:r>
      <w:r w:rsidRPr="00931280">
        <w:rPr>
          <w:rFonts w:eastAsia="Cambria" w:cs="Cambria"/>
          <w:b/>
          <w:lang w:eastAsia="en-US"/>
        </w:rPr>
        <w:t>(2)</w:t>
      </w:r>
    </w:p>
    <w:p w14:paraId="429F6275" w14:textId="04E6EB03" w:rsidR="00AB5F83" w:rsidRPr="00931280" w:rsidRDefault="00AB5F83" w:rsidP="00AB5F83">
      <w:pPr>
        <w:spacing w:after="0" w:line="240" w:lineRule="auto"/>
        <w:jc w:val="both"/>
        <w:rPr>
          <w:rFonts w:eastAsia="Cambria" w:cs="Cambria"/>
          <w:lang w:eastAsia="en-US"/>
        </w:rPr>
      </w:pPr>
      <w:bookmarkStart w:id="15" w:name="_lzu53l2x42vs"/>
      <w:bookmarkEnd w:id="15"/>
      <w:r w:rsidRPr="00931280">
        <w:rPr>
          <w:rFonts w:eastAsia="Cambria" w:cs="Cambria"/>
          <w:lang w:eastAsia="en-US"/>
        </w:rPr>
        <w:t>With the addition of independent variables through the value of DPR, there is a change in relationship in the above equation. The second equation constant is negative, implying if the independent variable is zero, the dependent variable is minus. Then IOS and DPR have a positive relationship with the increase in PBV, while CG and ROA have a negative relationship with PBV.</w:t>
      </w:r>
    </w:p>
    <w:p w14:paraId="77910807" w14:textId="77777777" w:rsidR="00AB5F83" w:rsidRPr="00931280" w:rsidRDefault="00AB5F83" w:rsidP="00AB5F83">
      <w:pPr>
        <w:spacing w:after="0" w:line="240" w:lineRule="auto"/>
        <w:jc w:val="both"/>
        <w:rPr>
          <w:rFonts w:eastAsia="Cambria" w:cs="Cambria"/>
          <w:b/>
          <w:lang w:eastAsia="en-US"/>
        </w:rPr>
      </w:pPr>
      <w:bookmarkStart w:id="16" w:name="_jgprqd49oe7q"/>
      <w:bookmarkEnd w:id="16"/>
      <w:r w:rsidRPr="00931280">
        <w:rPr>
          <w:rFonts w:eastAsia="Cambria" w:cs="Cambria"/>
          <w:b/>
          <w:lang w:eastAsia="en-US"/>
        </w:rPr>
        <w:t>Moderated Regression Analysis (MRA)</w:t>
      </w:r>
    </w:p>
    <w:p w14:paraId="11EDF978" w14:textId="77777777" w:rsidR="00AB5F83" w:rsidRPr="00931280" w:rsidRDefault="00AB5F83" w:rsidP="00FD2E41">
      <w:pPr>
        <w:spacing w:after="0" w:line="240" w:lineRule="auto"/>
        <w:ind w:firstLine="284"/>
        <w:jc w:val="both"/>
        <w:rPr>
          <w:rFonts w:eastAsia="Cambria" w:cs="Cambria"/>
          <w:lang w:eastAsia="en-US"/>
        </w:rPr>
      </w:pPr>
      <w:r w:rsidRPr="00931280">
        <w:rPr>
          <w:rFonts w:eastAsia="Cambria" w:cs="Cambria"/>
          <w:lang w:eastAsia="en-US"/>
        </w:rPr>
        <w:t>The third equation results based on moderation regression test are as follows:</w:t>
      </w:r>
    </w:p>
    <w:p w14:paraId="103588B2" w14:textId="1E9838B8" w:rsidR="00AB5F83" w:rsidRPr="00931280" w:rsidRDefault="00AB5F83" w:rsidP="00F67D32">
      <w:pPr>
        <w:spacing w:after="0" w:line="240" w:lineRule="auto"/>
        <w:jc w:val="center"/>
        <w:rPr>
          <w:rFonts w:eastAsia="Cambria" w:cs="Cambria"/>
          <w:b/>
          <w:lang w:eastAsia="en-US"/>
        </w:rPr>
      </w:pPr>
      <w:r w:rsidRPr="00931280">
        <w:rPr>
          <w:rFonts w:eastAsia="Cambria" w:cs="Cambria"/>
          <w:lang w:eastAsia="en-US"/>
        </w:rPr>
        <w:t xml:space="preserve">PBV=6,13+0,24IOS-1,58CG-1,01ROA+0,11(IOS*DPR)-2,15(CG*DPR)-0,03(ROA*DPR) </w:t>
      </w:r>
      <w:r w:rsidRPr="00931280">
        <w:rPr>
          <w:rFonts w:eastAsia="Cambria" w:cs="Cambria"/>
          <w:b/>
          <w:lang w:eastAsia="en-US"/>
        </w:rPr>
        <w:t>(3)</w:t>
      </w:r>
      <w:bookmarkStart w:id="17" w:name="_p7ooiqmi3r73"/>
      <w:bookmarkEnd w:id="17"/>
    </w:p>
    <w:p w14:paraId="70C9CC09" w14:textId="77777777" w:rsidR="00AB5F83" w:rsidRPr="00931280" w:rsidRDefault="00AB5F83" w:rsidP="00AB5F83">
      <w:pPr>
        <w:spacing w:after="0" w:line="240" w:lineRule="auto"/>
        <w:jc w:val="both"/>
        <w:rPr>
          <w:rFonts w:eastAsia="Cambria" w:cs="Cambria"/>
          <w:lang w:eastAsia="en-US"/>
        </w:rPr>
      </w:pPr>
      <w:bookmarkStart w:id="18" w:name="_oyb3ip95ygew"/>
      <w:bookmarkEnd w:id="18"/>
      <w:r w:rsidRPr="00931280">
        <w:rPr>
          <w:rFonts w:eastAsia="Cambria" w:cs="Cambria"/>
          <w:lang w:eastAsia="en-US"/>
        </w:rPr>
        <w:t xml:space="preserve">From the MRA test results, the independent variable with a positive value is IOS, while CG and ROA have a negative relationship. It's collinear with a moderating effect of DPR, where IOS has a positive value so that it can increase PBV. Meanwhile, the moderating effect of DPR to CG and ROA is negative so it will reduce its influence on PBV. </w:t>
      </w:r>
    </w:p>
    <w:p w14:paraId="08A55807" w14:textId="77777777" w:rsidR="00AB5F83" w:rsidRPr="00931280" w:rsidRDefault="00AB5F83" w:rsidP="00AB5F83">
      <w:pPr>
        <w:spacing w:after="0" w:line="240" w:lineRule="auto"/>
        <w:jc w:val="both"/>
        <w:rPr>
          <w:rFonts w:eastAsia="Cambria" w:cs="Cambria"/>
          <w:b/>
          <w:lang w:eastAsia="en-US"/>
        </w:rPr>
      </w:pPr>
      <w:r w:rsidRPr="00931280">
        <w:rPr>
          <w:rFonts w:eastAsia="Cambria" w:cs="Cambria"/>
          <w:b/>
          <w:lang w:eastAsia="en-US"/>
        </w:rPr>
        <w:t>Hypothesis Test</w:t>
      </w:r>
    </w:p>
    <w:p w14:paraId="4A2EC79A" w14:textId="6F818E93" w:rsidR="00AB5F83" w:rsidRPr="00931280" w:rsidRDefault="00543F1A" w:rsidP="00FD2E41">
      <w:pPr>
        <w:spacing w:after="0" w:line="240" w:lineRule="auto"/>
        <w:ind w:firstLine="284"/>
        <w:jc w:val="both"/>
        <w:rPr>
          <w:rFonts w:eastAsia="Cambria" w:cs="Cambria"/>
          <w:lang w:eastAsia="en-US"/>
        </w:rPr>
      </w:pPr>
      <w:bookmarkStart w:id="19" w:name="_24e2pf901ua4"/>
      <w:bookmarkEnd w:id="19"/>
      <w:r w:rsidRPr="00931280">
        <w:rPr>
          <w:rFonts w:eastAsia="Cambria" w:cs="Cambria"/>
          <w:lang w:eastAsia="en-US"/>
        </w:rPr>
        <w:t xml:space="preserve">The coefficient of determination test aims in calculating the effect of the model in explaining the dependent variable (Ghozali, 2011). </w:t>
      </w:r>
      <w:r w:rsidR="00AB5F83" w:rsidRPr="00931280">
        <w:rPr>
          <w:rFonts w:eastAsia="Cambria" w:cs="Cambria"/>
          <w:lang w:eastAsia="en-US"/>
        </w:rPr>
        <w:t xml:space="preserve">The indicator of this test is assessed using the Adjusted </w:t>
      </w:r>
      <m:oMath>
        <m:sSup>
          <m:sSupPr>
            <m:ctrlPr>
              <w:rPr>
                <w:rFonts w:ascii="Cambria Math" w:eastAsia="Cambria" w:hAnsi="Cambria Math" w:cs="Cambria"/>
                <w:lang w:eastAsia="en-US"/>
              </w:rPr>
            </m:ctrlPr>
          </m:sSupPr>
          <m:e>
            <m:r>
              <w:rPr>
                <w:rFonts w:ascii="Cambria Math" w:eastAsia="Cambria" w:hAnsi="Cambria Math" w:cs="Cambria"/>
                <w:lang w:eastAsia="en-US"/>
              </w:rPr>
              <m:t>R</m:t>
            </m:r>
          </m:e>
          <m:sup>
            <m:r>
              <w:rPr>
                <w:rFonts w:ascii="Cambria Math" w:eastAsia="Cambria" w:hAnsi="Cambria Math" w:cs="Cambria"/>
                <w:lang w:eastAsia="en-US"/>
              </w:rPr>
              <m:t>2</m:t>
            </m:r>
          </m:sup>
        </m:sSup>
      </m:oMath>
      <w:r w:rsidR="00AB5F83" w:rsidRPr="00931280">
        <w:rPr>
          <w:rFonts w:eastAsia="Cambria" w:cs="Cambria"/>
          <w:lang w:eastAsia="en-US"/>
        </w:rPr>
        <w:t xml:space="preserve"> value to avoid bias and determine a good regression model. </w:t>
      </w:r>
    </w:p>
    <w:p w14:paraId="7FAC4E96" w14:textId="77777777" w:rsidR="00AB5F83" w:rsidRPr="00931280" w:rsidRDefault="00AB5F83" w:rsidP="00AB5F83">
      <w:pPr>
        <w:spacing w:after="0" w:line="240" w:lineRule="auto"/>
        <w:rPr>
          <w:rFonts w:eastAsia="Cambria" w:cs="Cambria"/>
          <w:b/>
          <w:lang w:eastAsia="en-US"/>
        </w:rPr>
      </w:pPr>
      <w:r w:rsidRPr="00931280">
        <w:rPr>
          <w:rFonts w:eastAsia="Cambria" w:cs="Cambria"/>
          <w:b/>
          <w:lang w:eastAsia="en-US"/>
        </w:rPr>
        <w:br w:type="page"/>
      </w:r>
      <w:bookmarkStart w:id="20" w:name="_3e0naeysxn78"/>
      <w:bookmarkEnd w:id="20"/>
    </w:p>
    <w:p w14:paraId="104FC310" w14:textId="37B44C3F" w:rsidR="00AB5F83" w:rsidRPr="00931280" w:rsidRDefault="00AB5F83" w:rsidP="00AB5F83">
      <w:pPr>
        <w:spacing w:after="0" w:line="240" w:lineRule="auto"/>
        <w:jc w:val="center"/>
        <w:rPr>
          <w:rFonts w:eastAsia="Cambria" w:cs="Cambria"/>
          <w:lang w:eastAsia="en-US"/>
        </w:rPr>
      </w:pPr>
      <w:r w:rsidRPr="00931280">
        <w:rPr>
          <w:rFonts w:eastAsia="Cambria" w:cs="Cambria"/>
          <w:b/>
          <w:lang w:eastAsia="en-US"/>
        </w:rPr>
        <w:lastRenderedPageBreak/>
        <w:t xml:space="preserve">Table 9 </w:t>
      </w:r>
      <w:r w:rsidRPr="00931280">
        <w:rPr>
          <w:rFonts w:eastAsia="Cambria" w:cs="Cambria"/>
          <w:lang w:eastAsia="en-US"/>
        </w:rPr>
        <w:t>Coefficient of Determination</w:t>
      </w:r>
      <w:r w:rsidR="005B0F87" w:rsidRPr="005B0F87">
        <w:rPr>
          <w:rFonts w:eastAsia="Cambria" w:cs="Cambria"/>
          <w:lang w:eastAsia="en-US"/>
        </w:rPr>
        <w:t xml:space="preserve"> </w:t>
      </w:r>
      <w:r w:rsidR="005B0F87" w:rsidRPr="00931280">
        <w:rPr>
          <w:rFonts w:eastAsia="Cambria" w:cs="Cambria"/>
          <w:lang w:eastAsia="en-US"/>
        </w:rPr>
        <w:t>Testing Result</w:t>
      </w:r>
      <w:r w:rsidRPr="00931280">
        <w:rPr>
          <w:rFonts w:eastAsia="Cambria" w:cs="Cambria"/>
          <w:lang w:eastAsia="en-US"/>
        </w:rPr>
        <w:t xml:space="preserve"> in Research</w:t>
      </w:r>
      <w:r w:rsidR="005B0F87">
        <w:rPr>
          <w:rFonts w:eastAsia="Cambria" w:cs="Cambria"/>
          <w:lang w:eastAsia="en-US"/>
        </w:rPr>
        <w:t xml:space="preserve"> </w:t>
      </w:r>
    </w:p>
    <w:tbl>
      <w:tblPr>
        <w:tblW w:w="7088"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602"/>
        <w:gridCol w:w="2084"/>
        <w:gridCol w:w="2268"/>
      </w:tblGrid>
      <w:tr w:rsidR="00AB5F83" w:rsidRPr="00931280" w14:paraId="2D6C2858" w14:textId="77777777" w:rsidTr="00FD2E41">
        <w:tc>
          <w:tcPr>
            <w:tcW w:w="1134" w:type="dxa"/>
            <w:tcBorders>
              <w:top w:val="single" w:sz="8" w:space="0" w:color="000000"/>
              <w:left w:val="nil"/>
              <w:bottom w:val="single" w:sz="8" w:space="0" w:color="000000"/>
              <w:right w:val="nil"/>
            </w:tcBorders>
            <w:tcMar>
              <w:top w:w="100" w:type="dxa"/>
              <w:left w:w="100" w:type="dxa"/>
              <w:bottom w:w="100" w:type="dxa"/>
              <w:right w:w="100" w:type="dxa"/>
            </w:tcMar>
            <w:hideMark/>
          </w:tcPr>
          <w:p w14:paraId="5EFAE5F2" w14:textId="77777777" w:rsidR="00AB5F83" w:rsidRPr="00931280" w:rsidRDefault="00AB5F83" w:rsidP="00AB5F83">
            <w:pPr>
              <w:widowControl w:val="0"/>
              <w:spacing w:after="0" w:line="240" w:lineRule="auto"/>
              <w:ind w:left="-135" w:right="-250" w:hanging="15"/>
              <w:jc w:val="center"/>
              <w:rPr>
                <w:rFonts w:eastAsia="Cambria" w:cs="Cambria"/>
                <w:b/>
                <w:lang w:eastAsia="en-US"/>
              </w:rPr>
            </w:pPr>
            <w:r w:rsidRPr="00931280">
              <w:rPr>
                <w:rFonts w:eastAsia="Cambria" w:cs="Cambria"/>
                <w:b/>
                <w:lang w:eastAsia="en-US"/>
              </w:rPr>
              <w:t>Model</w:t>
            </w:r>
          </w:p>
        </w:tc>
        <w:tc>
          <w:tcPr>
            <w:tcW w:w="1602" w:type="dxa"/>
            <w:tcBorders>
              <w:top w:val="single" w:sz="8" w:space="0" w:color="000000"/>
              <w:left w:val="nil"/>
              <w:bottom w:val="single" w:sz="8" w:space="0" w:color="000000"/>
              <w:right w:val="nil"/>
            </w:tcBorders>
            <w:tcMar>
              <w:top w:w="100" w:type="dxa"/>
              <w:left w:w="100" w:type="dxa"/>
              <w:bottom w:w="100" w:type="dxa"/>
              <w:right w:w="100" w:type="dxa"/>
            </w:tcMar>
            <w:hideMark/>
          </w:tcPr>
          <w:p w14:paraId="5A546A66" w14:textId="77777777" w:rsidR="00AB5F83" w:rsidRPr="00931280" w:rsidRDefault="00AB5F83" w:rsidP="00AB5F83">
            <w:pPr>
              <w:widowControl w:val="0"/>
              <w:spacing w:after="0" w:line="240" w:lineRule="auto"/>
              <w:jc w:val="center"/>
              <w:rPr>
                <w:rFonts w:eastAsia="Cambria" w:cs="Cambria"/>
                <w:b/>
                <w:lang w:eastAsia="en-US"/>
              </w:rPr>
            </w:pPr>
            <w:r w:rsidRPr="00931280">
              <w:rPr>
                <w:rFonts w:eastAsia="Cambria" w:cs="Cambria"/>
                <w:b/>
                <w:lang w:eastAsia="en-US"/>
              </w:rPr>
              <w:t>R Square</w:t>
            </w:r>
          </w:p>
        </w:tc>
        <w:tc>
          <w:tcPr>
            <w:tcW w:w="2084" w:type="dxa"/>
            <w:tcBorders>
              <w:top w:val="single" w:sz="8" w:space="0" w:color="000000"/>
              <w:left w:val="nil"/>
              <w:bottom w:val="single" w:sz="8" w:space="0" w:color="000000"/>
              <w:right w:val="nil"/>
            </w:tcBorders>
            <w:tcMar>
              <w:top w:w="100" w:type="dxa"/>
              <w:left w:w="100" w:type="dxa"/>
              <w:bottom w:w="100" w:type="dxa"/>
              <w:right w:w="100" w:type="dxa"/>
            </w:tcMar>
            <w:hideMark/>
          </w:tcPr>
          <w:p w14:paraId="7382C410" w14:textId="0D476BC1" w:rsidR="00AB5F83" w:rsidRPr="00931280" w:rsidRDefault="00AB5F83" w:rsidP="00AB5F83">
            <w:pPr>
              <w:widowControl w:val="0"/>
              <w:spacing w:after="0" w:line="240" w:lineRule="auto"/>
              <w:ind w:left="-141"/>
              <w:jc w:val="center"/>
              <w:rPr>
                <w:rFonts w:eastAsia="Cambria" w:cs="Cambria"/>
                <w:b/>
                <w:lang w:eastAsia="en-US"/>
              </w:rPr>
            </w:pPr>
            <w:r w:rsidRPr="00931280">
              <w:rPr>
                <w:rFonts w:eastAsia="Cambria" w:cs="Cambria"/>
                <w:b/>
                <w:lang w:eastAsia="en-US"/>
              </w:rPr>
              <w:t>Adj R Square</w:t>
            </w:r>
          </w:p>
        </w:tc>
        <w:tc>
          <w:tcPr>
            <w:tcW w:w="2268" w:type="dxa"/>
            <w:tcBorders>
              <w:top w:val="single" w:sz="8" w:space="0" w:color="000000"/>
              <w:left w:val="nil"/>
              <w:bottom w:val="single" w:sz="8" w:space="0" w:color="000000"/>
              <w:right w:val="nil"/>
            </w:tcBorders>
            <w:tcMar>
              <w:top w:w="100" w:type="dxa"/>
              <w:left w:w="100" w:type="dxa"/>
              <w:bottom w:w="100" w:type="dxa"/>
              <w:right w:w="100" w:type="dxa"/>
            </w:tcMar>
            <w:hideMark/>
          </w:tcPr>
          <w:p w14:paraId="7AA8810F" w14:textId="77777777" w:rsidR="00AB5F83" w:rsidRPr="00931280" w:rsidRDefault="00AB5F83" w:rsidP="00AB5F83">
            <w:pPr>
              <w:widowControl w:val="0"/>
              <w:spacing w:after="0" w:line="240" w:lineRule="auto"/>
              <w:ind w:right="-57"/>
              <w:jc w:val="center"/>
              <w:rPr>
                <w:rFonts w:eastAsia="Cambria" w:cs="Cambria"/>
                <w:b/>
                <w:lang w:eastAsia="en-US"/>
              </w:rPr>
            </w:pPr>
            <w:r w:rsidRPr="00931280">
              <w:rPr>
                <w:rFonts w:eastAsia="Cambria" w:cs="Cambria"/>
                <w:b/>
                <w:lang w:eastAsia="en-US"/>
              </w:rPr>
              <w:t>Information</w:t>
            </w:r>
          </w:p>
        </w:tc>
      </w:tr>
      <w:tr w:rsidR="00AB5F83" w:rsidRPr="00931280" w14:paraId="54F0BC62" w14:textId="77777777" w:rsidTr="00FD2E41">
        <w:tc>
          <w:tcPr>
            <w:tcW w:w="1134" w:type="dxa"/>
            <w:tcBorders>
              <w:top w:val="single" w:sz="8" w:space="0" w:color="000000"/>
              <w:left w:val="nil"/>
              <w:bottom w:val="nil"/>
              <w:right w:val="nil"/>
            </w:tcBorders>
            <w:tcMar>
              <w:top w:w="100" w:type="dxa"/>
              <w:left w:w="100" w:type="dxa"/>
              <w:bottom w:w="100" w:type="dxa"/>
              <w:right w:w="100" w:type="dxa"/>
            </w:tcMar>
            <w:hideMark/>
          </w:tcPr>
          <w:p w14:paraId="2954703E" w14:textId="77777777" w:rsidR="00AB5F83" w:rsidRPr="00931280" w:rsidRDefault="00AB5F83" w:rsidP="00AB5F83">
            <w:pPr>
              <w:widowControl w:val="0"/>
              <w:spacing w:after="0" w:line="240" w:lineRule="auto"/>
              <w:ind w:left="-135" w:right="-250" w:hanging="15"/>
              <w:jc w:val="center"/>
              <w:rPr>
                <w:rFonts w:eastAsia="Cambria" w:cs="Cambria"/>
                <w:lang w:eastAsia="en-US"/>
              </w:rPr>
            </w:pPr>
            <w:r w:rsidRPr="00931280">
              <w:rPr>
                <w:rFonts w:eastAsia="Cambria" w:cs="Cambria"/>
                <w:lang w:eastAsia="en-US"/>
              </w:rPr>
              <w:t>1</w:t>
            </w:r>
          </w:p>
        </w:tc>
        <w:tc>
          <w:tcPr>
            <w:tcW w:w="1602" w:type="dxa"/>
            <w:tcBorders>
              <w:top w:val="single" w:sz="8" w:space="0" w:color="000000"/>
              <w:left w:val="nil"/>
              <w:bottom w:val="nil"/>
              <w:right w:val="nil"/>
            </w:tcBorders>
            <w:tcMar>
              <w:top w:w="100" w:type="dxa"/>
              <w:left w:w="100" w:type="dxa"/>
              <w:bottom w:w="100" w:type="dxa"/>
              <w:right w:w="100" w:type="dxa"/>
            </w:tcMar>
            <w:hideMark/>
          </w:tcPr>
          <w:p w14:paraId="2762BDD0"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0,194</w:t>
            </w:r>
          </w:p>
        </w:tc>
        <w:tc>
          <w:tcPr>
            <w:tcW w:w="2084" w:type="dxa"/>
            <w:tcBorders>
              <w:top w:val="single" w:sz="8" w:space="0" w:color="000000"/>
              <w:left w:val="nil"/>
              <w:bottom w:val="nil"/>
              <w:right w:val="nil"/>
            </w:tcBorders>
            <w:tcMar>
              <w:top w:w="100" w:type="dxa"/>
              <w:left w:w="100" w:type="dxa"/>
              <w:bottom w:w="100" w:type="dxa"/>
              <w:right w:w="100" w:type="dxa"/>
            </w:tcMar>
            <w:hideMark/>
          </w:tcPr>
          <w:p w14:paraId="12188C63" w14:textId="77777777" w:rsidR="00AB5F83" w:rsidRPr="00931280" w:rsidRDefault="00AB5F83" w:rsidP="00AB5F83">
            <w:pPr>
              <w:widowControl w:val="0"/>
              <w:spacing w:after="0" w:line="240" w:lineRule="auto"/>
              <w:ind w:left="-141"/>
              <w:jc w:val="center"/>
              <w:rPr>
                <w:rFonts w:eastAsia="Cambria" w:cs="Cambria"/>
                <w:lang w:eastAsia="en-US"/>
              </w:rPr>
            </w:pPr>
            <w:r w:rsidRPr="00931280">
              <w:rPr>
                <w:rFonts w:eastAsia="Cambria" w:cs="Cambria"/>
                <w:lang w:eastAsia="en-US"/>
              </w:rPr>
              <w:t>0,162</w:t>
            </w:r>
          </w:p>
        </w:tc>
        <w:tc>
          <w:tcPr>
            <w:tcW w:w="2268" w:type="dxa"/>
            <w:tcBorders>
              <w:top w:val="single" w:sz="8" w:space="0" w:color="000000"/>
              <w:left w:val="nil"/>
              <w:bottom w:val="nil"/>
              <w:right w:val="nil"/>
            </w:tcBorders>
            <w:tcMar>
              <w:top w:w="100" w:type="dxa"/>
              <w:left w:w="100" w:type="dxa"/>
              <w:bottom w:w="100" w:type="dxa"/>
              <w:right w:w="100" w:type="dxa"/>
            </w:tcMar>
            <w:hideMark/>
          </w:tcPr>
          <w:p w14:paraId="52CE71CE" w14:textId="77777777" w:rsidR="00AB5F83" w:rsidRPr="00931280" w:rsidRDefault="00AB5F83" w:rsidP="00AB5F83">
            <w:pPr>
              <w:widowControl w:val="0"/>
              <w:spacing w:after="0" w:line="240" w:lineRule="auto"/>
              <w:ind w:right="-57"/>
              <w:jc w:val="center"/>
              <w:rPr>
                <w:rFonts w:eastAsia="Cambria" w:cs="Cambria"/>
                <w:lang w:eastAsia="en-US"/>
              </w:rPr>
            </w:pPr>
            <w:r w:rsidRPr="00931280">
              <w:rPr>
                <w:rFonts w:eastAsia="Cambria" w:cs="Cambria"/>
                <w:lang w:eastAsia="en-US"/>
              </w:rPr>
              <w:t>Without Moderation</w:t>
            </w:r>
          </w:p>
        </w:tc>
      </w:tr>
      <w:tr w:rsidR="00AB5F83" w:rsidRPr="00931280" w14:paraId="087B99C5" w14:textId="77777777" w:rsidTr="00FD2E41">
        <w:tc>
          <w:tcPr>
            <w:tcW w:w="1134" w:type="dxa"/>
            <w:tcBorders>
              <w:top w:val="nil"/>
              <w:left w:val="nil"/>
              <w:bottom w:val="single" w:sz="8" w:space="0" w:color="000000"/>
              <w:right w:val="nil"/>
            </w:tcBorders>
            <w:tcMar>
              <w:top w:w="100" w:type="dxa"/>
              <w:left w:w="100" w:type="dxa"/>
              <w:bottom w:w="100" w:type="dxa"/>
              <w:right w:w="100" w:type="dxa"/>
            </w:tcMar>
            <w:hideMark/>
          </w:tcPr>
          <w:p w14:paraId="3277DF8F" w14:textId="77777777" w:rsidR="00AB5F83" w:rsidRPr="00931280" w:rsidRDefault="00AB5F83" w:rsidP="00AB5F83">
            <w:pPr>
              <w:widowControl w:val="0"/>
              <w:spacing w:after="0" w:line="240" w:lineRule="auto"/>
              <w:ind w:left="-135" w:right="-250" w:hanging="15"/>
              <w:jc w:val="center"/>
              <w:rPr>
                <w:rFonts w:eastAsia="Cambria" w:cs="Cambria"/>
                <w:lang w:eastAsia="en-US"/>
              </w:rPr>
            </w:pPr>
            <w:r w:rsidRPr="00931280">
              <w:rPr>
                <w:rFonts w:eastAsia="Cambria" w:cs="Cambria"/>
                <w:lang w:eastAsia="en-US"/>
              </w:rPr>
              <w:t>2</w:t>
            </w:r>
          </w:p>
        </w:tc>
        <w:tc>
          <w:tcPr>
            <w:tcW w:w="1602" w:type="dxa"/>
            <w:tcBorders>
              <w:top w:val="nil"/>
              <w:left w:val="nil"/>
              <w:bottom w:val="single" w:sz="8" w:space="0" w:color="000000"/>
              <w:right w:val="nil"/>
            </w:tcBorders>
            <w:tcMar>
              <w:top w:w="100" w:type="dxa"/>
              <w:left w:w="100" w:type="dxa"/>
              <w:bottom w:w="100" w:type="dxa"/>
              <w:right w:w="100" w:type="dxa"/>
            </w:tcMar>
            <w:hideMark/>
          </w:tcPr>
          <w:p w14:paraId="3BC83044"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0,360</w:t>
            </w:r>
          </w:p>
        </w:tc>
        <w:tc>
          <w:tcPr>
            <w:tcW w:w="2084" w:type="dxa"/>
            <w:tcBorders>
              <w:top w:val="nil"/>
              <w:left w:val="nil"/>
              <w:bottom w:val="single" w:sz="8" w:space="0" w:color="000000"/>
              <w:right w:val="nil"/>
            </w:tcBorders>
            <w:tcMar>
              <w:top w:w="100" w:type="dxa"/>
              <w:left w:w="100" w:type="dxa"/>
              <w:bottom w:w="100" w:type="dxa"/>
              <w:right w:w="100" w:type="dxa"/>
            </w:tcMar>
            <w:hideMark/>
          </w:tcPr>
          <w:p w14:paraId="09F066D7" w14:textId="77777777" w:rsidR="00AB5F83" w:rsidRPr="00931280" w:rsidRDefault="00AB5F83" w:rsidP="00AB5F83">
            <w:pPr>
              <w:widowControl w:val="0"/>
              <w:spacing w:after="0" w:line="240" w:lineRule="auto"/>
              <w:ind w:left="-141"/>
              <w:jc w:val="center"/>
              <w:rPr>
                <w:rFonts w:eastAsia="Cambria" w:cs="Cambria"/>
                <w:lang w:eastAsia="en-US"/>
              </w:rPr>
            </w:pPr>
            <w:r w:rsidRPr="00931280">
              <w:rPr>
                <w:rFonts w:eastAsia="Cambria" w:cs="Cambria"/>
                <w:lang w:eastAsia="en-US"/>
              </w:rPr>
              <w:t>0,315</w:t>
            </w:r>
          </w:p>
        </w:tc>
        <w:tc>
          <w:tcPr>
            <w:tcW w:w="2268" w:type="dxa"/>
            <w:tcBorders>
              <w:top w:val="nil"/>
              <w:left w:val="nil"/>
              <w:bottom w:val="single" w:sz="8" w:space="0" w:color="000000"/>
              <w:right w:val="nil"/>
            </w:tcBorders>
            <w:tcMar>
              <w:top w:w="100" w:type="dxa"/>
              <w:left w:w="100" w:type="dxa"/>
              <w:bottom w:w="100" w:type="dxa"/>
              <w:right w:w="100" w:type="dxa"/>
            </w:tcMar>
            <w:hideMark/>
          </w:tcPr>
          <w:p w14:paraId="66A5FA2E" w14:textId="77777777" w:rsidR="00AB5F83" w:rsidRPr="00931280" w:rsidRDefault="00AB5F83" w:rsidP="00AB5F83">
            <w:pPr>
              <w:widowControl w:val="0"/>
              <w:spacing w:after="0" w:line="240" w:lineRule="auto"/>
              <w:ind w:right="-57"/>
              <w:jc w:val="center"/>
              <w:rPr>
                <w:rFonts w:eastAsia="Cambria" w:cs="Cambria"/>
                <w:lang w:eastAsia="en-US"/>
              </w:rPr>
            </w:pPr>
            <w:r w:rsidRPr="00931280">
              <w:rPr>
                <w:rFonts w:eastAsia="Cambria" w:cs="Cambria"/>
                <w:lang w:eastAsia="en-US"/>
              </w:rPr>
              <w:t>With Moderation</w:t>
            </w:r>
          </w:p>
        </w:tc>
      </w:tr>
    </w:tbl>
    <w:p w14:paraId="08C6D2FE" w14:textId="77777777" w:rsidR="00AB5F83" w:rsidRPr="00931280" w:rsidRDefault="00AB5F83" w:rsidP="00AB5F83">
      <w:pPr>
        <w:spacing w:after="0" w:line="240" w:lineRule="auto"/>
        <w:jc w:val="center"/>
        <w:rPr>
          <w:rFonts w:eastAsia="Cambria" w:cs="Cambria"/>
          <w:sz w:val="20"/>
          <w:szCs w:val="20"/>
          <w:lang w:eastAsia="en-US"/>
        </w:rPr>
      </w:pPr>
      <w:bookmarkStart w:id="21" w:name="_ftqkd7u44mhy"/>
      <w:bookmarkEnd w:id="21"/>
      <w:r w:rsidRPr="00931280">
        <w:rPr>
          <w:rFonts w:eastAsia="Cambria" w:cs="Cambria"/>
          <w:sz w:val="20"/>
          <w:szCs w:val="20"/>
          <w:lang w:eastAsia="en-US"/>
        </w:rPr>
        <w:t>Sourced : Output SPSS, processed data (2024)</w:t>
      </w:r>
    </w:p>
    <w:p w14:paraId="4E990522" w14:textId="7DA20238" w:rsidR="00AB5F83" w:rsidRPr="00931280" w:rsidRDefault="00AB5F83" w:rsidP="00AB5F83">
      <w:pPr>
        <w:spacing w:after="0" w:line="240" w:lineRule="auto"/>
        <w:jc w:val="both"/>
        <w:rPr>
          <w:rFonts w:eastAsia="Cambria" w:cs="Cambria"/>
          <w:lang w:eastAsia="en-US"/>
        </w:rPr>
      </w:pPr>
      <w:r w:rsidRPr="00931280">
        <w:rPr>
          <w:rFonts w:eastAsia="Cambria" w:cs="Cambria"/>
          <w:lang w:eastAsia="en-US"/>
        </w:rPr>
        <w:t xml:space="preserve">Table 9 shows the </w:t>
      </w:r>
      <w:r w:rsidR="005A7938" w:rsidRPr="00931280">
        <w:rPr>
          <w:rFonts w:eastAsia="Cambria" w:cs="Cambria"/>
          <w:lang w:eastAsia="en-US"/>
        </w:rPr>
        <w:t>model ability</w:t>
      </w:r>
      <w:r w:rsidRPr="00931280">
        <w:rPr>
          <w:rFonts w:eastAsia="Cambria" w:cs="Cambria"/>
          <w:lang w:eastAsia="en-US"/>
        </w:rPr>
        <w:t xml:space="preserve"> to influence the dependent variable, named firm value proxied by PBV value through 2 models, namely with and without moderation. The first model without moderation consists of independent variables including IOS, Company Growth, and profitability which has a value of 16 percent. As for the second model using moderation, the Adjusted R Square value increases to 31.5 percent.  Based on these conditions, there is an increase of 15.5 percent due to the addition of moderation variables, where the second model shows more accurate results in explaining the relationship between variables because the model value </w:t>
      </w:r>
      <w:r w:rsidR="002D0FDA" w:rsidRPr="00931280">
        <w:rPr>
          <w:rFonts w:eastAsia="Cambria" w:cs="Cambria"/>
          <w:lang w:eastAsia="en-US"/>
        </w:rPr>
        <w:t>have more impact</w:t>
      </w:r>
      <w:r w:rsidRPr="00931280">
        <w:rPr>
          <w:rFonts w:eastAsia="Cambria" w:cs="Cambria"/>
          <w:lang w:eastAsia="en-US"/>
        </w:rPr>
        <w:t xml:space="preserve"> than the first model.</w:t>
      </w:r>
    </w:p>
    <w:p w14:paraId="5F66BF4B" w14:textId="43637F75" w:rsidR="00AB5F83" w:rsidRPr="00931280" w:rsidRDefault="00AB5F83" w:rsidP="00FD2E41">
      <w:pPr>
        <w:tabs>
          <w:tab w:val="left" w:pos="284"/>
        </w:tabs>
        <w:spacing w:after="0" w:line="240" w:lineRule="auto"/>
        <w:ind w:firstLine="284"/>
        <w:jc w:val="both"/>
        <w:rPr>
          <w:rFonts w:cs="Times New Roman"/>
          <w:lang w:eastAsia="en-US"/>
        </w:rPr>
      </w:pPr>
      <w:bookmarkStart w:id="22" w:name="_mgx0id7kgkrz"/>
      <w:bookmarkEnd w:id="22"/>
      <w:r w:rsidRPr="00931280">
        <w:rPr>
          <w:rFonts w:eastAsia="Cambria" w:cs="Cambria"/>
          <w:lang w:eastAsia="en-US"/>
        </w:rPr>
        <w:t>The goodness of Fit Model Testing (F Test) for measuring the regression</w:t>
      </w:r>
      <w:r w:rsidR="002D0FDA" w:rsidRPr="00931280">
        <w:rPr>
          <w:rFonts w:eastAsia="Cambria" w:cs="Cambria"/>
          <w:lang w:eastAsia="en-US"/>
        </w:rPr>
        <w:t xml:space="preserve"> accuracy</w:t>
      </w:r>
      <w:r w:rsidRPr="00931280">
        <w:rPr>
          <w:rFonts w:eastAsia="Cambria" w:cs="Cambria"/>
          <w:lang w:eastAsia="en-US"/>
        </w:rPr>
        <w:t xml:space="preserve"> model simultaneously fits in criteria or not. The measurement in this test assesses the model from the sig. value, the model is suitable if the value less</w:t>
      </w:r>
      <w:r w:rsidR="002D0FDA" w:rsidRPr="00931280">
        <w:rPr>
          <w:rFonts w:eastAsia="Cambria" w:cs="Cambria"/>
          <w:lang w:eastAsia="en-US"/>
        </w:rPr>
        <w:t>er</w:t>
      </w:r>
      <w:r w:rsidRPr="00931280">
        <w:rPr>
          <w:rFonts w:eastAsia="Cambria" w:cs="Cambria"/>
          <w:lang w:eastAsia="en-US"/>
        </w:rPr>
        <w:t xml:space="preserve"> than 0.05</w:t>
      </w:r>
      <w:r w:rsidR="00882C06" w:rsidRPr="00931280">
        <w:rPr>
          <w:rFonts w:eastAsia="Cambria" w:cs="Cambria"/>
          <w:lang w:eastAsia="en-US"/>
        </w:rPr>
        <w:t xml:space="preserve"> </w:t>
      </w:r>
      <w:r w:rsidR="00882C06" w:rsidRPr="00931280">
        <w:rPr>
          <w:rFonts w:eastAsia="Cambria" w:cs="Cambria"/>
          <w:lang w:eastAsia="en-US"/>
        </w:rPr>
        <w:fldChar w:fldCharType="begin"/>
      </w:r>
      <w:r w:rsidR="00882C06" w:rsidRPr="00931280">
        <w:rPr>
          <w:rFonts w:eastAsia="Cambria" w:cs="Cambria"/>
          <w:lang w:eastAsia="en-US"/>
        </w:rPr>
        <w:instrText xml:space="preserve"> ADDIN ZOTERO_ITEM CSL_CITATION {"citationID":"QrymWSF9","properties":{"formattedCitation":"(Ghozali, 2011)","plainCitation":"(Ghozali, 2011)","noteIndex":0},"citationItems":[{"id":75,"uris":["http://zotero.org/users/13925015/items/77J4E8DC"],"itemData":{"id":75,"type":"book","event-place":"Semarang","language":"id","publisher":"Universitas Diponegoro","publisher-place":"Semarang","title":"Aplikasi Analisis Multivariate dengan Program IBM SPSS 25","URL":"http://kin.perpusnas.go.id/DisplayData.aspx?pId=114343&amp;pRegionCode=UNTAR&amp;pClientId=650","author":[{"family":"Ghozali","given":"Imam","suffix":""}],"issued":{"date-parts":[["2011"]]}}}],"schema":"https://github.com/citation-style-language/schema/raw/master/csl-citation.json"} </w:instrText>
      </w:r>
      <w:r w:rsidR="00882C06" w:rsidRPr="00931280">
        <w:rPr>
          <w:rFonts w:eastAsia="Cambria" w:cs="Cambria"/>
          <w:lang w:eastAsia="en-US"/>
        </w:rPr>
        <w:fldChar w:fldCharType="separate"/>
      </w:r>
      <w:r w:rsidR="00882C06" w:rsidRPr="00931280">
        <w:t>(Ghozali, 2011)</w:t>
      </w:r>
      <w:r w:rsidR="00882C06" w:rsidRPr="00931280">
        <w:rPr>
          <w:rFonts w:eastAsia="Cambria" w:cs="Cambria"/>
          <w:lang w:eastAsia="en-US"/>
        </w:rPr>
        <w:fldChar w:fldCharType="end"/>
      </w:r>
      <w:r w:rsidRPr="00931280">
        <w:rPr>
          <w:rFonts w:eastAsia="Cambria" w:cs="Cambria"/>
          <w:lang w:eastAsia="en-US"/>
        </w:rPr>
        <w:t>.</w:t>
      </w:r>
      <w:bookmarkStart w:id="23" w:name="_8qnmh2bsn0bj"/>
      <w:bookmarkEnd w:id="23"/>
    </w:p>
    <w:p w14:paraId="03C58734" w14:textId="77777777" w:rsidR="00AB5F83" w:rsidRPr="00931280" w:rsidRDefault="00AB5F83" w:rsidP="00AB5F83">
      <w:pPr>
        <w:spacing w:after="0" w:line="240" w:lineRule="auto"/>
        <w:jc w:val="center"/>
        <w:rPr>
          <w:rFonts w:eastAsia="Cambria" w:cs="Cambria"/>
          <w:lang w:eastAsia="en-US"/>
        </w:rPr>
      </w:pPr>
      <w:r w:rsidRPr="00931280">
        <w:rPr>
          <w:rFonts w:eastAsia="Cambria" w:cs="Cambria"/>
          <w:b/>
          <w:lang w:eastAsia="en-US"/>
        </w:rPr>
        <w:t xml:space="preserve">Table 10 </w:t>
      </w:r>
      <w:r w:rsidRPr="00931280">
        <w:rPr>
          <w:rFonts w:eastAsia="Cambria" w:cs="Cambria"/>
          <w:lang w:eastAsia="en-US"/>
        </w:rPr>
        <w:t>F Test Results in Research</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66"/>
        <w:gridCol w:w="1080"/>
        <w:gridCol w:w="1869"/>
        <w:gridCol w:w="2981"/>
      </w:tblGrid>
      <w:tr w:rsidR="00AB5F83" w:rsidRPr="00931280" w14:paraId="04319952" w14:textId="77777777" w:rsidTr="00FD2E41">
        <w:tc>
          <w:tcPr>
            <w:tcW w:w="1276" w:type="dxa"/>
            <w:tcBorders>
              <w:top w:val="single" w:sz="8" w:space="0" w:color="000000"/>
              <w:left w:val="nil"/>
              <w:bottom w:val="single" w:sz="8" w:space="0" w:color="000000"/>
              <w:right w:val="nil"/>
            </w:tcBorders>
            <w:tcMar>
              <w:top w:w="100" w:type="dxa"/>
              <w:left w:w="100" w:type="dxa"/>
              <w:bottom w:w="100" w:type="dxa"/>
              <w:right w:w="100" w:type="dxa"/>
            </w:tcMar>
            <w:hideMark/>
          </w:tcPr>
          <w:p w14:paraId="4BE07908" w14:textId="5F84E7A8"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Model</w:t>
            </w:r>
            <w:r w:rsidR="003D623C">
              <w:rPr>
                <w:rFonts w:eastAsia="Cambria" w:cs="Cambria"/>
                <w:lang w:eastAsia="en-US"/>
              </w:rPr>
              <w:t>s</w:t>
            </w:r>
          </w:p>
        </w:tc>
        <w:tc>
          <w:tcPr>
            <w:tcW w:w="1866" w:type="dxa"/>
            <w:tcBorders>
              <w:top w:val="single" w:sz="8" w:space="0" w:color="000000"/>
              <w:left w:val="nil"/>
              <w:bottom w:val="single" w:sz="8" w:space="0" w:color="000000"/>
              <w:right w:val="nil"/>
            </w:tcBorders>
            <w:tcMar>
              <w:top w:w="100" w:type="dxa"/>
              <w:left w:w="100" w:type="dxa"/>
              <w:bottom w:w="100" w:type="dxa"/>
              <w:right w:w="100" w:type="dxa"/>
            </w:tcMar>
          </w:tcPr>
          <w:p w14:paraId="7D900903" w14:textId="77777777" w:rsidR="00AB5F83" w:rsidRPr="00931280" w:rsidRDefault="00AB5F83" w:rsidP="00AB5F83">
            <w:pPr>
              <w:widowControl w:val="0"/>
              <w:spacing w:after="0" w:line="240" w:lineRule="auto"/>
              <w:jc w:val="center"/>
              <w:rPr>
                <w:rFonts w:eastAsia="Cambria" w:cs="Cambria"/>
                <w:lang w:eastAsia="en-US"/>
              </w:rPr>
            </w:pPr>
          </w:p>
        </w:tc>
        <w:tc>
          <w:tcPr>
            <w:tcW w:w="1080" w:type="dxa"/>
            <w:tcBorders>
              <w:top w:val="single" w:sz="8" w:space="0" w:color="000000"/>
              <w:left w:val="nil"/>
              <w:bottom w:val="single" w:sz="8" w:space="0" w:color="000000"/>
              <w:right w:val="nil"/>
            </w:tcBorders>
            <w:tcMar>
              <w:top w:w="100" w:type="dxa"/>
              <w:left w:w="100" w:type="dxa"/>
              <w:bottom w:w="100" w:type="dxa"/>
              <w:right w:w="100" w:type="dxa"/>
            </w:tcMar>
            <w:hideMark/>
          </w:tcPr>
          <w:p w14:paraId="19B6A184"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F</w:t>
            </w:r>
          </w:p>
        </w:tc>
        <w:tc>
          <w:tcPr>
            <w:tcW w:w="1869" w:type="dxa"/>
            <w:tcBorders>
              <w:top w:val="single" w:sz="8" w:space="0" w:color="000000"/>
              <w:left w:val="nil"/>
              <w:bottom w:val="single" w:sz="8" w:space="0" w:color="000000"/>
              <w:right w:val="nil"/>
            </w:tcBorders>
            <w:tcMar>
              <w:top w:w="100" w:type="dxa"/>
              <w:left w:w="100" w:type="dxa"/>
              <w:bottom w:w="100" w:type="dxa"/>
              <w:right w:w="100" w:type="dxa"/>
            </w:tcMar>
            <w:hideMark/>
          </w:tcPr>
          <w:p w14:paraId="0E5F0E50"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Sig.</w:t>
            </w:r>
          </w:p>
        </w:tc>
        <w:tc>
          <w:tcPr>
            <w:tcW w:w="2981" w:type="dxa"/>
            <w:tcBorders>
              <w:top w:val="single" w:sz="8" w:space="0" w:color="000000"/>
              <w:left w:val="nil"/>
              <w:bottom w:val="single" w:sz="8" w:space="0" w:color="000000"/>
              <w:right w:val="nil"/>
            </w:tcBorders>
            <w:tcMar>
              <w:top w:w="100" w:type="dxa"/>
              <w:left w:w="100" w:type="dxa"/>
              <w:bottom w:w="100" w:type="dxa"/>
              <w:right w:w="100" w:type="dxa"/>
            </w:tcMar>
            <w:hideMark/>
          </w:tcPr>
          <w:p w14:paraId="6FB4BFDE"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Information</w:t>
            </w:r>
          </w:p>
        </w:tc>
      </w:tr>
      <w:tr w:rsidR="00AB5F83" w:rsidRPr="00931280" w14:paraId="5BFC317A" w14:textId="77777777" w:rsidTr="00FD2E41">
        <w:tc>
          <w:tcPr>
            <w:tcW w:w="1276" w:type="dxa"/>
            <w:tcBorders>
              <w:top w:val="single" w:sz="8" w:space="0" w:color="000000"/>
              <w:left w:val="nil"/>
              <w:bottom w:val="nil"/>
              <w:right w:val="nil"/>
            </w:tcBorders>
            <w:tcMar>
              <w:top w:w="100" w:type="dxa"/>
              <w:left w:w="100" w:type="dxa"/>
              <w:bottom w:w="100" w:type="dxa"/>
              <w:right w:w="100" w:type="dxa"/>
            </w:tcMar>
            <w:hideMark/>
          </w:tcPr>
          <w:p w14:paraId="7DD38107"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1</w:t>
            </w:r>
          </w:p>
        </w:tc>
        <w:tc>
          <w:tcPr>
            <w:tcW w:w="1866" w:type="dxa"/>
            <w:tcBorders>
              <w:top w:val="single" w:sz="8" w:space="0" w:color="000000"/>
              <w:left w:val="nil"/>
              <w:bottom w:val="nil"/>
              <w:right w:val="nil"/>
            </w:tcBorders>
            <w:tcMar>
              <w:top w:w="100" w:type="dxa"/>
              <w:left w:w="100" w:type="dxa"/>
              <w:bottom w:w="100" w:type="dxa"/>
              <w:right w:w="100" w:type="dxa"/>
            </w:tcMar>
            <w:hideMark/>
          </w:tcPr>
          <w:p w14:paraId="3609EA1F" w14:textId="3B14DDB9"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Regression</w:t>
            </w:r>
            <w:r w:rsidR="00FD2E41" w:rsidRPr="00931280">
              <w:rPr>
                <w:rFonts w:eastAsia="Cambria" w:cs="Cambria"/>
                <w:lang w:eastAsia="en-US"/>
              </w:rPr>
              <w:t xml:space="preserve"> Residual</w:t>
            </w:r>
          </w:p>
        </w:tc>
        <w:tc>
          <w:tcPr>
            <w:tcW w:w="1080" w:type="dxa"/>
            <w:tcBorders>
              <w:top w:val="single" w:sz="8" w:space="0" w:color="000000"/>
              <w:left w:val="nil"/>
              <w:bottom w:val="nil"/>
              <w:right w:val="nil"/>
            </w:tcBorders>
            <w:tcMar>
              <w:top w:w="100" w:type="dxa"/>
              <w:left w:w="100" w:type="dxa"/>
              <w:bottom w:w="100" w:type="dxa"/>
              <w:right w:w="100" w:type="dxa"/>
            </w:tcMar>
            <w:hideMark/>
          </w:tcPr>
          <w:p w14:paraId="3567756A"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8,134</w:t>
            </w:r>
          </w:p>
        </w:tc>
        <w:tc>
          <w:tcPr>
            <w:tcW w:w="1869" w:type="dxa"/>
            <w:tcBorders>
              <w:top w:val="single" w:sz="8" w:space="0" w:color="000000"/>
              <w:left w:val="nil"/>
              <w:bottom w:val="nil"/>
              <w:right w:val="nil"/>
            </w:tcBorders>
            <w:tcMar>
              <w:top w:w="100" w:type="dxa"/>
              <w:left w:w="100" w:type="dxa"/>
              <w:bottom w:w="100" w:type="dxa"/>
              <w:right w:w="100" w:type="dxa"/>
            </w:tcMar>
            <w:hideMark/>
          </w:tcPr>
          <w:p w14:paraId="5D10284A"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&lt; 0,001</w:t>
            </w:r>
          </w:p>
        </w:tc>
        <w:tc>
          <w:tcPr>
            <w:tcW w:w="2981" w:type="dxa"/>
            <w:tcBorders>
              <w:top w:val="single" w:sz="8" w:space="0" w:color="000000"/>
              <w:left w:val="nil"/>
              <w:bottom w:val="nil"/>
              <w:right w:val="nil"/>
            </w:tcBorders>
            <w:tcMar>
              <w:top w:w="100" w:type="dxa"/>
              <w:left w:w="100" w:type="dxa"/>
              <w:bottom w:w="100" w:type="dxa"/>
              <w:right w:w="100" w:type="dxa"/>
            </w:tcMar>
            <w:hideMark/>
          </w:tcPr>
          <w:p w14:paraId="4FE69558"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Without moderation</w:t>
            </w:r>
          </w:p>
        </w:tc>
      </w:tr>
      <w:tr w:rsidR="00AB5F83" w:rsidRPr="00931280" w14:paraId="2BC17905" w14:textId="77777777" w:rsidTr="00FD2E41">
        <w:tc>
          <w:tcPr>
            <w:tcW w:w="1276" w:type="dxa"/>
            <w:tcBorders>
              <w:top w:val="nil"/>
              <w:left w:val="nil"/>
              <w:bottom w:val="single" w:sz="4" w:space="0" w:color="auto"/>
              <w:right w:val="nil"/>
            </w:tcBorders>
            <w:tcMar>
              <w:top w:w="100" w:type="dxa"/>
              <w:left w:w="100" w:type="dxa"/>
              <w:bottom w:w="100" w:type="dxa"/>
              <w:right w:w="100" w:type="dxa"/>
            </w:tcMar>
            <w:hideMark/>
          </w:tcPr>
          <w:p w14:paraId="6B0A5E47"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2</w:t>
            </w:r>
          </w:p>
        </w:tc>
        <w:tc>
          <w:tcPr>
            <w:tcW w:w="1866" w:type="dxa"/>
            <w:tcBorders>
              <w:top w:val="nil"/>
              <w:left w:val="nil"/>
              <w:bottom w:val="single" w:sz="4" w:space="0" w:color="auto"/>
              <w:right w:val="nil"/>
            </w:tcBorders>
            <w:tcMar>
              <w:top w:w="100" w:type="dxa"/>
              <w:left w:w="100" w:type="dxa"/>
              <w:bottom w:w="100" w:type="dxa"/>
              <w:right w:w="100" w:type="dxa"/>
            </w:tcMar>
            <w:hideMark/>
          </w:tcPr>
          <w:p w14:paraId="07CFC26E" w14:textId="5F400C71"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Regression</w:t>
            </w:r>
            <w:r w:rsidR="00FD2E41" w:rsidRPr="00931280">
              <w:rPr>
                <w:rFonts w:eastAsia="Cambria" w:cs="Cambria"/>
                <w:lang w:eastAsia="en-US"/>
              </w:rPr>
              <w:t xml:space="preserve"> Residual</w:t>
            </w:r>
          </w:p>
        </w:tc>
        <w:tc>
          <w:tcPr>
            <w:tcW w:w="1080" w:type="dxa"/>
            <w:tcBorders>
              <w:top w:val="nil"/>
              <w:left w:val="nil"/>
              <w:bottom w:val="single" w:sz="4" w:space="0" w:color="auto"/>
              <w:right w:val="nil"/>
            </w:tcBorders>
            <w:tcMar>
              <w:top w:w="100" w:type="dxa"/>
              <w:left w:w="100" w:type="dxa"/>
              <w:bottom w:w="100" w:type="dxa"/>
              <w:right w:w="100" w:type="dxa"/>
            </w:tcMar>
            <w:hideMark/>
          </w:tcPr>
          <w:p w14:paraId="4862BA85"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8,035</w:t>
            </w:r>
          </w:p>
        </w:tc>
        <w:tc>
          <w:tcPr>
            <w:tcW w:w="1869" w:type="dxa"/>
            <w:tcBorders>
              <w:top w:val="nil"/>
              <w:left w:val="nil"/>
              <w:bottom w:val="single" w:sz="4" w:space="0" w:color="auto"/>
              <w:right w:val="nil"/>
            </w:tcBorders>
            <w:tcMar>
              <w:top w:w="100" w:type="dxa"/>
              <w:left w:w="100" w:type="dxa"/>
              <w:bottom w:w="100" w:type="dxa"/>
              <w:right w:w="100" w:type="dxa"/>
            </w:tcMar>
            <w:hideMark/>
          </w:tcPr>
          <w:p w14:paraId="0E9A61E0"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&lt; 0,001</w:t>
            </w:r>
          </w:p>
        </w:tc>
        <w:tc>
          <w:tcPr>
            <w:tcW w:w="2981" w:type="dxa"/>
            <w:tcBorders>
              <w:top w:val="nil"/>
              <w:left w:val="nil"/>
              <w:bottom w:val="single" w:sz="4" w:space="0" w:color="auto"/>
              <w:right w:val="nil"/>
            </w:tcBorders>
            <w:tcMar>
              <w:top w:w="100" w:type="dxa"/>
              <w:left w:w="100" w:type="dxa"/>
              <w:bottom w:w="100" w:type="dxa"/>
              <w:right w:w="100" w:type="dxa"/>
            </w:tcMar>
            <w:hideMark/>
          </w:tcPr>
          <w:p w14:paraId="53A994E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With moderation</w:t>
            </w:r>
          </w:p>
        </w:tc>
      </w:tr>
    </w:tbl>
    <w:p w14:paraId="482B5F2D" w14:textId="77777777" w:rsidR="00AB5F83" w:rsidRPr="00931280" w:rsidRDefault="00AB5F83" w:rsidP="00AB5F83">
      <w:pPr>
        <w:spacing w:after="0" w:line="240" w:lineRule="auto"/>
        <w:jc w:val="center"/>
        <w:rPr>
          <w:rFonts w:eastAsia="Cambria" w:cs="Cambria"/>
          <w:sz w:val="20"/>
          <w:szCs w:val="20"/>
          <w:lang w:eastAsia="en-US"/>
        </w:rPr>
      </w:pPr>
      <w:bookmarkStart w:id="24" w:name="_hmqtkj1i9qb5"/>
      <w:bookmarkEnd w:id="24"/>
      <w:r w:rsidRPr="00931280">
        <w:rPr>
          <w:rFonts w:eastAsia="Cambria" w:cs="Cambria"/>
          <w:sz w:val="20"/>
          <w:szCs w:val="20"/>
          <w:lang w:eastAsia="en-US"/>
        </w:rPr>
        <w:t>Sourced : Output SPSS, processed data (2024)</w:t>
      </w:r>
    </w:p>
    <w:p w14:paraId="42EF0CE0" w14:textId="77777777" w:rsidR="00AB5F83" w:rsidRPr="00931280" w:rsidRDefault="00AB5F83" w:rsidP="00AB5F83">
      <w:pPr>
        <w:spacing w:after="0" w:line="240" w:lineRule="auto"/>
        <w:jc w:val="both"/>
        <w:rPr>
          <w:rFonts w:eastAsia="Cambria" w:cs="Cambria"/>
          <w:lang w:eastAsia="en-US"/>
        </w:rPr>
      </w:pPr>
      <w:bookmarkStart w:id="25" w:name="_bgbso5yg3og"/>
      <w:bookmarkEnd w:id="25"/>
      <w:r w:rsidRPr="00931280">
        <w:rPr>
          <w:rFonts w:eastAsia="Cambria" w:cs="Cambria"/>
          <w:lang w:eastAsia="en-US"/>
        </w:rPr>
        <w:t xml:space="preserve">Based on the F-test fit model test, both regression models both without moderation and with moderation have a significance value below 0.05 or 5 percent so both regression models are suitable for use in predicting the dependent variable or firm value. </w:t>
      </w:r>
    </w:p>
    <w:p w14:paraId="67CDCACF" w14:textId="47C44074" w:rsidR="00AB5F83" w:rsidRPr="00931280" w:rsidRDefault="00AB5F83" w:rsidP="00AB5F83">
      <w:pPr>
        <w:spacing w:after="0" w:line="240" w:lineRule="auto"/>
        <w:jc w:val="both"/>
        <w:rPr>
          <w:rFonts w:eastAsia="Cambria" w:cs="Cambria"/>
          <w:b/>
          <w:lang w:eastAsia="en-US"/>
        </w:rPr>
      </w:pPr>
      <w:bookmarkStart w:id="26" w:name="_fa6vfehzyc2c"/>
      <w:bookmarkEnd w:id="26"/>
      <w:r w:rsidRPr="00931280">
        <w:rPr>
          <w:rFonts w:eastAsia="Cambria" w:cs="Cambria"/>
          <w:lang w:eastAsia="en-US"/>
        </w:rPr>
        <w:tab/>
        <w:t xml:space="preserve">T-test define how independent variable's ability influences the dependent one. Through a significance value criterion of 5 percent, </w:t>
      </w:r>
      <w:r w:rsidR="00BC4BB5" w:rsidRPr="00931280">
        <w:rPr>
          <w:rFonts w:eastAsia="Cambria" w:cs="Cambria"/>
          <w:lang w:eastAsia="en-US"/>
        </w:rPr>
        <w:t xml:space="preserve">Ghozali (2011) </w:t>
      </w:r>
      <w:r w:rsidRPr="00931280">
        <w:rPr>
          <w:rFonts w:eastAsia="Cambria" w:cs="Cambria"/>
          <w:lang w:eastAsia="en-US"/>
        </w:rPr>
        <w:t xml:space="preserve">states, that the basic criteria for decision-making are the sig. &lt;0.05 implies that there is an influence among independent, moderating and dependent variables.  </w:t>
      </w:r>
    </w:p>
    <w:p w14:paraId="5CEA5471" w14:textId="77777777" w:rsidR="00AB5F83" w:rsidRPr="00931280" w:rsidRDefault="00AB5F83" w:rsidP="00AB5F83">
      <w:pPr>
        <w:spacing w:after="0" w:line="240" w:lineRule="auto"/>
        <w:rPr>
          <w:rFonts w:eastAsia="Cambria" w:cs="Cambria"/>
          <w:b/>
          <w:lang w:eastAsia="en-US"/>
        </w:rPr>
      </w:pPr>
      <w:r w:rsidRPr="00931280">
        <w:rPr>
          <w:rFonts w:eastAsia="Cambria" w:cs="Cambria"/>
          <w:b/>
          <w:lang w:eastAsia="en-US"/>
        </w:rPr>
        <w:br w:type="page"/>
      </w:r>
      <w:bookmarkStart w:id="27" w:name="_gtir2if5qw6b"/>
      <w:bookmarkEnd w:id="27"/>
    </w:p>
    <w:p w14:paraId="24B66CD0" w14:textId="77777777" w:rsidR="00AB5F83" w:rsidRPr="00931280" w:rsidRDefault="00AB5F83" w:rsidP="00AB5F83">
      <w:pPr>
        <w:spacing w:after="0" w:line="240" w:lineRule="auto"/>
        <w:jc w:val="center"/>
        <w:rPr>
          <w:rFonts w:eastAsia="Cambria" w:cs="Cambria"/>
          <w:lang w:eastAsia="en-US"/>
        </w:rPr>
      </w:pPr>
      <w:r w:rsidRPr="00931280">
        <w:rPr>
          <w:rFonts w:eastAsia="Cambria" w:cs="Cambria"/>
          <w:b/>
          <w:lang w:eastAsia="en-US"/>
        </w:rPr>
        <w:lastRenderedPageBreak/>
        <w:t xml:space="preserve">Table 11 </w:t>
      </w:r>
      <w:r w:rsidRPr="00931280">
        <w:rPr>
          <w:rFonts w:eastAsia="Cambria" w:cs="Cambria"/>
          <w:lang w:eastAsia="en-US"/>
        </w:rPr>
        <w:t>T-test results</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1275"/>
        <w:gridCol w:w="1843"/>
        <w:gridCol w:w="1418"/>
        <w:gridCol w:w="1559"/>
        <w:gridCol w:w="850"/>
        <w:gridCol w:w="993"/>
      </w:tblGrid>
      <w:tr w:rsidR="00AB5F83" w:rsidRPr="00931280" w14:paraId="376BE5B1" w14:textId="77777777" w:rsidTr="006C326C">
        <w:trPr>
          <w:trHeight w:val="274"/>
        </w:trPr>
        <w:tc>
          <w:tcPr>
            <w:tcW w:w="993" w:type="dxa"/>
            <w:vMerge w:val="restart"/>
            <w:tcBorders>
              <w:top w:val="single" w:sz="8" w:space="0" w:color="000000"/>
              <w:left w:val="nil"/>
              <w:bottom w:val="single" w:sz="8" w:space="0" w:color="000000"/>
              <w:right w:val="nil"/>
            </w:tcBorders>
            <w:tcMar>
              <w:top w:w="100" w:type="dxa"/>
              <w:left w:w="100" w:type="dxa"/>
              <w:bottom w:w="100" w:type="dxa"/>
              <w:right w:w="100" w:type="dxa"/>
            </w:tcMar>
            <w:vAlign w:val="center"/>
            <w:hideMark/>
          </w:tcPr>
          <w:p w14:paraId="05792169" w14:textId="1998497C"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Model</w:t>
            </w:r>
            <w:r w:rsidR="006C326C">
              <w:rPr>
                <w:rFonts w:eastAsia="Cambria" w:cs="Cambria"/>
                <w:lang w:eastAsia="en-US"/>
              </w:rPr>
              <w:t>s</w:t>
            </w:r>
          </w:p>
        </w:tc>
        <w:tc>
          <w:tcPr>
            <w:tcW w:w="1275" w:type="dxa"/>
            <w:vMerge w:val="restart"/>
            <w:tcBorders>
              <w:top w:val="single" w:sz="8" w:space="0" w:color="000000"/>
              <w:left w:val="nil"/>
              <w:bottom w:val="single" w:sz="8" w:space="0" w:color="000000"/>
              <w:right w:val="nil"/>
            </w:tcBorders>
            <w:tcMar>
              <w:top w:w="100" w:type="dxa"/>
              <w:left w:w="100" w:type="dxa"/>
              <w:bottom w:w="100" w:type="dxa"/>
              <w:right w:w="100" w:type="dxa"/>
            </w:tcMar>
            <w:vAlign w:val="center"/>
          </w:tcPr>
          <w:p w14:paraId="13037551" w14:textId="77777777" w:rsidR="00AB5F83" w:rsidRPr="00931280" w:rsidRDefault="00AB5F83" w:rsidP="00AB5F83">
            <w:pPr>
              <w:widowControl w:val="0"/>
              <w:spacing w:after="0" w:line="240" w:lineRule="auto"/>
              <w:jc w:val="center"/>
              <w:rPr>
                <w:rFonts w:eastAsia="Cambria" w:cs="Cambria"/>
                <w:lang w:eastAsia="en-US"/>
              </w:rPr>
            </w:pPr>
          </w:p>
        </w:tc>
        <w:tc>
          <w:tcPr>
            <w:tcW w:w="1843" w:type="dxa"/>
            <w:tcBorders>
              <w:top w:val="single" w:sz="8" w:space="0" w:color="000000"/>
              <w:left w:val="nil"/>
              <w:bottom w:val="single" w:sz="8" w:space="0" w:color="000000"/>
              <w:right w:val="nil"/>
            </w:tcBorders>
            <w:tcMar>
              <w:top w:w="100" w:type="dxa"/>
              <w:left w:w="100" w:type="dxa"/>
              <w:bottom w:w="100" w:type="dxa"/>
              <w:right w:w="100" w:type="dxa"/>
            </w:tcMar>
            <w:vAlign w:val="center"/>
            <w:hideMark/>
          </w:tcPr>
          <w:p w14:paraId="06B85270"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Unstandardized</w:t>
            </w:r>
          </w:p>
        </w:tc>
        <w:tc>
          <w:tcPr>
            <w:tcW w:w="1418" w:type="dxa"/>
            <w:tcBorders>
              <w:top w:val="single" w:sz="8" w:space="0" w:color="000000"/>
              <w:left w:val="nil"/>
              <w:bottom w:val="single" w:sz="8" w:space="0" w:color="000000"/>
              <w:right w:val="nil"/>
            </w:tcBorders>
            <w:tcMar>
              <w:top w:w="100" w:type="dxa"/>
              <w:left w:w="100" w:type="dxa"/>
              <w:bottom w:w="100" w:type="dxa"/>
              <w:right w:w="100" w:type="dxa"/>
            </w:tcMar>
            <w:vAlign w:val="center"/>
            <w:hideMark/>
          </w:tcPr>
          <w:p w14:paraId="683F3407"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Coefficients</w:t>
            </w:r>
          </w:p>
        </w:tc>
        <w:tc>
          <w:tcPr>
            <w:tcW w:w="1559" w:type="dxa"/>
            <w:tcBorders>
              <w:top w:val="single" w:sz="8" w:space="0" w:color="000000"/>
              <w:left w:val="nil"/>
              <w:bottom w:val="single" w:sz="8" w:space="0" w:color="000000"/>
              <w:right w:val="nil"/>
            </w:tcBorders>
            <w:tcMar>
              <w:top w:w="100" w:type="dxa"/>
              <w:left w:w="100" w:type="dxa"/>
              <w:bottom w:w="100" w:type="dxa"/>
              <w:right w:w="100" w:type="dxa"/>
            </w:tcMar>
            <w:vAlign w:val="center"/>
            <w:hideMark/>
          </w:tcPr>
          <w:p w14:paraId="5BBBEA3A"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Standardised Coefficients</w:t>
            </w:r>
          </w:p>
        </w:tc>
        <w:tc>
          <w:tcPr>
            <w:tcW w:w="850" w:type="dxa"/>
            <w:vMerge w:val="restart"/>
            <w:tcBorders>
              <w:top w:val="single" w:sz="8" w:space="0" w:color="000000"/>
              <w:left w:val="nil"/>
              <w:bottom w:val="single" w:sz="8" w:space="0" w:color="000000"/>
              <w:right w:val="nil"/>
            </w:tcBorders>
            <w:tcMar>
              <w:top w:w="100" w:type="dxa"/>
              <w:left w:w="100" w:type="dxa"/>
              <w:bottom w:w="100" w:type="dxa"/>
              <w:right w:w="100" w:type="dxa"/>
            </w:tcMar>
            <w:hideMark/>
          </w:tcPr>
          <w:p w14:paraId="53158C4F"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T</w:t>
            </w:r>
          </w:p>
        </w:tc>
        <w:tc>
          <w:tcPr>
            <w:tcW w:w="993" w:type="dxa"/>
            <w:vMerge w:val="restart"/>
            <w:tcBorders>
              <w:top w:val="single" w:sz="8" w:space="0" w:color="000000"/>
              <w:left w:val="nil"/>
              <w:bottom w:val="single" w:sz="8" w:space="0" w:color="000000"/>
              <w:right w:val="nil"/>
            </w:tcBorders>
            <w:tcMar>
              <w:top w:w="100" w:type="dxa"/>
              <w:left w:w="100" w:type="dxa"/>
              <w:bottom w:w="100" w:type="dxa"/>
              <w:right w:w="100" w:type="dxa"/>
            </w:tcMar>
            <w:hideMark/>
          </w:tcPr>
          <w:p w14:paraId="7CB49959"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Sig.</w:t>
            </w:r>
          </w:p>
        </w:tc>
      </w:tr>
      <w:tr w:rsidR="00AB5F83" w:rsidRPr="00931280" w14:paraId="30082647" w14:textId="77777777" w:rsidTr="006C326C">
        <w:trPr>
          <w:trHeight w:val="274"/>
        </w:trPr>
        <w:tc>
          <w:tcPr>
            <w:tcW w:w="993" w:type="dxa"/>
            <w:vMerge/>
            <w:tcBorders>
              <w:top w:val="single" w:sz="8" w:space="0" w:color="000000"/>
              <w:left w:val="nil"/>
              <w:bottom w:val="single" w:sz="8" w:space="0" w:color="000000"/>
              <w:right w:val="nil"/>
            </w:tcBorders>
            <w:vAlign w:val="center"/>
            <w:hideMark/>
          </w:tcPr>
          <w:p w14:paraId="4157829B" w14:textId="77777777" w:rsidR="00AB5F83" w:rsidRPr="00931280" w:rsidRDefault="00AB5F83" w:rsidP="00AB5F83">
            <w:pPr>
              <w:spacing w:after="0" w:line="240" w:lineRule="auto"/>
              <w:rPr>
                <w:rFonts w:eastAsia="Cambria" w:cs="Cambria"/>
                <w:lang w:eastAsia="en-US"/>
              </w:rPr>
            </w:pPr>
          </w:p>
        </w:tc>
        <w:tc>
          <w:tcPr>
            <w:tcW w:w="1275" w:type="dxa"/>
            <w:vMerge/>
            <w:tcBorders>
              <w:top w:val="single" w:sz="8" w:space="0" w:color="000000"/>
              <w:left w:val="nil"/>
              <w:bottom w:val="single" w:sz="8" w:space="0" w:color="000000"/>
              <w:right w:val="nil"/>
            </w:tcBorders>
            <w:vAlign w:val="center"/>
            <w:hideMark/>
          </w:tcPr>
          <w:p w14:paraId="553A3CD7" w14:textId="77777777" w:rsidR="00AB5F83" w:rsidRPr="00931280" w:rsidRDefault="00AB5F83" w:rsidP="00AB5F83">
            <w:pPr>
              <w:spacing w:after="0" w:line="240" w:lineRule="auto"/>
              <w:rPr>
                <w:rFonts w:eastAsia="Cambria" w:cs="Cambria"/>
                <w:lang w:eastAsia="en-US"/>
              </w:rPr>
            </w:pPr>
          </w:p>
        </w:tc>
        <w:tc>
          <w:tcPr>
            <w:tcW w:w="1843" w:type="dxa"/>
            <w:tcBorders>
              <w:top w:val="single" w:sz="8" w:space="0" w:color="000000"/>
              <w:left w:val="nil"/>
              <w:bottom w:val="single" w:sz="8" w:space="0" w:color="000000"/>
              <w:right w:val="nil"/>
            </w:tcBorders>
            <w:tcMar>
              <w:top w:w="100" w:type="dxa"/>
              <w:left w:w="100" w:type="dxa"/>
              <w:bottom w:w="100" w:type="dxa"/>
              <w:right w:w="100" w:type="dxa"/>
            </w:tcMar>
            <w:vAlign w:val="center"/>
            <w:hideMark/>
          </w:tcPr>
          <w:p w14:paraId="363CD75A"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B</w:t>
            </w:r>
          </w:p>
        </w:tc>
        <w:tc>
          <w:tcPr>
            <w:tcW w:w="1418" w:type="dxa"/>
            <w:tcBorders>
              <w:top w:val="single" w:sz="8" w:space="0" w:color="000000"/>
              <w:left w:val="nil"/>
              <w:bottom w:val="single" w:sz="8" w:space="0" w:color="000000"/>
              <w:right w:val="nil"/>
            </w:tcBorders>
            <w:tcMar>
              <w:top w:w="100" w:type="dxa"/>
              <w:left w:w="100" w:type="dxa"/>
              <w:bottom w:w="100" w:type="dxa"/>
              <w:right w:w="100" w:type="dxa"/>
            </w:tcMar>
            <w:vAlign w:val="center"/>
            <w:hideMark/>
          </w:tcPr>
          <w:p w14:paraId="571E69F7" w14:textId="3415BB2B"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Std. Err</w:t>
            </w:r>
            <w:r w:rsidR="00543F1A" w:rsidRPr="00931280">
              <w:rPr>
                <w:rFonts w:eastAsia="Cambria" w:cs="Cambria"/>
                <w:lang w:eastAsia="en-US"/>
              </w:rPr>
              <w:t>or</w:t>
            </w:r>
          </w:p>
        </w:tc>
        <w:tc>
          <w:tcPr>
            <w:tcW w:w="1559" w:type="dxa"/>
            <w:tcBorders>
              <w:top w:val="single" w:sz="8" w:space="0" w:color="000000"/>
              <w:left w:val="nil"/>
              <w:bottom w:val="single" w:sz="8" w:space="0" w:color="000000"/>
              <w:right w:val="nil"/>
            </w:tcBorders>
            <w:tcMar>
              <w:top w:w="100" w:type="dxa"/>
              <w:left w:w="100" w:type="dxa"/>
              <w:bottom w:w="100" w:type="dxa"/>
              <w:right w:w="100" w:type="dxa"/>
            </w:tcMar>
            <w:vAlign w:val="center"/>
            <w:hideMark/>
          </w:tcPr>
          <w:p w14:paraId="44D41381"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Beta</w:t>
            </w:r>
          </w:p>
        </w:tc>
        <w:tc>
          <w:tcPr>
            <w:tcW w:w="850" w:type="dxa"/>
            <w:vMerge/>
            <w:tcBorders>
              <w:top w:val="single" w:sz="8" w:space="0" w:color="000000"/>
              <w:left w:val="nil"/>
              <w:bottom w:val="single" w:sz="8" w:space="0" w:color="000000"/>
              <w:right w:val="nil"/>
            </w:tcBorders>
            <w:vAlign w:val="center"/>
            <w:hideMark/>
          </w:tcPr>
          <w:p w14:paraId="16FD0F7C" w14:textId="77777777" w:rsidR="00AB5F83" w:rsidRPr="00931280" w:rsidRDefault="00AB5F83" w:rsidP="00AB5F83">
            <w:pPr>
              <w:spacing w:after="0" w:line="240" w:lineRule="auto"/>
              <w:rPr>
                <w:rFonts w:eastAsia="Cambria" w:cs="Cambria"/>
                <w:lang w:eastAsia="en-US"/>
              </w:rPr>
            </w:pPr>
          </w:p>
        </w:tc>
        <w:tc>
          <w:tcPr>
            <w:tcW w:w="993" w:type="dxa"/>
            <w:vMerge/>
            <w:tcBorders>
              <w:top w:val="single" w:sz="8" w:space="0" w:color="000000"/>
              <w:left w:val="nil"/>
              <w:bottom w:val="single" w:sz="8" w:space="0" w:color="000000"/>
              <w:right w:val="nil"/>
            </w:tcBorders>
            <w:vAlign w:val="center"/>
            <w:hideMark/>
          </w:tcPr>
          <w:p w14:paraId="0547D6CD" w14:textId="77777777" w:rsidR="00AB5F83" w:rsidRPr="00931280" w:rsidRDefault="00AB5F83" w:rsidP="00AB5F83">
            <w:pPr>
              <w:spacing w:after="0" w:line="240" w:lineRule="auto"/>
              <w:rPr>
                <w:rFonts w:eastAsia="Cambria" w:cs="Cambria"/>
                <w:lang w:eastAsia="en-US"/>
              </w:rPr>
            </w:pPr>
          </w:p>
        </w:tc>
      </w:tr>
      <w:tr w:rsidR="00AB5F83" w:rsidRPr="00931280" w14:paraId="5715B09B" w14:textId="77777777" w:rsidTr="006C326C">
        <w:trPr>
          <w:trHeight w:val="255"/>
        </w:trPr>
        <w:tc>
          <w:tcPr>
            <w:tcW w:w="993" w:type="dxa"/>
            <w:tcBorders>
              <w:top w:val="single" w:sz="8" w:space="0" w:color="000000"/>
              <w:left w:val="nil"/>
              <w:bottom w:val="nil"/>
              <w:right w:val="nil"/>
            </w:tcBorders>
            <w:tcMar>
              <w:top w:w="100" w:type="dxa"/>
              <w:left w:w="100" w:type="dxa"/>
              <w:bottom w:w="100" w:type="dxa"/>
              <w:right w:w="100" w:type="dxa"/>
            </w:tcMar>
            <w:hideMark/>
          </w:tcPr>
          <w:p w14:paraId="43B14749"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1</w:t>
            </w:r>
          </w:p>
        </w:tc>
        <w:tc>
          <w:tcPr>
            <w:tcW w:w="1275" w:type="dxa"/>
            <w:tcBorders>
              <w:top w:val="single" w:sz="8" w:space="0" w:color="000000"/>
              <w:left w:val="nil"/>
              <w:bottom w:val="nil"/>
              <w:right w:val="nil"/>
            </w:tcBorders>
            <w:tcMar>
              <w:top w:w="100" w:type="dxa"/>
              <w:left w:w="100" w:type="dxa"/>
              <w:bottom w:w="100" w:type="dxa"/>
              <w:right w:w="100" w:type="dxa"/>
            </w:tcMar>
            <w:hideMark/>
          </w:tcPr>
          <w:p w14:paraId="03089F07" w14:textId="77777777"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IOS</w:t>
            </w:r>
          </w:p>
        </w:tc>
        <w:tc>
          <w:tcPr>
            <w:tcW w:w="1843" w:type="dxa"/>
            <w:tcBorders>
              <w:top w:val="single" w:sz="8" w:space="0" w:color="000000"/>
              <w:left w:val="nil"/>
              <w:bottom w:val="nil"/>
              <w:right w:val="nil"/>
            </w:tcBorders>
            <w:tcMar>
              <w:top w:w="100" w:type="dxa"/>
              <w:left w:w="100" w:type="dxa"/>
              <w:bottom w:w="100" w:type="dxa"/>
              <w:right w:w="100" w:type="dxa"/>
            </w:tcMar>
            <w:hideMark/>
          </w:tcPr>
          <w:p w14:paraId="7CC98B68"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0,200</w:t>
            </w:r>
          </w:p>
        </w:tc>
        <w:tc>
          <w:tcPr>
            <w:tcW w:w="1418" w:type="dxa"/>
            <w:tcBorders>
              <w:top w:val="single" w:sz="8" w:space="0" w:color="000000"/>
              <w:left w:val="nil"/>
              <w:bottom w:val="nil"/>
              <w:right w:val="nil"/>
            </w:tcBorders>
            <w:tcMar>
              <w:top w:w="100" w:type="dxa"/>
              <w:left w:w="100" w:type="dxa"/>
              <w:bottom w:w="100" w:type="dxa"/>
              <w:right w:w="100" w:type="dxa"/>
            </w:tcMar>
            <w:hideMark/>
          </w:tcPr>
          <w:p w14:paraId="5AF61A01"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0,058</w:t>
            </w:r>
          </w:p>
        </w:tc>
        <w:tc>
          <w:tcPr>
            <w:tcW w:w="1559" w:type="dxa"/>
            <w:tcBorders>
              <w:top w:val="single" w:sz="8" w:space="0" w:color="000000"/>
              <w:left w:val="nil"/>
              <w:bottom w:val="nil"/>
              <w:right w:val="nil"/>
            </w:tcBorders>
            <w:tcMar>
              <w:top w:w="100" w:type="dxa"/>
              <w:left w:w="100" w:type="dxa"/>
              <w:bottom w:w="100" w:type="dxa"/>
              <w:right w:w="100" w:type="dxa"/>
            </w:tcMar>
            <w:hideMark/>
          </w:tcPr>
          <w:p w14:paraId="2E5087A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0,329</w:t>
            </w:r>
          </w:p>
        </w:tc>
        <w:tc>
          <w:tcPr>
            <w:tcW w:w="850" w:type="dxa"/>
            <w:tcBorders>
              <w:top w:val="single" w:sz="8" w:space="0" w:color="000000"/>
              <w:left w:val="nil"/>
              <w:bottom w:val="nil"/>
              <w:right w:val="nil"/>
            </w:tcBorders>
            <w:tcMar>
              <w:top w:w="100" w:type="dxa"/>
              <w:left w:w="100" w:type="dxa"/>
              <w:bottom w:w="100" w:type="dxa"/>
              <w:right w:w="100" w:type="dxa"/>
            </w:tcMar>
            <w:hideMark/>
          </w:tcPr>
          <w:p w14:paraId="62702193"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3,470</w:t>
            </w:r>
          </w:p>
        </w:tc>
        <w:tc>
          <w:tcPr>
            <w:tcW w:w="993" w:type="dxa"/>
            <w:tcBorders>
              <w:top w:val="single" w:sz="8" w:space="0" w:color="000000"/>
              <w:left w:val="nil"/>
              <w:bottom w:val="nil"/>
              <w:right w:val="nil"/>
            </w:tcBorders>
            <w:tcMar>
              <w:top w:w="100" w:type="dxa"/>
              <w:left w:w="100" w:type="dxa"/>
              <w:bottom w:w="100" w:type="dxa"/>
              <w:right w:w="100" w:type="dxa"/>
            </w:tcMar>
            <w:hideMark/>
          </w:tcPr>
          <w:p w14:paraId="02C4E870"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&lt;0,001</w:t>
            </w:r>
          </w:p>
        </w:tc>
      </w:tr>
      <w:tr w:rsidR="00AB5F83" w:rsidRPr="00931280" w14:paraId="67DD1836" w14:textId="77777777" w:rsidTr="006C326C">
        <w:trPr>
          <w:trHeight w:val="255"/>
        </w:trPr>
        <w:tc>
          <w:tcPr>
            <w:tcW w:w="993" w:type="dxa"/>
            <w:tcBorders>
              <w:top w:val="nil"/>
              <w:left w:val="nil"/>
              <w:bottom w:val="nil"/>
              <w:right w:val="nil"/>
            </w:tcBorders>
            <w:tcMar>
              <w:top w:w="100" w:type="dxa"/>
              <w:left w:w="100" w:type="dxa"/>
              <w:bottom w:w="100" w:type="dxa"/>
              <w:right w:w="100" w:type="dxa"/>
            </w:tcMar>
          </w:tcPr>
          <w:p w14:paraId="762512AF" w14:textId="77777777" w:rsidR="00AB5F83" w:rsidRPr="00931280" w:rsidRDefault="00AB5F83" w:rsidP="00AB5F83">
            <w:pPr>
              <w:widowControl w:val="0"/>
              <w:spacing w:after="0" w:line="240" w:lineRule="auto"/>
              <w:rPr>
                <w:rFonts w:eastAsia="Cambria" w:cs="Cambria"/>
                <w:lang w:eastAsia="en-US"/>
              </w:rPr>
            </w:pPr>
          </w:p>
        </w:tc>
        <w:tc>
          <w:tcPr>
            <w:tcW w:w="1275" w:type="dxa"/>
            <w:tcBorders>
              <w:top w:val="nil"/>
              <w:left w:val="nil"/>
              <w:bottom w:val="nil"/>
              <w:right w:val="nil"/>
            </w:tcBorders>
            <w:tcMar>
              <w:top w:w="100" w:type="dxa"/>
              <w:left w:w="100" w:type="dxa"/>
              <w:bottom w:w="100" w:type="dxa"/>
              <w:right w:w="100" w:type="dxa"/>
            </w:tcMar>
            <w:hideMark/>
          </w:tcPr>
          <w:p w14:paraId="074AB565" w14:textId="77777777"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CG</w:t>
            </w:r>
          </w:p>
        </w:tc>
        <w:tc>
          <w:tcPr>
            <w:tcW w:w="1843" w:type="dxa"/>
            <w:tcBorders>
              <w:top w:val="nil"/>
              <w:left w:val="nil"/>
              <w:bottom w:val="nil"/>
              <w:right w:val="nil"/>
            </w:tcBorders>
            <w:tcMar>
              <w:top w:w="100" w:type="dxa"/>
              <w:left w:w="100" w:type="dxa"/>
              <w:bottom w:w="100" w:type="dxa"/>
              <w:right w:w="100" w:type="dxa"/>
            </w:tcMar>
            <w:hideMark/>
          </w:tcPr>
          <w:p w14:paraId="581D93DF"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-0.031</w:t>
            </w:r>
          </w:p>
        </w:tc>
        <w:tc>
          <w:tcPr>
            <w:tcW w:w="1418" w:type="dxa"/>
            <w:tcBorders>
              <w:top w:val="nil"/>
              <w:left w:val="nil"/>
              <w:bottom w:val="nil"/>
              <w:right w:val="nil"/>
            </w:tcBorders>
            <w:tcMar>
              <w:top w:w="100" w:type="dxa"/>
              <w:left w:w="100" w:type="dxa"/>
              <w:bottom w:w="100" w:type="dxa"/>
              <w:right w:w="100" w:type="dxa"/>
            </w:tcMar>
            <w:hideMark/>
          </w:tcPr>
          <w:p w14:paraId="01BEA3FD"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0,273</w:t>
            </w:r>
          </w:p>
        </w:tc>
        <w:tc>
          <w:tcPr>
            <w:tcW w:w="1559" w:type="dxa"/>
            <w:tcBorders>
              <w:top w:val="nil"/>
              <w:left w:val="nil"/>
              <w:bottom w:val="nil"/>
              <w:right w:val="nil"/>
            </w:tcBorders>
            <w:tcMar>
              <w:top w:w="100" w:type="dxa"/>
              <w:left w:w="100" w:type="dxa"/>
              <w:bottom w:w="100" w:type="dxa"/>
              <w:right w:w="100" w:type="dxa"/>
            </w:tcMar>
            <w:hideMark/>
          </w:tcPr>
          <w:p w14:paraId="09A5C973"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-0,011</w:t>
            </w:r>
          </w:p>
        </w:tc>
        <w:tc>
          <w:tcPr>
            <w:tcW w:w="850" w:type="dxa"/>
            <w:tcBorders>
              <w:top w:val="nil"/>
              <w:left w:val="nil"/>
              <w:bottom w:val="nil"/>
              <w:right w:val="nil"/>
            </w:tcBorders>
            <w:tcMar>
              <w:top w:w="100" w:type="dxa"/>
              <w:left w:w="100" w:type="dxa"/>
              <w:bottom w:w="100" w:type="dxa"/>
              <w:right w:w="100" w:type="dxa"/>
            </w:tcMar>
            <w:hideMark/>
          </w:tcPr>
          <w:p w14:paraId="382DFE85"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-0.113</w:t>
            </w:r>
          </w:p>
        </w:tc>
        <w:tc>
          <w:tcPr>
            <w:tcW w:w="993" w:type="dxa"/>
            <w:tcBorders>
              <w:top w:val="nil"/>
              <w:left w:val="nil"/>
              <w:bottom w:val="nil"/>
              <w:right w:val="nil"/>
            </w:tcBorders>
            <w:tcMar>
              <w:top w:w="100" w:type="dxa"/>
              <w:left w:w="100" w:type="dxa"/>
              <w:bottom w:w="100" w:type="dxa"/>
              <w:right w:w="100" w:type="dxa"/>
            </w:tcMar>
            <w:hideMark/>
          </w:tcPr>
          <w:p w14:paraId="578A188F"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0,910</w:t>
            </w:r>
          </w:p>
        </w:tc>
      </w:tr>
      <w:tr w:rsidR="00AB5F83" w:rsidRPr="00931280" w14:paraId="2160B4B5" w14:textId="77777777" w:rsidTr="006C326C">
        <w:trPr>
          <w:trHeight w:val="255"/>
        </w:trPr>
        <w:tc>
          <w:tcPr>
            <w:tcW w:w="993" w:type="dxa"/>
            <w:tcBorders>
              <w:top w:val="nil"/>
              <w:left w:val="nil"/>
              <w:bottom w:val="single" w:sz="8" w:space="0" w:color="000000"/>
              <w:right w:val="nil"/>
            </w:tcBorders>
            <w:tcMar>
              <w:top w:w="100" w:type="dxa"/>
              <w:left w:w="100" w:type="dxa"/>
              <w:bottom w:w="100" w:type="dxa"/>
              <w:right w:w="100" w:type="dxa"/>
            </w:tcMar>
          </w:tcPr>
          <w:p w14:paraId="27F6CFE5" w14:textId="77777777" w:rsidR="00AB5F83" w:rsidRPr="00931280" w:rsidRDefault="00AB5F83" w:rsidP="00AB5F83">
            <w:pPr>
              <w:widowControl w:val="0"/>
              <w:spacing w:after="0" w:line="240" w:lineRule="auto"/>
              <w:rPr>
                <w:rFonts w:eastAsia="Cambria" w:cs="Cambria"/>
                <w:lang w:eastAsia="en-US"/>
              </w:rPr>
            </w:pPr>
          </w:p>
        </w:tc>
        <w:tc>
          <w:tcPr>
            <w:tcW w:w="1275" w:type="dxa"/>
            <w:tcBorders>
              <w:top w:val="nil"/>
              <w:left w:val="nil"/>
              <w:bottom w:val="single" w:sz="8" w:space="0" w:color="000000"/>
              <w:right w:val="nil"/>
            </w:tcBorders>
            <w:tcMar>
              <w:top w:w="100" w:type="dxa"/>
              <w:left w:w="100" w:type="dxa"/>
              <w:bottom w:w="100" w:type="dxa"/>
              <w:right w:w="100" w:type="dxa"/>
            </w:tcMar>
            <w:hideMark/>
          </w:tcPr>
          <w:p w14:paraId="42925CD5" w14:textId="77777777"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ROA</w:t>
            </w:r>
          </w:p>
        </w:tc>
        <w:tc>
          <w:tcPr>
            <w:tcW w:w="1843" w:type="dxa"/>
            <w:tcBorders>
              <w:top w:val="nil"/>
              <w:left w:val="nil"/>
              <w:bottom w:val="single" w:sz="8" w:space="0" w:color="000000"/>
              <w:right w:val="nil"/>
            </w:tcBorders>
            <w:tcMar>
              <w:top w:w="100" w:type="dxa"/>
              <w:left w:w="100" w:type="dxa"/>
              <w:bottom w:w="100" w:type="dxa"/>
              <w:right w:w="100" w:type="dxa"/>
            </w:tcMar>
            <w:hideMark/>
          </w:tcPr>
          <w:p w14:paraId="04002CA7"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0,061</w:t>
            </w:r>
          </w:p>
        </w:tc>
        <w:tc>
          <w:tcPr>
            <w:tcW w:w="1418" w:type="dxa"/>
            <w:tcBorders>
              <w:top w:val="nil"/>
              <w:left w:val="nil"/>
              <w:bottom w:val="single" w:sz="8" w:space="0" w:color="000000"/>
              <w:right w:val="nil"/>
            </w:tcBorders>
            <w:tcMar>
              <w:top w:w="100" w:type="dxa"/>
              <w:left w:w="100" w:type="dxa"/>
              <w:bottom w:w="100" w:type="dxa"/>
              <w:right w:w="100" w:type="dxa"/>
            </w:tcMar>
            <w:hideMark/>
          </w:tcPr>
          <w:p w14:paraId="15BDAAE8"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0,291</w:t>
            </w:r>
          </w:p>
        </w:tc>
        <w:tc>
          <w:tcPr>
            <w:tcW w:w="1559" w:type="dxa"/>
            <w:tcBorders>
              <w:top w:val="nil"/>
              <w:left w:val="nil"/>
              <w:bottom w:val="single" w:sz="8" w:space="0" w:color="000000"/>
              <w:right w:val="nil"/>
            </w:tcBorders>
            <w:tcMar>
              <w:top w:w="100" w:type="dxa"/>
              <w:left w:w="100" w:type="dxa"/>
              <w:bottom w:w="100" w:type="dxa"/>
              <w:right w:w="100" w:type="dxa"/>
            </w:tcMar>
            <w:hideMark/>
          </w:tcPr>
          <w:p w14:paraId="28524E84"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0,019</w:t>
            </w:r>
          </w:p>
        </w:tc>
        <w:tc>
          <w:tcPr>
            <w:tcW w:w="850" w:type="dxa"/>
            <w:tcBorders>
              <w:top w:val="nil"/>
              <w:left w:val="nil"/>
              <w:bottom w:val="single" w:sz="8" w:space="0" w:color="000000"/>
              <w:right w:val="nil"/>
            </w:tcBorders>
            <w:tcMar>
              <w:top w:w="100" w:type="dxa"/>
              <w:left w:w="100" w:type="dxa"/>
              <w:bottom w:w="100" w:type="dxa"/>
              <w:right w:w="100" w:type="dxa"/>
            </w:tcMar>
            <w:hideMark/>
          </w:tcPr>
          <w:p w14:paraId="789AD55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0,208</w:t>
            </w:r>
          </w:p>
        </w:tc>
        <w:tc>
          <w:tcPr>
            <w:tcW w:w="993" w:type="dxa"/>
            <w:tcBorders>
              <w:top w:val="nil"/>
              <w:left w:val="nil"/>
              <w:bottom w:val="single" w:sz="8" w:space="0" w:color="000000"/>
              <w:right w:val="nil"/>
            </w:tcBorders>
            <w:tcMar>
              <w:top w:w="100" w:type="dxa"/>
              <w:left w:w="100" w:type="dxa"/>
              <w:bottom w:w="100" w:type="dxa"/>
              <w:right w:w="100" w:type="dxa"/>
            </w:tcMar>
            <w:hideMark/>
          </w:tcPr>
          <w:p w14:paraId="66F6B3E8"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0,836</w:t>
            </w:r>
          </w:p>
        </w:tc>
      </w:tr>
      <w:tr w:rsidR="00AB5F83" w:rsidRPr="00931280" w14:paraId="6B667ADE" w14:textId="77777777" w:rsidTr="006C326C">
        <w:trPr>
          <w:trHeight w:val="255"/>
        </w:trPr>
        <w:tc>
          <w:tcPr>
            <w:tcW w:w="993" w:type="dxa"/>
            <w:tcBorders>
              <w:top w:val="nil"/>
              <w:left w:val="nil"/>
              <w:bottom w:val="nil"/>
              <w:right w:val="nil"/>
            </w:tcBorders>
            <w:tcMar>
              <w:top w:w="100" w:type="dxa"/>
              <w:left w:w="100" w:type="dxa"/>
              <w:bottom w:w="100" w:type="dxa"/>
              <w:right w:w="100" w:type="dxa"/>
            </w:tcMar>
            <w:hideMark/>
          </w:tcPr>
          <w:p w14:paraId="16014D09"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2</w:t>
            </w:r>
          </w:p>
        </w:tc>
        <w:tc>
          <w:tcPr>
            <w:tcW w:w="1275" w:type="dxa"/>
            <w:tcBorders>
              <w:top w:val="nil"/>
              <w:left w:val="nil"/>
              <w:bottom w:val="nil"/>
              <w:right w:val="nil"/>
            </w:tcBorders>
            <w:tcMar>
              <w:top w:w="100" w:type="dxa"/>
              <w:left w:w="100" w:type="dxa"/>
              <w:bottom w:w="100" w:type="dxa"/>
              <w:right w:w="100" w:type="dxa"/>
            </w:tcMar>
            <w:hideMark/>
          </w:tcPr>
          <w:p w14:paraId="4AF51E79" w14:textId="77777777"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IOS*DPR</w:t>
            </w:r>
          </w:p>
        </w:tc>
        <w:tc>
          <w:tcPr>
            <w:tcW w:w="1843" w:type="dxa"/>
            <w:tcBorders>
              <w:top w:val="nil"/>
              <w:left w:val="nil"/>
              <w:bottom w:val="nil"/>
              <w:right w:val="nil"/>
            </w:tcBorders>
            <w:tcMar>
              <w:top w:w="100" w:type="dxa"/>
              <w:left w:w="100" w:type="dxa"/>
              <w:bottom w:w="100" w:type="dxa"/>
              <w:right w:w="100" w:type="dxa"/>
            </w:tcMar>
            <w:hideMark/>
          </w:tcPr>
          <w:p w14:paraId="389ED76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0,111</w:t>
            </w:r>
          </w:p>
        </w:tc>
        <w:tc>
          <w:tcPr>
            <w:tcW w:w="1418" w:type="dxa"/>
            <w:tcBorders>
              <w:top w:val="nil"/>
              <w:left w:val="nil"/>
              <w:bottom w:val="nil"/>
              <w:right w:val="nil"/>
            </w:tcBorders>
            <w:tcMar>
              <w:top w:w="100" w:type="dxa"/>
              <w:left w:w="100" w:type="dxa"/>
              <w:bottom w:w="100" w:type="dxa"/>
              <w:right w:w="100" w:type="dxa"/>
            </w:tcMar>
            <w:hideMark/>
          </w:tcPr>
          <w:p w14:paraId="40B992C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0,082</w:t>
            </w:r>
          </w:p>
        </w:tc>
        <w:tc>
          <w:tcPr>
            <w:tcW w:w="1559" w:type="dxa"/>
            <w:tcBorders>
              <w:top w:val="nil"/>
              <w:left w:val="nil"/>
              <w:bottom w:val="nil"/>
              <w:right w:val="nil"/>
            </w:tcBorders>
            <w:tcMar>
              <w:top w:w="100" w:type="dxa"/>
              <w:left w:w="100" w:type="dxa"/>
              <w:bottom w:w="100" w:type="dxa"/>
              <w:right w:w="100" w:type="dxa"/>
            </w:tcMar>
            <w:hideMark/>
          </w:tcPr>
          <w:p w14:paraId="2A3FF33F"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0,261</w:t>
            </w:r>
          </w:p>
        </w:tc>
        <w:tc>
          <w:tcPr>
            <w:tcW w:w="850" w:type="dxa"/>
            <w:tcBorders>
              <w:top w:val="nil"/>
              <w:left w:val="nil"/>
              <w:bottom w:val="nil"/>
              <w:right w:val="nil"/>
            </w:tcBorders>
            <w:tcMar>
              <w:top w:w="100" w:type="dxa"/>
              <w:left w:w="100" w:type="dxa"/>
              <w:bottom w:w="100" w:type="dxa"/>
              <w:right w:w="100" w:type="dxa"/>
            </w:tcMar>
            <w:hideMark/>
          </w:tcPr>
          <w:p w14:paraId="72637866"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1,346</w:t>
            </w:r>
          </w:p>
        </w:tc>
        <w:tc>
          <w:tcPr>
            <w:tcW w:w="993" w:type="dxa"/>
            <w:tcBorders>
              <w:top w:val="nil"/>
              <w:left w:val="nil"/>
              <w:bottom w:val="nil"/>
              <w:right w:val="nil"/>
            </w:tcBorders>
            <w:tcMar>
              <w:top w:w="100" w:type="dxa"/>
              <w:left w:w="100" w:type="dxa"/>
              <w:bottom w:w="100" w:type="dxa"/>
              <w:right w:w="100" w:type="dxa"/>
            </w:tcMar>
            <w:hideMark/>
          </w:tcPr>
          <w:p w14:paraId="6D0EC9F4"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0,181</w:t>
            </w:r>
          </w:p>
        </w:tc>
      </w:tr>
      <w:tr w:rsidR="00AB5F83" w:rsidRPr="00931280" w14:paraId="0065F224" w14:textId="77777777" w:rsidTr="006C326C">
        <w:trPr>
          <w:trHeight w:val="255"/>
        </w:trPr>
        <w:tc>
          <w:tcPr>
            <w:tcW w:w="993" w:type="dxa"/>
            <w:tcBorders>
              <w:top w:val="nil"/>
              <w:left w:val="nil"/>
              <w:bottom w:val="nil"/>
              <w:right w:val="nil"/>
            </w:tcBorders>
            <w:tcMar>
              <w:top w:w="100" w:type="dxa"/>
              <w:left w:w="100" w:type="dxa"/>
              <w:bottom w:w="100" w:type="dxa"/>
              <w:right w:w="100" w:type="dxa"/>
            </w:tcMar>
          </w:tcPr>
          <w:p w14:paraId="55847FC6" w14:textId="77777777" w:rsidR="00AB5F83" w:rsidRPr="00931280" w:rsidRDefault="00AB5F83" w:rsidP="00AB5F83">
            <w:pPr>
              <w:widowControl w:val="0"/>
              <w:spacing w:after="0" w:line="240" w:lineRule="auto"/>
              <w:rPr>
                <w:rFonts w:eastAsia="Cambria" w:cs="Cambria"/>
                <w:lang w:eastAsia="en-US"/>
              </w:rPr>
            </w:pPr>
          </w:p>
        </w:tc>
        <w:tc>
          <w:tcPr>
            <w:tcW w:w="1275" w:type="dxa"/>
            <w:tcBorders>
              <w:top w:val="nil"/>
              <w:left w:val="nil"/>
              <w:bottom w:val="nil"/>
              <w:right w:val="nil"/>
            </w:tcBorders>
            <w:tcMar>
              <w:top w:w="100" w:type="dxa"/>
              <w:left w:w="100" w:type="dxa"/>
              <w:bottom w:w="100" w:type="dxa"/>
              <w:right w:w="100" w:type="dxa"/>
            </w:tcMar>
            <w:hideMark/>
          </w:tcPr>
          <w:p w14:paraId="5726A2C6" w14:textId="77777777"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CG*DPR</w:t>
            </w:r>
          </w:p>
        </w:tc>
        <w:tc>
          <w:tcPr>
            <w:tcW w:w="1843" w:type="dxa"/>
            <w:tcBorders>
              <w:top w:val="nil"/>
              <w:left w:val="nil"/>
              <w:bottom w:val="nil"/>
              <w:right w:val="nil"/>
            </w:tcBorders>
            <w:tcMar>
              <w:top w:w="100" w:type="dxa"/>
              <w:left w:w="100" w:type="dxa"/>
              <w:bottom w:w="100" w:type="dxa"/>
              <w:right w:w="100" w:type="dxa"/>
            </w:tcMar>
            <w:hideMark/>
          </w:tcPr>
          <w:p w14:paraId="003F6997"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-2,157</w:t>
            </w:r>
          </w:p>
        </w:tc>
        <w:tc>
          <w:tcPr>
            <w:tcW w:w="1418" w:type="dxa"/>
            <w:tcBorders>
              <w:top w:val="nil"/>
              <w:left w:val="nil"/>
              <w:bottom w:val="nil"/>
              <w:right w:val="nil"/>
            </w:tcBorders>
            <w:tcMar>
              <w:top w:w="100" w:type="dxa"/>
              <w:left w:w="100" w:type="dxa"/>
              <w:bottom w:w="100" w:type="dxa"/>
              <w:right w:w="100" w:type="dxa"/>
            </w:tcMar>
            <w:hideMark/>
          </w:tcPr>
          <w:p w14:paraId="1BC2694D"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0,378</w:t>
            </w:r>
          </w:p>
        </w:tc>
        <w:tc>
          <w:tcPr>
            <w:tcW w:w="1559" w:type="dxa"/>
            <w:tcBorders>
              <w:top w:val="nil"/>
              <w:left w:val="nil"/>
              <w:bottom w:val="nil"/>
              <w:right w:val="nil"/>
            </w:tcBorders>
            <w:tcMar>
              <w:top w:w="100" w:type="dxa"/>
              <w:left w:w="100" w:type="dxa"/>
              <w:bottom w:w="100" w:type="dxa"/>
              <w:right w:w="100" w:type="dxa"/>
            </w:tcMar>
            <w:hideMark/>
          </w:tcPr>
          <w:p w14:paraId="0C4E5F3B"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-0,810</w:t>
            </w:r>
          </w:p>
        </w:tc>
        <w:tc>
          <w:tcPr>
            <w:tcW w:w="850" w:type="dxa"/>
            <w:tcBorders>
              <w:top w:val="nil"/>
              <w:left w:val="nil"/>
              <w:bottom w:val="nil"/>
              <w:right w:val="nil"/>
            </w:tcBorders>
            <w:tcMar>
              <w:top w:w="100" w:type="dxa"/>
              <w:left w:w="100" w:type="dxa"/>
              <w:bottom w:w="100" w:type="dxa"/>
              <w:right w:w="100" w:type="dxa"/>
            </w:tcMar>
            <w:hideMark/>
          </w:tcPr>
          <w:p w14:paraId="35A81B66"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-5,703</w:t>
            </w:r>
          </w:p>
        </w:tc>
        <w:tc>
          <w:tcPr>
            <w:tcW w:w="993" w:type="dxa"/>
            <w:tcBorders>
              <w:top w:val="nil"/>
              <w:left w:val="nil"/>
              <w:bottom w:val="nil"/>
              <w:right w:val="nil"/>
            </w:tcBorders>
            <w:tcMar>
              <w:top w:w="100" w:type="dxa"/>
              <w:left w:w="100" w:type="dxa"/>
              <w:bottom w:w="100" w:type="dxa"/>
              <w:right w:w="100" w:type="dxa"/>
            </w:tcMar>
            <w:hideMark/>
          </w:tcPr>
          <w:p w14:paraId="0D2FDE0B"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&lt;0,001</w:t>
            </w:r>
          </w:p>
        </w:tc>
      </w:tr>
      <w:tr w:rsidR="00AB5F83" w:rsidRPr="00931280" w14:paraId="15363DC0" w14:textId="77777777" w:rsidTr="006C326C">
        <w:trPr>
          <w:trHeight w:val="255"/>
        </w:trPr>
        <w:tc>
          <w:tcPr>
            <w:tcW w:w="993" w:type="dxa"/>
            <w:tcBorders>
              <w:top w:val="nil"/>
              <w:left w:val="nil"/>
              <w:bottom w:val="single" w:sz="8" w:space="0" w:color="000000"/>
              <w:right w:val="nil"/>
            </w:tcBorders>
            <w:tcMar>
              <w:top w:w="100" w:type="dxa"/>
              <w:left w:w="100" w:type="dxa"/>
              <w:bottom w:w="100" w:type="dxa"/>
              <w:right w:w="100" w:type="dxa"/>
            </w:tcMar>
          </w:tcPr>
          <w:p w14:paraId="6206EDA6" w14:textId="77777777" w:rsidR="00AB5F83" w:rsidRPr="00931280" w:rsidRDefault="00AB5F83" w:rsidP="00AB5F83">
            <w:pPr>
              <w:widowControl w:val="0"/>
              <w:spacing w:after="0" w:line="240" w:lineRule="auto"/>
              <w:rPr>
                <w:rFonts w:eastAsia="Cambria" w:cs="Cambria"/>
                <w:lang w:eastAsia="en-US"/>
              </w:rPr>
            </w:pPr>
          </w:p>
        </w:tc>
        <w:tc>
          <w:tcPr>
            <w:tcW w:w="1275" w:type="dxa"/>
            <w:tcBorders>
              <w:top w:val="nil"/>
              <w:left w:val="nil"/>
              <w:bottom w:val="single" w:sz="8" w:space="0" w:color="000000"/>
              <w:right w:val="nil"/>
            </w:tcBorders>
            <w:tcMar>
              <w:top w:w="100" w:type="dxa"/>
              <w:left w:w="100" w:type="dxa"/>
              <w:bottom w:w="100" w:type="dxa"/>
              <w:right w:w="100" w:type="dxa"/>
            </w:tcMar>
            <w:hideMark/>
          </w:tcPr>
          <w:p w14:paraId="3ED7D757" w14:textId="77777777" w:rsidR="00AB5F83" w:rsidRPr="00931280" w:rsidRDefault="00AB5F83" w:rsidP="00AB5F83">
            <w:pPr>
              <w:widowControl w:val="0"/>
              <w:spacing w:after="0" w:line="240" w:lineRule="auto"/>
              <w:rPr>
                <w:rFonts w:eastAsia="Cambria" w:cs="Cambria"/>
                <w:lang w:eastAsia="en-US"/>
              </w:rPr>
            </w:pPr>
            <w:r w:rsidRPr="00931280">
              <w:rPr>
                <w:rFonts w:eastAsia="Cambria" w:cs="Cambria"/>
                <w:lang w:eastAsia="en-US"/>
              </w:rPr>
              <w:t>ROA*DPR</w:t>
            </w:r>
          </w:p>
        </w:tc>
        <w:tc>
          <w:tcPr>
            <w:tcW w:w="1843" w:type="dxa"/>
            <w:tcBorders>
              <w:top w:val="nil"/>
              <w:left w:val="nil"/>
              <w:bottom w:val="single" w:sz="8" w:space="0" w:color="000000"/>
              <w:right w:val="nil"/>
            </w:tcBorders>
            <w:tcMar>
              <w:top w:w="100" w:type="dxa"/>
              <w:left w:w="100" w:type="dxa"/>
              <w:bottom w:w="100" w:type="dxa"/>
              <w:right w:w="100" w:type="dxa"/>
            </w:tcMar>
            <w:hideMark/>
          </w:tcPr>
          <w:p w14:paraId="796D0B41"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-0,031</w:t>
            </w:r>
          </w:p>
        </w:tc>
        <w:tc>
          <w:tcPr>
            <w:tcW w:w="1418" w:type="dxa"/>
            <w:tcBorders>
              <w:top w:val="nil"/>
              <w:left w:val="nil"/>
              <w:bottom w:val="single" w:sz="8" w:space="0" w:color="000000"/>
              <w:right w:val="nil"/>
            </w:tcBorders>
            <w:tcMar>
              <w:top w:w="100" w:type="dxa"/>
              <w:left w:w="100" w:type="dxa"/>
              <w:bottom w:w="100" w:type="dxa"/>
              <w:right w:w="100" w:type="dxa"/>
            </w:tcMar>
            <w:hideMark/>
          </w:tcPr>
          <w:p w14:paraId="6755B6F8"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0,052</w:t>
            </w:r>
          </w:p>
        </w:tc>
        <w:tc>
          <w:tcPr>
            <w:tcW w:w="1559" w:type="dxa"/>
            <w:tcBorders>
              <w:top w:val="nil"/>
              <w:left w:val="nil"/>
              <w:bottom w:val="single" w:sz="8" w:space="0" w:color="000000"/>
              <w:right w:val="nil"/>
            </w:tcBorders>
            <w:tcMar>
              <w:top w:w="100" w:type="dxa"/>
              <w:left w:w="100" w:type="dxa"/>
              <w:bottom w:w="100" w:type="dxa"/>
              <w:right w:w="100" w:type="dxa"/>
            </w:tcMar>
            <w:hideMark/>
          </w:tcPr>
          <w:p w14:paraId="5E5939C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-0,273</w:t>
            </w:r>
          </w:p>
        </w:tc>
        <w:tc>
          <w:tcPr>
            <w:tcW w:w="850" w:type="dxa"/>
            <w:tcBorders>
              <w:top w:val="nil"/>
              <w:left w:val="nil"/>
              <w:bottom w:val="single" w:sz="8" w:space="0" w:color="000000"/>
              <w:right w:val="nil"/>
            </w:tcBorders>
            <w:tcMar>
              <w:top w:w="100" w:type="dxa"/>
              <w:left w:w="100" w:type="dxa"/>
              <w:bottom w:w="100" w:type="dxa"/>
              <w:right w:w="100" w:type="dxa"/>
            </w:tcMar>
            <w:hideMark/>
          </w:tcPr>
          <w:p w14:paraId="2009B65F"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-0,596</w:t>
            </w:r>
          </w:p>
        </w:tc>
        <w:tc>
          <w:tcPr>
            <w:tcW w:w="993" w:type="dxa"/>
            <w:tcBorders>
              <w:top w:val="nil"/>
              <w:left w:val="nil"/>
              <w:bottom w:val="single" w:sz="8" w:space="0" w:color="000000"/>
              <w:right w:val="nil"/>
            </w:tcBorders>
            <w:tcMar>
              <w:top w:w="100" w:type="dxa"/>
              <w:left w:w="100" w:type="dxa"/>
              <w:bottom w:w="100" w:type="dxa"/>
              <w:right w:w="100" w:type="dxa"/>
            </w:tcMar>
            <w:hideMark/>
          </w:tcPr>
          <w:p w14:paraId="2FA62DC2" w14:textId="77777777" w:rsidR="00AB5F83" w:rsidRPr="00931280" w:rsidRDefault="00AB5F83" w:rsidP="00AB5F83">
            <w:pPr>
              <w:widowControl w:val="0"/>
              <w:spacing w:after="0" w:line="240" w:lineRule="auto"/>
              <w:jc w:val="center"/>
              <w:rPr>
                <w:rFonts w:eastAsia="Cambria" w:cs="Cambria"/>
                <w:lang w:eastAsia="en-US"/>
              </w:rPr>
            </w:pPr>
            <w:r w:rsidRPr="00931280">
              <w:rPr>
                <w:rFonts w:eastAsia="Cambria" w:cs="Cambria"/>
                <w:lang w:eastAsia="en-US"/>
              </w:rPr>
              <w:t>0,553</w:t>
            </w:r>
          </w:p>
        </w:tc>
      </w:tr>
    </w:tbl>
    <w:p w14:paraId="5CEBB328" w14:textId="77777777" w:rsidR="00AB5F83" w:rsidRPr="00931280" w:rsidRDefault="00AB5F83" w:rsidP="00AB5F83">
      <w:pPr>
        <w:spacing w:after="0" w:line="240" w:lineRule="auto"/>
        <w:jc w:val="center"/>
        <w:rPr>
          <w:rFonts w:eastAsia="Cambria" w:cs="Cambria"/>
          <w:sz w:val="20"/>
          <w:szCs w:val="20"/>
          <w:lang w:eastAsia="en-US"/>
        </w:rPr>
      </w:pPr>
      <w:bookmarkStart w:id="28" w:name="_7ef12uyk1ta7"/>
      <w:bookmarkStart w:id="29" w:name="_dbl3xj3ipdte"/>
      <w:bookmarkEnd w:id="28"/>
      <w:bookmarkEnd w:id="29"/>
      <w:r w:rsidRPr="00931280">
        <w:rPr>
          <w:rFonts w:eastAsia="Cambria" w:cs="Cambria"/>
          <w:sz w:val="20"/>
          <w:szCs w:val="20"/>
          <w:lang w:eastAsia="en-US"/>
        </w:rPr>
        <w:t>Sourced : Output SPSS, processed data (2024)</w:t>
      </w:r>
    </w:p>
    <w:p w14:paraId="5944FF83" w14:textId="06360672" w:rsidR="00AB5F83" w:rsidRPr="00931280" w:rsidRDefault="00AB5F83" w:rsidP="00AB5F83">
      <w:pPr>
        <w:spacing w:after="0" w:line="240" w:lineRule="auto"/>
        <w:jc w:val="both"/>
        <w:rPr>
          <w:rFonts w:eastAsia="Cambria" w:cs="Cambria"/>
          <w:b/>
          <w:lang w:eastAsia="en-US"/>
        </w:rPr>
      </w:pPr>
      <w:bookmarkStart w:id="30" w:name="_awijmuluwj5l"/>
      <w:bookmarkEnd w:id="30"/>
      <w:r w:rsidRPr="00931280">
        <w:rPr>
          <w:rFonts w:eastAsia="Cambria" w:cs="Cambria"/>
          <w:lang w:eastAsia="en-US"/>
        </w:rPr>
        <w:t>Table 11 shows t values on IOS is 3.470 which is positive while the significance score is below 0.001 that is smaller than 0.05,</w:t>
      </w:r>
      <w:r w:rsidR="00860893">
        <w:rPr>
          <w:rFonts w:eastAsia="Cambria" w:cs="Cambria"/>
          <w:lang w:eastAsia="en-US"/>
        </w:rPr>
        <w:t xml:space="preserve"> It</w:t>
      </w:r>
      <w:r w:rsidRPr="00931280">
        <w:rPr>
          <w:rFonts w:eastAsia="Cambria" w:cs="Cambria"/>
          <w:lang w:eastAsia="en-US"/>
        </w:rPr>
        <w:t xml:space="preserve"> implies IOS has positive effect to firm value or H1 accepted. CG t count score -0.113 with sig. score 0.910 or more than 0.05 indicates H2 is rejected or Ineffectively on firm value. The ROA variable t value is 0.208 and a sig. score 0.836 it’s greater than 0.05, indicating that H3 is rejected or ROA ineffectively on firm value. For hypotheses with moderation, the IOS reaction is moderated by DPR on PBV where the t score is 1.346 with a sig. 0.181 more than the limit value 0.05, meaning that there is no effect so H4 is rejected. The DPR reaction in moderating CG on PBV obtained t score -5.703 it has negative value and significance &lt;0.001 which shows moderation influences weakening the relationship between CG and PBV so that H5 is accepted. While the moderation of DPR on the relationship between ROA and PBV obtained a t score -0.596 and a sig. 0.553, H6 is also rejected because significance shows above 0.05.</w:t>
      </w:r>
    </w:p>
    <w:p w14:paraId="470B39B4" w14:textId="77777777" w:rsidR="00AB5F83" w:rsidRPr="00931280" w:rsidRDefault="00AB5F83" w:rsidP="00AB5F83">
      <w:pPr>
        <w:spacing w:after="0" w:line="240" w:lineRule="auto"/>
        <w:jc w:val="both"/>
        <w:rPr>
          <w:rFonts w:eastAsia="Cambria" w:cs="Cambria"/>
          <w:lang w:eastAsia="en-US"/>
        </w:rPr>
      </w:pPr>
      <w:bookmarkStart w:id="31" w:name="_30j0zll"/>
      <w:bookmarkEnd w:id="31"/>
      <w:r w:rsidRPr="00931280">
        <w:rPr>
          <w:rFonts w:eastAsia="Cambria" w:cs="Cambria"/>
          <w:b/>
          <w:lang w:eastAsia="en-US"/>
        </w:rPr>
        <w:t>4.</w:t>
      </w:r>
      <w:r w:rsidRPr="00931280">
        <w:rPr>
          <w:rFonts w:eastAsia="Cambria" w:cs="Cambria"/>
          <w:lang w:eastAsia="en-US"/>
        </w:rPr>
        <w:t xml:space="preserve"> </w:t>
      </w:r>
      <w:r w:rsidRPr="00931280">
        <w:rPr>
          <w:rFonts w:eastAsia="Cambria" w:cs="Cambria"/>
          <w:b/>
          <w:lang w:eastAsia="en-US"/>
        </w:rPr>
        <w:t>DISCUSSION</w:t>
      </w:r>
    </w:p>
    <w:p w14:paraId="14B18490" w14:textId="2226541A" w:rsidR="00AB5F83" w:rsidRPr="00931280" w:rsidRDefault="00AB5F83" w:rsidP="00AB5F83">
      <w:pPr>
        <w:spacing w:after="0" w:line="240" w:lineRule="auto"/>
        <w:jc w:val="both"/>
        <w:rPr>
          <w:rFonts w:eastAsia="Cambria" w:cs="Cambria"/>
          <w:b/>
          <w:lang w:eastAsia="en-US"/>
        </w:rPr>
      </w:pPr>
      <w:r w:rsidRPr="00931280">
        <w:rPr>
          <w:rFonts w:eastAsia="Cambria" w:cs="Cambria"/>
          <w:b/>
          <w:lang w:eastAsia="en-US"/>
        </w:rPr>
        <w:t>Investment Opportunity Set (IOS) to Firm Value</w:t>
      </w:r>
      <w:r w:rsidR="00342846" w:rsidRPr="00931280">
        <w:rPr>
          <w:rFonts w:eastAsia="Cambria" w:cs="Cambria"/>
          <w:b/>
          <w:lang w:eastAsia="en-US"/>
        </w:rPr>
        <w:t xml:space="preserve"> Effect</w:t>
      </w:r>
    </w:p>
    <w:p w14:paraId="56CB9A3A" w14:textId="11A4828B" w:rsidR="00BC4BB5" w:rsidRPr="00931280" w:rsidRDefault="00BC4BB5" w:rsidP="00BC4BB5">
      <w:pPr>
        <w:spacing w:after="0" w:line="240" w:lineRule="auto"/>
        <w:ind w:firstLine="284"/>
        <w:jc w:val="both"/>
        <w:rPr>
          <w:rFonts w:eastAsia="Cambria" w:cs="Cambria"/>
          <w:bCs/>
          <w:lang w:eastAsia="en-US"/>
        </w:rPr>
      </w:pPr>
      <w:r w:rsidRPr="00931280">
        <w:rPr>
          <w:rFonts w:eastAsia="Cambria" w:cs="Cambria"/>
          <w:bCs/>
          <w:lang w:eastAsia="en-US"/>
        </w:rPr>
        <w:t>This study found IOS either positively affects company value or the hypothesis is accepted. The two factors are directly correlated, meaning great investment potential, more precious the company will be for potential investors. According to signal theory, IOS gives a good indication of the company's potential for growth, which will raise stock price</w:t>
      </w:r>
      <w:r w:rsidR="00DE4983">
        <w:rPr>
          <w:rFonts w:eastAsia="Cambria" w:cs="Cambria"/>
          <w:bCs/>
          <w:lang w:eastAsia="en-US"/>
        </w:rPr>
        <w:t>,</w:t>
      </w:r>
      <w:r w:rsidRPr="00931280">
        <w:rPr>
          <w:rFonts w:eastAsia="Cambria" w:cs="Cambria"/>
          <w:bCs/>
          <w:lang w:eastAsia="en-US"/>
        </w:rPr>
        <w:t xml:space="preserve"> </w:t>
      </w:r>
      <w:r w:rsidR="00DE4983">
        <w:rPr>
          <w:rFonts w:eastAsia="Cambria" w:cs="Cambria"/>
          <w:bCs/>
          <w:lang w:eastAsia="en-US"/>
        </w:rPr>
        <w:t xml:space="preserve">a </w:t>
      </w:r>
      <w:r w:rsidRPr="00931280">
        <w:rPr>
          <w:rFonts w:eastAsia="Cambria" w:cs="Cambria"/>
          <w:bCs/>
          <w:lang w:eastAsia="en-US"/>
        </w:rPr>
        <w:t>company's worth</w:t>
      </w:r>
      <w:r w:rsidR="00DE4983">
        <w:rPr>
          <w:rFonts w:eastAsia="Cambria" w:cs="Cambria"/>
          <w:bCs/>
          <w:lang w:eastAsia="en-US"/>
        </w:rPr>
        <w:t xml:space="preserve"> </w:t>
      </w:r>
      <w:r w:rsidR="00DE4983" w:rsidRPr="00931280">
        <w:rPr>
          <w:rFonts w:eastAsia="Cambria" w:cs="Cambria"/>
          <w:bCs/>
          <w:lang w:eastAsia="en-US"/>
        </w:rPr>
        <w:t>measure</w:t>
      </w:r>
      <w:r w:rsidR="00DE4983">
        <w:rPr>
          <w:rFonts w:eastAsia="Cambria" w:cs="Cambria"/>
          <w:bCs/>
          <w:lang w:eastAsia="en-US"/>
        </w:rPr>
        <w:t>ment</w:t>
      </w:r>
      <w:r w:rsidR="00DE4983" w:rsidRPr="00931280">
        <w:rPr>
          <w:rFonts w:eastAsia="Cambria" w:cs="Cambria"/>
          <w:bCs/>
          <w:lang w:eastAsia="en-US"/>
        </w:rPr>
        <w:t xml:space="preserve"> </w:t>
      </w:r>
      <w:r w:rsidRPr="00931280">
        <w:rPr>
          <w:rFonts w:eastAsia="Cambria" w:cs="Cambria"/>
          <w:bCs/>
          <w:lang w:eastAsia="en-US"/>
        </w:rPr>
        <w:t>(Suartawan &amp; Yasa, 2017). An increase in IOS proxied through MBVE can see a company growing from the management of investment opportunities that have been compared to the capital it has. Th</w:t>
      </w:r>
      <w:r w:rsidR="00D45116">
        <w:rPr>
          <w:rFonts w:eastAsia="Cambria" w:cs="Cambria"/>
          <w:bCs/>
          <w:lang w:eastAsia="en-US"/>
        </w:rPr>
        <w:t>ose</w:t>
      </w:r>
      <w:r w:rsidRPr="00931280">
        <w:rPr>
          <w:rFonts w:eastAsia="Cambria" w:cs="Cambria"/>
          <w:bCs/>
          <w:lang w:eastAsia="en-US"/>
        </w:rPr>
        <w:t xml:space="preserve"> it can create the perception of greater returns from increasing assets in a certain period. This finding is in tune with Dharmawan &amp; Riza (2019), IOS proxied through MBVE value has a positive influence on firm value. Meanwhile, IOS measured </w:t>
      </w:r>
      <w:r w:rsidR="00D45116">
        <w:rPr>
          <w:rFonts w:eastAsia="Cambria" w:cs="Cambria"/>
          <w:bCs/>
          <w:lang w:eastAsia="en-US"/>
        </w:rPr>
        <w:t>using</w:t>
      </w:r>
      <w:r w:rsidRPr="00931280">
        <w:rPr>
          <w:rFonts w:eastAsia="Cambria" w:cs="Cambria"/>
          <w:bCs/>
          <w:lang w:eastAsia="en-US"/>
        </w:rPr>
        <w:t xml:space="preserve"> MBVA Khoeriyah (2020)</w:t>
      </w:r>
      <w:r w:rsidR="00D45116">
        <w:rPr>
          <w:rFonts w:eastAsia="Cambria" w:cs="Cambria"/>
          <w:bCs/>
          <w:lang w:eastAsia="en-US"/>
        </w:rPr>
        <w:t>,</w:t>
      </w:r>
      <w:r w:rsidRPr="00931280">
        <w:rPr>
          <w:rFonts w:eastAsia="Cambria" w:cs="Cambria"/>
          <w:bCs/>
          <w:lang w:eastAsia="en-US"/>
        </w:rPr>
        <w:t xml:space="preserve"> and Ariyanti et al. (2022), showed similar results with a positive connection direction.    </w:t>
      </w:r>
    </w:p>
    <w:p w14:paraId="5656CD8E" w14:textId="030B1A46" w:rsidR="00AB5F83" w:rsidRPr="00931280" w:rsidRDefault="00AB5F83" w:rsidP="00AB5F83">
      <w:pPr>
        <w:spacing w:after="0" w:line="240" w:lineRule="auto"/>
        <w:jc w:val="both"/>
        <w:rPr>
          <w:rFonts w:eastAsia="Cambria" w:cs="Cambria"/>
          <w:b/>
          <w:lang w:eastAsia="en-US"/>
        </w:rPr>
      </w:pPr>
      <w:r w:rsidRPr="00931280">
        <w:rPr>
          <w:rFonts w:eastAsia="Cambria" w:cs="Cambria"/>
          <w:b/>
          <w:lang w:eastAsia="en-US"/>
        </w:rPr>
        <w:t>Company Growth to Firm Value</w:t>
      </w:r>
      <w:r w:rsidR="00342846" w:rsidRPr="00931280">
        <w:rPr>
          <w:rFonts w:eastAsia="Cambria" w:cs="Cambria"/>
          <w:b/>
          <w:lang w:eastAsia="en-US"/>
        </w:rPr>
        <w:t xml:space="preserve"> Effect</w:t>
      </w:r>
    </w:p>
    <w:p w14:paraId="03A2BD54" w14:textId="12446130" w:rsidR="00BC4BB5" w:rsidRPr="00931280" w:rsidRDefault="00BC4BB5" w:rsidP="00BC4BB5">
      <w:pPr>
        <w:spacing w:after="0" w:line="240" w:lineRule="auto"/>
        <w:ind w:firstLine="284"/>
        <w:jc w:val="both"/>
        <w:rPr>
          <w:rFonts w:eastAsia="Cambria" w:cs="Cambria"/>
          <w:bCs/>
          <w:lang w:eastAsia="en-US"/>
        </w:rPr>
      </w:pPr>
      <w:r w:rsidRPr="00931280">
        <w:rPr>
          <w:rFonts w:eastAsia="Cambria" w:cs="Cambria"/>
          <w:bCs/>
          <w:lang w:eastAsia="en-US"/>
        </w:rPr>
        <w:t xml:space="preserve">From hypothesis testing, the results are insignificant where the significance is above the threshold value of 0.05 or the hypothesis is rejected. Measurement through the growth value shows that asset growth of the financial section through research period was relatively low with minimum data of -0.889 while the average was 0.182 so it was unable to prove its influence on firm value. About theory, this condition explains that company growth is unable </w:t>
      </w:r>
      <w:r w:rsidRPr="00931280">
        <w:rPr>
          <w:rFonts w:eastAsia="Cambria" w:cs="Cambria"/>
          <w:bCs/>
          <w:lang w:eastAsia="en-US"/>
        </w:rPr>
        <w:lastRenderedPageBreak/>
        <w:t>to send signals as an assessment of company performance in increasing firm value. High company growth tends to require large funds so it cannot provide confidence that good performance increasing its company value (Chabachib et al., 2020). In tune with Wulanningsih &amp; Agustin (2020) research, it states similar findings, where company growth has insignificant results in affecting firm value.</w:t>
      </w:r>
    </w:p>
    <w:p w14:paraId="5B2B0AC9" w14:textId="5029289C" w:rsidR="00AB5F83" w:rsidRPr="00931280" w:rsidRDefault="00AB5F83" w:rsidP="00AB5F83">
      <w:pPr>
        <w:spacing w:after="0" w:line="240" w:lineRule="auto"/>
        <w:jc w:val="both"/>
        <w:rPr>
          <w:rFonts w:eastAsia="Cambria" w:cs="Cambria"/>
          <w:b/>
          <w:lang w:eastAsia="en-US"/>
        </w:rPr>
      </w:pPr>
      <w:r w:rsidRPr="00931280">
        <w:rPr>
          <w:rFonts w:eastAsia="Cambria" w:cs="Cambria"/>
          <w:b/>
          <w:lang w:eastAsia="en-US"/>
        </w:rPr>
        <w:t>Profitability to Firm Value</w:t>
      </w:r>
      <w:r w:rsidR="00342846" w:rsidRPr="00931280">
        <w:rPr>
          <w:rFonts w:eastAsia="Cambria" w:cs="Cambria"/>
          <w:b/>
          <w:lang w:eastAsia="en-US"/>
        </w:rPr>
        <w:t xml:space="preserve"> Effect</w:t>
      </w:r>
    </w:p>
    <w:p w14:paraId="34491314" w14:textId="43F4AEAA" w:rsidR="00BC4BB5" w:rsidRPr="00931280" w:rsidRDefault="00BC4BB5" w:rsidP="00BC4BB5">
      <w:pPr>
        <w:spacing w:after="0" w:line="240" w:lineRule="auto"/>
        <w:ind w:firstLine="284"/>
        <w:jc w:val="both"/>
        <w:rPr>
          <w:rFonts w:eastAsia="Cambria" w:cs="Cambria"/>
          <w:bCs/>
          <w:lang w:eastAsia="en-US"/>
        </w:rPr>
      </w:pPr>
      <w:r w:rsidRPr="00931280">
        <w:rPr>
          <w:rFonts w:eastAsia="Cambria" w:cs="Cambria"/>
          <w:bCs/>
          <w:lang w:eastAsia="en-US"/>
        </w:rPr>
        <w:t xml:space="preserve">Company profit ratio on company value determined by significance score above 0.05, indicates that it is rejected based on research above. The financial sector's ROA ratio, which measures the ratio of company profit, had a low average of 0.223 during this time, compared to the average of other variables, which had a negative min value of -0.208. This figure illustrates that the connection between the two variables is not significant. This low level of ratio of company profit is unable to </w:t>
      </w:r>
      <w:r w:rsidR="00720C87">
        <w:rPr>
          <w:rFonts w:eastAsia="Cambria" w:cs="Cambria"/>
          <w:bCs/>
          <w:lang w:eastAsia="en-US"/>
        </w:rPr>
        <w:t xml:space="preserve">send </w:t>
      </w:r>
      <w:r w:rsidRPr="00931280">
        <w:rPr>
          <w:rFonts w:eastAsia="Cambria" w:cs="Cambria"/>
          <w:bCs/>
          <w:lang w:eastAsia="en-US"/>
        </w:rPr>
        <w:t xml:space="preserve">a </w:t>
      </w:r>
      <w:r w:rsidR="00720C87">
        <w:rPr>
          <w:rFonts w:eastAsia="Cambria" w:cs="Cambria"/>
          <w:bCs/>
          <w:lang w:eastAsia="en-US"/>
        </w:rPr>
        <w:t xml:space="preserve">good </w:t>
      </w:r>
      <w:r w:rsidRPr="00931280">
        <w:rPr>
          <w:rFonts w:eastAsia="Cambria" w:cs="Cambria"/>
          <w:bCs/>
          <w:lang w:eastAsia="en-US"/>
        </w:rPr>
        <w:t>signal</w:t>
      </w:r>
      <w:r w:rsidR="00F458FC">
        <w:rPr>
          <w:rFonts w:eastAsia="Cambria" w:cs="Cambria"/>
          <w:bCs/>
          <w:lang w:eastAsia="en-US"/>
        </w:rPr>
        <w:t xml:space="preserve"> to</w:t>
      </w:r>
      <w:r w:rsidRPr="00931280">
        <w:rPr>
          <w:rFonts w:eastAsia="Cambria" w:cs="Cambria"/>
          <w:bCs/>
          <w:lang w:eastAsia="en-US"/>
        </w:rPr>
        <w:t xml:space="preserve"> investors so it's unable to influence the perception of firm value (Prastyatini et al., 2024). Where based on signal theory states that investors have positive sentiments that can influence investment decisions from signals that indicate company value.  Empirical testing in tune with these findings is evidenced by Prastyatini et al. (2024) research, where the ratio of company profit variable through ROE measurement does not affect firm value partially.  </w:t>
      </w:r>
    </w:p>
    <w:p w14:paraId="2B877E71" w14:textId="029D1730" w:rsidR="00AB5F83" w:rsidRPr="00931280" w:rsidRDefault="00AB5F83" w:rsidP="00AB5F83">
      <w:pPr>
        <w:spacing w:after="0" w:line="240" w:lineRule="auto"/>
        <w:jc w:val="both"/>
        <w:rPr>
          <w:rFonts w:eastAsia="Cambria" w:cs="Cambria"/>
          <w:lang w:eastAsia="en-US"/>
        </w:rPr>
      </w:pPr>
      <w:r w:rsidRPr="00931280">
        <w:rPr>
          <w:rFonts w:eastAsia="Cambria" w:cs="Cambria"/>
          <w:b/>
          <w:lang w:eastAsia="en-US"/>
        </w:rPr>
        <w:t>Investment Opportunity Set (IOS) to Firm Value</w:t>
      </w:r>
      <w:r w:rsidR="00342846" w:rsidRPr="00931280">
        <w:rPr>
          <w:rFonts w:eastAsia="Cambria" w:cs="Cambria"/>
          <w:b/>
          <w:lang w:eastAsia="en-US"/>
        </w:rPr>
        <w:t xml:space="preserve"> Effect</w:t>
      </w:r>
      <w:r w:rsidRPr="00931280">
        <w:rPr>
          <w:rFonts w:eastAsia="Cambria" w:cs="Cambria"/>
          <w:b/>
          <w:lang w:eastAsia="en-US"/>
        </w:rPr>
        <w:t xml:space="preserve"> Moderated by Dividend Policy </w:t>
      </w:r>
    </w:p>
    <w:p w14:paraId="3290F232" w14:textId="18BFCEF2" w:rsidR="00BC4BB5" w:rsidRPr="00931280" w:rsidRDefault="00BC4BB5" w:rsidP="00BC4BB5">
      <w:pPr>
        <w:spacing w:after="0" w:line="240" w:lineRule="auto"/>
        <w:ind w:firstLine="284"/>
        <w:jc w:val="both"/>
        <w:rPr>
          <w:rFonts w:eastAsia="Cambria" w:cs="Cambria"/>
          <w:bCs/>
          <w:lang w:eastAsia="en-US"/>
        </w:rPr>
      </w:pPr>
      <w:r w:rsidRPr="00931280">
        <w:rPr>
          <w:rFonts w:eastAsia="Cambria" w:cs="Cambria"/>
          <w:bCs/>
          <w:lang w:eastAsia="en-US"/>
        </w:rPr>
        <w:t xml:space="preserve">In this hypothesis, shown dividend policy’s presence as a moderator had no effect on the strength or weakness of IOS with regard to company value. The insignificant test findings, which have a value greater than 0.05, indicate that the dividend policy is unable to control the link between the two variables. demonstrates that the choice of whether or not to pay dividends cannot </w:t>
      </w:r>
      <w:r w:rsidR="00F458FC">
        <w:rPr>
          <w:rFonts w:eastAsia="Cambria" w:cs="Cambria"/>
          <w:bCs/>
          <w:lang w:eastAsia="en-US"/>
        </w:rPr>
        <w:t xml:space="preserve">give an </w:t>
      </w:r>
      <w:r w:rsidRPr="00931280">
        <w:rPr>
          <w:rFonts w:eastAsia="Cambria" w:cs="Cambria"/>
          <w:bCs/>
          <w:lang w:eastAsia="en-US"/>
        </w:rPr>
        <w:t xml:space="preserve">impact on investment prospects or </w:t>
      </w:r>
      <w:r w:rsidR="00F458FC">
        <w:rPr>
          <w:rFonts w:eastAsia="Cambria" w:cs="Cambria"/>
          <w:bCs/>
          <w:lang w:eastAsia="en-US"/>
        </w:rPr>
        <w:t>company market value</w:t>
      </w:r>
      <w:r w:rsidRPr="00931280">
        <w:rPr>
          <w:rFonts w:eastAsia="Cambria" w:cs="Cambria"/>
          <w:bCs/>
          <w:lang w:eastAsia="en-US"/>
        </w:rPr>
        <w:t>. When a business chooses to pay out dividends, it will have less money available for investments. As a result, the investment will not be as good as it could be, which will lower the company's worth (Suleiman &amp; Permatasari, 2022). The study's findings run counter to signal theory, which holds that a company's dividend policy may provide investors good news about how the business will perform in the future. Nonetheless, this result is consistent with Miller and Modigliani (1961), according to the payout Irrelevance Theory, which holds that the creation of business value is unaffected by payout policy. This suggests that dividend policy is no longer the primary determinant of firm valuation because the capital market has been effective at processing information</w:t>
      </w:r>
      <w:r w:rsidR="008F59A4">
        <w:rPr>
          <w:rFonts w:eastAsia="Cambria" w:cs="Cambria"/>
          <w:bCs/>
          <w:lang w:eastAsia="en-US"/>
        </w:rPr>
        <w:t>.</w:t>
      </w:r>
      <w:r w:rsidRPr="00931280">
        <w:rPr>
          <w:rFonts w:eastAsia="Cambria" w:cs="Cambria"/>
          <w:bCs/>
          <w:lang w:eastAsia="en-US"/>
        </w:rPr>
        <w:t xml:space="preserve"> Research by Hariyanti &amp; Ubaidillah (2022), supports the aforementioned findings by claiming that dividend </w:t>
      </w:r>
      <w:r w:rsidR="00F458FC">
        <w:rPr>
          <w:rFonts w:eastAsia="Cambria" w:cs="Cambria"/>
          <w:bCs/>
          <w:lang w:eastAsia="en-US"/>
        </w:rPr>
        <w:t xml:space="preserve">distribution </w:t>
      </w:r>
      <w:r w:rsidRPr="00931280">
        <w:rPr>
          <w:rFonts w:eastAsia="Cambria" w:cs="Cambria"/>
          <w:bCs/>
          <w:lang w:eastAsia="en-US"/>
        </w:rPr>
        <w:t>can</w:t>
      </w:r>
      <w:r w:rsidR="00F458FC">
        <w:rPr>
          <w:rFonts w:eastAsia="Cambria" w:cs="Cambria"/>
          <w:bCs/>
          <w:lang w:eastAsia="en-US"/>
        </w:rPr>
        <w:t>’t</w:t>
      </w:r>
      <w:r w:rsidRPr="00931280">
        <w:rPr>
          <w:rFonts w:eastAsia="Cambria" w:cs="Cambria"/>
          <w:bCs/>
          <w:lang w:eastAsia="en-US"/>
        </w:rPr>
        <w:t xml:space="preserve"> minimise the </w:t>
      </w:r>
      <w:r w:rsidR="005E05F7">
        <w:rPr>
          <w:rFonts w:eastAsia="Cambria" w:cs="Cambria"/>
          <w:bCs/>
          <w:lang w:eastAsia="en-US"/>
        </w:rPr>
        <w:t xml:space="preserve">IOS </w:t>
      </w:r>
      <w:r w:rsidRPr="00931280">
        <w:rPr>
          <w:rFonts w:eastAsia="Cambria" w:cs="Cambria"/>
          <w:bCs/>
          <w:lang w:eastAsia="en-US"/>
        </w:rPr>
        <w:t xml:space="preserve">impact </w:t>
      </w:r>
      <w:r w:rsidR="005E05F7">
        <w:rPr>
          <w:rFonts w:eastAsia="Cambria" w:cs="Cambria"/>
          <w:bCs/>
          <w:lang w:eastAsia="en-US"/>
        </w:rPr>
        <w:t xml:space="preserve">on </w:t>
      </w:r>
      <w:r w:rsidRPr="00931280">
        <w:rPr>
          <w:rFonts w:eastAsia="Cambria" w:cs="Cambria"/>
          <w:bCs/>
          <w:lang w:eastAsia="en-US"/>
        </w:rPr>
        <w:t xml:space="preserve">enterprises </w:t>
      </w:r>
      <w:r w:rsidR="005E05F7">
        <w:rPr>
          <w:rFonts w:eastAsia="Cambria" w:cs="Cambria"/>
          <w:bCs/>
          <w:lang w:eastAsia="en-US"/>
        </w:rPr>
        <w:t xml:space="preserve">value </w:t>
      </w:r>
      <w:r w:rsidRPr="00931280">
        <w:rPr>
          <w:rFonts w:eastAsia="Cambria" w:cs="Cambria"/>
          <w:bCs/>
          <w:lang w:eastAsia="en-US"/>
        </w:rPr>
        <w:t xml:space="preserve">in property and real estate sector.  </w:t>
      </w:r>
    </w:p>
    <w:p w14:paraId="145E3D70" w14:textId="4C587A38" w:rsidR="00AB5F83" w:rsidRPr="00931280" w:rsidRDefault="00AB5F83" w:rsidP="00AB5F83">
      <w:pPr>
        <w:spacing w:after="0" w:line="240" w:lineRule="auto"/>
        <w:jc w:val="both"/>
        <w:rPr>
          <w:rFonts w:eastAsia="Cambria" w:cs="Cambria"/>
          <w:b/>
          <w:lang w:eastAsia="en-US"/>
        </w:rPr>
      </w:pPr>
      <w:r w:rsidRPr="00931280">
        <w:rPr>
          <w:rFonts w:eastAsia="Cambria" w:cs="Cambria"/>
          <w:b/>
          <w:lang w:eastAsia="en-US"/>
        </w:rPr>
        <w:t xml:space="preserve">Company Growth to Firm Value </w:t>
      </w:r>
      <w:r w:rsidR="00342846" w:rsidRPr="00931280">
        <w:rPr>
          <w:rFonts w:eastAsia="Cambria" w:cs="Cambria"/>
          <w:b/>
          <w:lang w:eastAsia="en-US"/>
        </w:rPr>
        <w:t xml:space="preserve">Effect </w:t>
      </w:r>
      <w:r w:rsidRPr="00931280">
        <w:rPr>
          <w:rFonts w:eastAsia="Cambria" w:cs="Cambria"/>
          <w:b/>
          <w:lang w:eastAsia="en-US"/>
        </w:rPr>
        <w:t>Moderated by Dividend Policy</w:t>
      </w:r>
    </w:p>
    <w:p w14:paraId="5A46BCD4" w14:textId="24D8F8C0" w:rsidR="00BC4BB5" w:rsidRPr="00931280" w:rsidRDefault="00BC4BB5" w:rsidP="00BC4BB5">
      <w:pPr>
        <w:spacing w:after="0" w:line="240" w:lineRule="auto"/>
        <w:ind w:firstLine="284"/>
        <w:jc w:val="both"/>
        <w:rPr>
          <w:rFonts w:eastAsia="Cambria" w:cs="Cambria"/>
          <w:bCs/>
          <w:lang w:eastAsia="en-US"/>
        </w:rPr>
      </w:pPr>
      <w:r w:rsidRPr="00931280">
        <w:rPr>
          <w:rFonts w:eastAsia="Cambria" w:cs="Cambria"/>
          <w:bCs/>
          <w:lang w:eastAsia="en-US"/>
        </w:rPr>
        <w:t xml:space="preserve">This hypothesis is accepted since the aforementioned research's findings demonstrate that </w:t>
      </w:r>
      <w:r w:rsidR="008F59A4">
        <w:rPr>
          <w:rFonts w:eastAsia="Cambria" w:cs="Cambria"/>
          <w:bCs/>
          <w:lang w:eastAsia="en-US"/>
        </w:rPr>
        <w:t xml:space="preserve">the </w:t>
      </w:r>
      <w:r w:rsidRPr="00931280">
        <w:rPr>
          <w:rFonts w:eastAsia="Cambria" w:cs="Cambria"/>
          <w:bCs/>
          <w:lang w:eastAsia="en-US"/>
        </w:rPr>
        <w:t xml:space="preserve">moderator, can influence </w:t>
      </w:r>
      <w:r w:rsidR="00A11A24">
        <w:rPr>
          <w:rFonts w:eastAsia="Cambria" w:cs="Cambria"/>
          <w:bCs/>
          <w:lang w:eastAsia="en-US"/>
        </w:rPr>
        <w:t xml:space="preserve">firm value and </w:t>
      </w:r>
      <w:r w:rsidRPr="00931280">
        <w:rPr>
          <w:rFonts w:eastAsia="Cambria" w:cs="Cambria"/>
          <w:bCs/>
          <w:lang w:eastAsia="en-US"/>
        </w:rPr>
        <w:t>company growth</w:t>
      </w:r>
      <w:r w:rsidR="00A11A24">
        <w:rPr>
          <w:rFonts w:eastAsia="Cambria" w:cs="Cambria"/>
          <w:bCs/>
          <w:lang w:eastAsia="en-US"/>
        </w:rPr>
        <w:t xml:space="preserve"> connection</w:t>
      </w:r>
      <w:bookmarkStart w:id="32" w:name="_GoBack"/>
      <w:bookmarkEnd w:id="32"/>
      <w:r w:rsidRPr="00931280">
        <w:rPr>
          <w:rFonts w:eastAsia="Cambria" w:cs="Cambria"/>
          <w:bCs/>
          <w:lang w:eastAsia="en-US"/>
        </w:rPr>
        <w:t>. The inverse connection's direction is known from dividend policy's negative connection, it gives a suggestion that moderation may erode firm growth and firm value. The amount of dividends will cause increased spending on financing which has an impact on reducing company growth. While a growing company will focus on expansion activities, operations and investment for future expenses, the company will prefer to retain the profits earned rather than in the form of dividends (Ramma &amp; Gunawan, 2023). Based on signal theory, moderation of dividend policy is not sufficient to moderate creating positive signals to investors in assessing new growth companies. Research that has similar findings is the research of Ivani &amp; Efendi (2024), which explains that DPR is not able to be a significant factor in investor perceptions of firm value.</w:t>
      </w:r>
    </w:p>
    <w:p w14:paraId="6CF822BB" w14:textId="18A4CA6F" w:rsidR="00AB5F83" w:rsidRPr="00931280" w:rsidRDefault="00342846" w:rsidP="00AB5F83">
      <w:pPr>
        <w:spacing w:after="0" w:line="240" w:lineRule="auto"/>
        <w:jc w:val="both"/>
        <w:rPr>
          <w:rFonts w:eastAsia="Cambria" w:cs="Cambria"/>
          <w:b/>
          <w:lang w:eastAsia="en-US"/>
        </w:rPr>
      </w:pPr>
      <w:r w:rsidRPr="00931280">
        <w:rPr>
          <w:rFonts w:eastAsia="Cambria" w:cs="Cambria"/>
          <w:b/>
          <w:lang w:eastAsia="en-US"/>
        </w:rPr>
        <w:t>Profitability to Firm Value Effect Moderated By Dividend Policy</w:t>
      </w:r>
    </w:p>
    <w:p w14:paraId="2E6AE939" w14:textId="265C75E4" w:rsidR="00AB5F83" w:rsidRPr="00931280" w:rsidRDefault="00BC4BB5" w:rsidP="00BC4BB5">
      <w:pPr>
        <w:spacing w:after="0" w:line="240" w:lineRule="auto"/>
        <w:ind w:firstLine="284"/>
        <w:jc w:val="both"/>
        <w:rPr>
          <w:rFonts w:eastAsia="Cambria" w:cs="Cambria"/>
          <w:lang w:eastAsia="en-US"/>
        </w:rPr>
      </w:pPr>
      <w:r w:rsidRPr="00931280">
        <w:rPr>
          <w:rFonts w:eastAsia="Cambria" w:cs="Cambria"/>
          <w:lang w:eastAsia="en-US"/>
        </w:rPr>
        <w:lastRenderedPageBreak/>
        <w:t xml:space="preserve">Since this research with a moderating impact shows that dividend policy has no impact on the connection between business valuation and ratio of company profit, the hypothesis is rejected. According to the significant value established by the aforementioned hypothesis test, the moderating reaction is considered insignificant because its value is more than 0.05. </w:t>
      </w:r>
      <w:r w:rsidR="00543F1A" w:rsidRPr="00931280">
        <w:rPr>
          <w:rFonts w:eastAsia="Cambria" w:cs="Cambria"/>
          <w:lang w:eastAsia="en-US"/>
        </w:rPr>
        <w:t xml:space="preserve">The presence of a dividend distribution policy, which uses the DPR size indicator, cannot </w:t>
      </w:r>
      <w:r w:rsidRPr="00931280">
        <w:rPr>
          <w:rFonts w:eastAsia="Cambria" w:cs="Cambria"/>
          <w:lang w:eastAsia="en-US"/>
        </w:rPr>
        <w:t xml:space="preserve">raise the company's worth throughout periods of high or low ratio of company profit. This is due to the fact that a high dividend will lower profit, making it impossible for it to significantly impact a company's worth. Hidayat (2020), states that company investors will tend to focus on the profit that the company will generate compared to the value of its dividends. </w:t>
      </w:r>
      <w:r w:rsidR="00543F1A" w:rsidRPr="00931280">
        <w:rPr>
          <w:rFonts w:eastAsia="Cambria" w:cs="Cambria"/>
          <w:lang w:eastAsia="en-US"/>
        </w:rPr>
        <w:t xml:space="preserve">Contrary to signal theory, the existence of moderation is unable to provide a more powerful signal in increasing the level of firm value. </w:t>
      </w:r>
      <w:r w:rsidRPr="00931280">
        <w:rPr>
          <w:rFonts w:eastAsia="Cambria" w:cs="Cambria"/>
          <w:lang w:eastAsia="en-US"/>
        </w:rPr>
        <w:t>The findings are in tune with Gurnita et al. (2021) research, that shows the same result.</w:t>
      </w:r>
    </w:p>
    <w:p w14:paraId="5681E91A" w14:textId="77777777" w:rsidR="00AB5F83" w:rsidRPr="00931280" w:rsidRDefault="00AB5F83" w:rsidP="00AB5F83">
      <w:pPr>
        <w:spacing w:after="0" w:line="240" w:lineRule="auto"/>
        <w:jc w:val="both"/>
        <w:rPr>
          <w:rFonts w:eastAsia="Cambria" w:cs="Cambria"/>
          <w:b/>
          <w:lang w:eastAsia="en-US"/>
        </w:rPr>
      </w:pPr>
      <w:r w:rsidRPr="00931280">
        <w:rPr>
          <w:rFonts w:eastAsia="Cambria" w:cs="Cambria"/>
          <w:b/>
          <w:lang w:eastAsia="en-US"/>
        </w:rPr>
        <w:t>5. CONCLUSION</w:t>
      </w:r>
    </w:p>
    <w:p w14:paraId="50D86987" w14:textId="77777777" w:rsidR="00AB5F83" w:rsidRPr="00931280" w:rsidRDefault="00AB5F83" w:rsidP="00F67D32">
      <w:pPr>
        <w:spacing w:after="0" w:line="240" w:lineRule="auto"/>
        <w:ind w:firstLine="284"/>
        <w:jc w:val="both"/>
        <w:rPr>
          <w:rFonts w:eastAsia="Cambria" w:cs="Cambria"/>
          <w:color w:val="0E101A"/>
          <w:lang w:eastAsia="en-US"/>
        </w:rPr>
      </w:pPr>
      <w:r w:rsidRPr="00931280">
        <w:rPr>
          <w:rFonts w:eastAsia="Cambria" w:cs="Cambria"/>
          <w:color w:val="0E101A"/>
          <w:lang w:eastAsia="en-US"/>
        </w:rPr>
        <w:t xml:space="preserve">According to the test, IOS significantly increases firm worth. The ability of the firm to manage its capital with a growing performance orientation and company value is demonstrated by an increasing IOS. However, it has not been demonstrated that firm value is significantly impacted by company growth. Growing companies typically incur high development and administration costs, making it impossible to guarantee that the company's worth is also high. Because ratio of company profit tends to be low throughout the era that researchers use, it cannot have a substantial impact on a firm valuation, that's why ratio of company profit on firm value shown to be non-significant. Companies that pay dividends or do not have enough implications for investment opportunities on the company's intrinsic valuation are those whose dividend distribution is unable to become a moderator for IOS on firm value. In cases where it has been demonstrated that dividend distribution will result in funding, which has consequences for slowing company growth, which is directly tied to company valuation performance, dividend policy can act as a moderator between firm value and company growth. It has been proven that distributing a dividend cannot moderate the ratio of company profit for company value. Dividend payments will lower earnings, so they will not affect the firm's worth. </w:t>
      </w:r>
    </w:p>
    <w:p w14:paraId="1DD8CB65" w14:textId="77777777" w:rsidR="00F16850" w:rsidRPr="00931280" w:rsidRDefault="00F16850" w:rsidP="00F67D32">
      <w:pPr>
        <w:ind w:firstLine="284"/>
        <w:jc w:val="both"/>
      </w:pPr>
    </w:p>
    <w:p w14:paraId="0CEC8EB0" w14:textId="36CC05AE" w:rsidR="00F16850" w:rsidRPr="00931280" w:rsidRDefault="003641DC" w:rsidP="00FD2E41">
      <w:pPr>
        <w:spacing w:line="360" w:lineRule="auto"/>
        <w:jc w:val="both"/>
        <w:rPr>
          <w:rFonts w:eastAsia="Times New Roman"/>
          <w:b/>
          <w:color w:val="000000"/>
        </w:rPr>
      </w:pPr>
      <w:r>
        <w:rPr>
          <w:rFonts w:eastAsia="Times New Roman"/>
          <w:b/>
          <w:color w:val="000000"/>
        </w:rPr>
        <w:t xml:space="preserve">6. </w:t>
      </w:r>
      <w:r w:rsidR="007E540D">
        <w:rPr>
          <w:rFonts w:eastAsia="Times New Roman"/>
          <w:b/>
          <w:color w:val="000000"/>
        </w:rPr>
        <w:t>REFERENCE</w:t>
      </w:r>
    </w:p>
    <w:p w14:paraId="3387B244" w14:textId="77777777" w:rsidR="002E7792" w:rsidRPr="00931280" w:rsidRDefault="006142DA" w:rsidP="00AA2133">
      <w:pPr>
        <w:pStyle w:val="Bibliography"/>
        <w:spacing w:line="240" w:lineRule="auto"/>
        <w:rPr>
          <w:rFonts w:ascii="Calibri" w:hAnsi="Calibri"/>
          <w:sz w:val="24"/>
        </w:rPr>
      </w:pPr>
      <w:r w:rsidRPr="00931280">
        <w:rPr>
          <w:rFonts w:ascii="Calibri" w:hAnsi="Calibri"/>
          <w:sz w:val="24"/>
        </w:rPr>
        <w:fldChar w:fldCharType="begin"/>
      </w:r>
      <w:r w:rsidR="002E7792" w:rsidRPr="00931280">
        <w:rPr>
          <w:rFonts w:ascii="Calibri" w:hAnsi="Calibri"/>
          <w:sz w:val="24"/>
        </w:rPr>
        <w:instrText xml:space="preserve"> ADDIN ZOTERO_BIBL {"uncited":[["http://zotero.org/users/13925015/items/HAJAAEAF"],["http://zotero.org/users/13925015/items/9PGXDEZE"],["http://zotero.org/users/13925015/items/M8HAJUAH"],["http://zotero.org/users/13925015/items/MA72XGJ6"],["http://zotero.org/users/13925015/items/JXY5MZF8"],["http://zotero.org/users/13925015/items/TFJRT7GT"],["http://zotero.org/users/13925015/items/C3RYE8SL"],["http://zotero.org/users/13925015/items/U47LYWPI"],["http://zotero.org/users/13925015/items/KDIJSHUN"],["http://zotero.org/users/13925015/items/M4NEXBWL"],["http://zotero.org/users/13925015/items/BXEGNYZK"],["http://zotero.org/users/13925015/items/FA88RPUZ"],["http://zotero.org/users/13925015/items/3VPBZK93"],["http://zotero.org/users/13925015/items/P9QEKZCH"],["http://zotero.org/users/13925015/items/GPGGWD9M"],["http://zotero.org/users/13925015/items/5PD47NV2"],["http://zotero.org/users/13925015/items/J2WJPGW8"],["http://zotero.org/users/13925015/items/YBC6TVB8"],["http://zotero.org/users/13925015/items/F2LETZES"],["http://zotero.org/users/13925015/items/8ZCHHCU7"],["http://zotero.org/users/13925015/items/Y6YWBB2E"],["http://zotero.org/users/13925015/items/BBEME8BW"]],"omitted":[],"custom":[]} CSL_BIBLIOGRAPHY </w:instrText>
      </w:r>
      <w:r w:rsidRPr="00931280">
        <w:rPr>
          <w:rFonts w:ascii="Calibri" w:hAnsi="Calibri"/>
          <w:sz w:val="24"/>
        </w:rPr>
        <w:fldChar w:fldCharType="separate"/>
      </w:r>
      <w:r w:rsidR="002E7792" w:rsidRPr="00931280">
        <w:rPr>
          <w:rFonts w:ascii="Calibri" w:hAnsi="Calibri"/>
          <w:sz w:val="24"/>
        </w:rPr>
        <w:t xml:space="preserve">Adare, E. P. N., Nangoy, S. C., &amp; Saerang, I. S. (2015). </w:t>
      </w:r>
      <w:r w:rsidR="002E7792" w:rsidRPr="00931280">
        <w:rPr>
          <w:rFonts w:ascii="Calibri" w:hAnsi="Calibri"/>
          <w:i/>
          <w:iCs/>
          <w:sz w:val="24"/>
        </w:rPr>
        <w:t>Pengaruh Likuiditas Bank Terhadap Return on Asset pada Bank Swasta Nasional yang Terdaftar di Bursa Efek Indonesia Periode 2008-2013</w:t>
      </w:r>
      <w:r w:rsidR="002E7792" w:rsidRPr="00931280">
        <w:rPr>
          <w:rFonts w:ascii="Calibri" w:hAnsi="Calibri"/>
          <w:sz w:val="24"/>
        </w:rPr>
        <w:t xml:space="preserve">. </w:t>
      </w:r>
      <w:r w:rsidR="002E7792" w:rsidRPr="00931280">
        <w:rPr>
          <w:rFonts w:ascii="Calibri" w:hAnsi="Calibri"/>
          <w:i/>
          <w:iCs/>
          <w:sz w:val="24"/>
        </w:rPr>
        <w:t>15</w:t>
      </w:r>
      <w:r w:rsidR="002E7792" w:rsidRPr="00931280">
        <w:rPr>
          <w:rFonts w:ascii="Calibri" w:hAnsi="Calibri"/>
          <w:sz w:val="24"/>
        </w:rPr>
        <w:t>(05).</w:t>
      </w:r>
    </w:p>
    <w:p w14:paraId="77CE9C43"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Afridi, F. E. A., Khan, Y., Zafar, Dr. S., &amp; Ayaz, Ms. B. (2022). The Effect of Firm Size, Investment Opportunity Set, and Capital Structure on Firm Value. </w:t>
      </w:r>
      <w:r w:rsidRPr="00931280">
        <w:rPr>
          <w:rFonts w:ascii="Calibri" w:hAnsi="Calibri"/>
          <w:i/>
          <w:iCs/>
          <w:sz w:val="24"/>
        </w:rPr>
        <w:t>International Journal of Social Science &amp; Entrepreneurship</w:t>
      </w:r>
      <w:r w:rsidRPr="00931280">
        <w:rPr>
          <w:rFonts w:ascii="Calibri" w:hAnsi="Calibri"/>
          <w:sz w:val="24"/>
        </w:rPr>
        <w:t xml:space="preserve">, </w:t>
      </w:r>
      <w:r w:rsidRPr="00931280">
        <w:rPr>
          <w:rFonts w:ascii="Calibri" w:hAnsi="Calibri"/>
          <w:i/>
          <w:iCs/>
          <w:sz w:val="24"/>
        </w:rPr>
        <w:t>2</w:t>
      </w:r>
      <w:r w:rsidRPr="00931280">
        <w:rPr>
          <w:rFonts w:ascii="Calibri" w:hAnsi="Calibri"/>
          <w:sz w:val="24"/>
        </w:rPr>
        <w:t>(2), 32–46. https://doi.org/10.58661/ijsse.v2i2.42</w:t>
      </w:r>
    </w:p>
    <w:p w14:paraId="4C4DBF9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Amelia, R. W., &amp; Sunarsi, D. (2020). Pengaruh Return On Asset dan Return On Equity terhadap Debt To Equity Ratio Pada PT. Kalbe Farma, Tbk. </w:t>
      </w:r>
      <w:r w:rsidRPr="00931280">
        <w:rPr>
          <w:rFonts w:ascii="Calibri" w:hAnsi="Calibri"/>
          <w:i/>
          <w:iCs/>
          <w:sz w:val="24"/>
        </w:rPr>
        <w:t>Ad-Deenar: Jurnal Ekonomi dan Bisnis Islam</w:t>
      </w:r>
      <w:r w:rsidRPr="00931280">
        <w:rPr>
          <w:rFonts w:ascii="Calibri" w:hAnsi="Calibri"/>
          <w:sz w:val="24"/>
        </w:rPr>
        <w:t xml:space="preserve">, </w:t>
      </w:r>
      <w:r w:rsidRPr="00931280">
        <w:rPr>
          <w:rFonts w:ascii="Calibri" w:hAnsi="Calibri"/>
          <w:i/>
          <w:iCs/>
          <w:sz w:val="24"/>
        </w:rPr>
        <w:t>4</w:t>
      </w:r>
      <w:r w:rsidRPr="00931280">
        <w:rPr>
          <w:rFonts w:ascii="Calibri" w:hAnsi="Calibri"/>
          <w:sz w:val="24"/>
        </w:rPr>
        <w:t>(01), 105. https://doi.org/10.30868/ad.v4i01.738</w:t>
      </w:r>
    </w:p>
    <w:p w14:paraId="5DBB249F"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Anggraini, R., &amp; Yan Nyale, M. H. (2022). Pengaruh Profitabilitas, Solvabilitas dan Investment Opportunity Set terhadap Nilai Perusahaan dengan Kebijakan Dividen sebagai Variabel Moderasi. </w:t>
      </w:r>
      <w:r w:rsidRPr="00931280">
        <w:rPr>
          <w:rFonts w:ascii="Calibri" w:hAnsi="Calibri"/>
          <w:i/>
          <w:iCs/>
          <w:sz w:val="24"/>
        </w:rPr>
        <w:t>Ekonomi, Keuangan, Investasi dan Syariah (EKUITAS)</w:t>
      </w:r>
      <w:r w:rsidRPr="00931280">
        <w:rPr>
          <w:rFonts w:ascii="Calibri" w:hAnsi="Calibri"/>
          <w:sz w:val="24"/>
        </w:rPr>
        <w:t xml:space="preserve">, </w:t>
      </w:r>
      <w:r w:rsidRPr="00931280">
        <w:rPr>
          <w:rFonts w:ascii="Calibri" w:hAnsi="Calibri"/>
          <w:i/>
          <w:iCs/>
          <w:sz w:val="24"/>
        </w:rPr>
        <w:t>4</w:t>
      </w:r>
      <w:r w:rsidRPr="00931280">
        <w:rPr>
          <w:rFonts w:ascii="Calibri" w:hAnsi="Calibri"/>
          <w:sz w:val="24"/>
        </w:rPr>
        <w:t>(1), 130–137. https://doi.org/10.47065/ekuitas.v4i1.2051</w:t>
      </w:r>
    </w:p>
    <w:p w14:paraId="6F78C6C5"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lastRenderedPageBreak/>
        <w:t xml:space="preserve">Aqueveque, C. (2005). Signaling Corporate Values: Consumers’ Suspicious Minds. </w:t>
      </w:r>
      <w:r w:rsidRPr="00931280">
        <w:rPr>
          <w:rFonts w:ascii="Calibri" w:hAnsi="Calibri"/>
          <w:i/>
          <w:iCs/>
          <w:sz w:val="24"/>
        </w:rPr>
        <w:t>Corporate Governance: The International Journal of Business in Society</w:t>
      </w:r>
      <w:r w:rsidRPr="00931280">
        <w:rPr>
          <w:rFonts w:ascii="Calibri" w:hAnsi="Calibri"/>
          <w:sz w:val="24"/>
        </w:rPr>
        <w:t xml:space="preserve">, </w:t>
      </w:r>
      <w:r w:rsidRPr="00931280">
        <w:rPr>
          <w:rFonts w:ascii="Calibri" w:hAnsi="Calibri"/>
          <w:i/>
          <w:iCs/>
          <w:sz w:val="24"/>
        </w:rPr>
        <w:t>5</w:t>
      </w:r>
      <w:r w:rsidRPr="00931280">
        <w:rPr>
          <w:rFonts w:ascii="Calibri" w:hAnsi="Calibri"/>
          <w:sz w:val="24"/>
        </w:rPr>
        <w:t>(3), 70–81. https://doi.org/10.1108/14720700510604715</w:t>
      </w:r>
    </w:p>
    <w:p w14:paraId="076E59B3"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Ariyani, N., Putra, A. P., &amp; Purwanto, P. (2024). Pengaruh Profitabilitas dan Investment Opportunity Set terhadap Nilai Perusahaan dengan Kebijakan Dividen sebagai Variabel Moderasi. </w:t>
      </w:r>
      <w:r w:rsidRPr="00931280">
        <w:rPr>
          <w:rFonts w:ascii="Calibri" w:hAnsi="Calibri"/>
          <w:i/>
          <w:iCs/>
          <w:sz w:val="24"/>
        </w:rPr>
        <w:t>UMMagelang Conference Series</w:t>
      </w:r>
      <w:r w:rsidRPr="00931280">
        <w:rPr>
          <w:rFonts w:ascii="Calibri" w:hAnsi="Calibri"/>
          <w:sz w:val="24"/>
        </w:rPr>
        <w:t>, 615–624. https://doi.org/10.31603/conference.12045</w:t>
      </w:r>
    </w:p>
    <w:p w14:paraId="2F73CB5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Ariyanti, K. S., Novitasari, N. L. G., &amp; Widhiastuti, N. L. P. (2022). </w:t>
      </w:r>
      <w:r w:rsidRPr="00931280">
        <w:rPr>
          <w:rFonts w:ascii="Calibri" w:hAnsi="Calibri"/>
          <w:i/>
          <w:iCs/>
          <w:sz w:val="24"/>
        </w:rPr>
        <w:t>Pengaruh Keputusan Finansial Investment Opportunity Set, dan Pertumbuhan Perusahaan Terhadap Nilai Perusahaan</w:t>
      </w:r>
      <w:r w:rsidRPr="00931280">
        <w:rPr>
          <w:rFonts w:ascii="Calibri" w:hAnsi="Calibri"/>
          <w:sz w:val="24"/>
        </w:rPr>
        <w:t xml:space="preserve">. </w:t>
      </w:r>
      <w:r w:rsidRPr="00931280">
        <w:rPr>
          <w:rFonts w:ascii="Calibri" w:hAnsi="Calibri"/>
          <w:i/>
          <w:iCs/>
          <w:sz w:val="24"/>
        </w:rPr>
        <w:t>4</w:t>
      </w:r>
      <w:r w:rsidRPr="00931280">
        <w:rPr>
          <w:rFonts w:ascii="Calibri" w:hAnsi="Calibri"/>
          <w:sz w:val="24"/>
        </w:rPr>
        <w:t>(1).</w:t>
      </w:r>
    </w:p>
    <w:p w14:paraId="084BD179"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Atmaja. (2008). </w:t>
      </w:r>
      <w:r w:rsidRPr="00931280">
        <w:rPr>
          <w:rFonts w:ascii="Calibri" w:hAnsi="Calibri"/>
          <w:i/>
          <w:iCs/>
          <w:sz w:val="24"/>
        </w:rPr>
        <w:t>Teori dan Praktek Manajemen Keuangan</w:t>
      </w:r>
      <w:r w:rsidRPr="00931280">
        <w:rPr>
          <w:rFonts w:ascii="Calibri" w:hAnsi="Calibri"/>
          <w:sz w:val="24"/>
        </w:rPr>
        <w:t xml:space="preserve"> (1st ed.). Andi. https://inlislite.uin-suska.ac.id/opac/detail-opac?id=7414</w:t>
      </w:r>
    </w:p>
    <w:p w14:paraId="5FAFC9C6"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Bprtaruna.com. (2023). </w:t>
      </w:r>
      <w:r w:rsidRPr="00931280">
        <w:rPr>
          <w:rFonts w:ascii="Calibri" w:hAnsi="Calibri"/>
          <w:i/>
          <w:iCs/>
          <w:sz w:val="24"/>
        </w:rPr>
        <w:t>3 Pakar Buka Suara Soal Saham Bank Jeblok</w:t>
      </w:r>
      <w:r w:rsidRPr="00931280">
        <w:rPr>
          <w:rFonts w:ascii="Calibri" w:hAnsi="Calibri"/>
          <w:sz w:val="24"/>
        </w:rPr>
        <w:t>. https://www.bprtaruna.com/baca-berita/62/null</w:t>
      </w:r>
    </w:p>
    <w:p w14:paraId="75DCA15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Chabachib, M., Hersugondo, H., &amp; Septiviardi, D. (2020). The Effect of Investment Opportunity Set and Company Growth on Firm Value: Capital Structure as an Intervening Variable. </w:t>
      </w:r>
      <w:r w:rsidRPr="00931280">
        <w:rPr>
          <w:rFonts w:ascii="Calibri" w:hAnsi="Calibri"/>
          <w:i/>
          <w:iCs/>
          <w:sz w:val="24"/>
        </w:rPr>
        <w:t>International Journal of Innovation</w:t>
      </w:r>
      <w:r w:rsidRPr="00931280">
        <w:rPr>
          <w:rFonts w:ascii="Calibri" w:hAnsi="Calibri"/>
          <w:sz w:val="24"/>
        </w:rPr>
        <w:t xml:space="preserve">, </w:t>
      </w:r>
      <w:r w:rsidRPr="00931280">
        <w:rPr>
          <w:rFonts w:ascii="Calibri" w:hAnsi="Calibri"/>
          <w:i/>
          <w:iCs/>
          <w:sz w:val="24"/>
        </w:rPr>
        <w:t>12</w:t>
      </w:r>
      <w:r w:rsidRPr="00931280">
        <w:rPr>
          <w:rFonts w:ascii="Calibri" w:hAnsi="Calibri"/>
          <w:sz w:val="24"/>
        </w:rPr>
        <w:t>(11).</w:t>
      </w:r>
    </w:p>
    <w:p w14:paraId="2C25B250"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Dasman, S., Rachman, F., Wulandari, D., &amp; Widiastuti. (2023). Keputusan Pembiayaan dan Keputusan Investasi Terhadap Nilai Perusahaan Dimoderasi Kinerja Keuangan. </w:t>
      </w:r>
      <w:r w:rsidRPr="00931280">
        <w:rPr>
          <w:rFonts w:ascii="Calibri" w:hAnsi="Calibri"/>
          <w:i/>
          <w:iCs/>
          <w:sz w:val="24"/>
        </w:rPr>
        <w:t>Jurnal Ilmiah Manajemen dan Bisnis</w:t>
      </w:r>
      <w:r w:rsidRPr="00931280">
        <w:rPr>
          <w:rFonts w:ascii="Calibri" w:hAnsi="Calibri"/>
          <w:sz w:val="24"/>
        </w:rPr>
        <w:t>. https://doi.org/10.30596/jimb.v24i2.14829</w:t>
      </w:r>
    </w:p>
    <w:p w14:paraId="3D3673B7"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Dhani, I. P., &amp; Utama, S. (2017). </w:t>
      </w:r>
      <w:r w:rsidRPr="00931280">
        <w:rPr>
          <w:rFonts w:ascii="Calibri" w:hAnsi="Calibri"/>
          <w:i/>
          <w:iCs/>
          <w:sz w:val="24"/>
        </w:rPr>
        <w:t>Pengaruh Pertumbuhan Perusahaan, Struktur Modal, dan Profitabilitas terhadap Nilai Perusahaan</w:t>
      </w:r>
      <w:r w:rsidRPr="00931280">
        <w:rPr>
          <w:rFonts w:ascii="Calibri" w:hAnsi="Calibri"/>
          <w:sz w:val="24"/>
        </w:rPr>
        <w:t xml:space="preserve">. </w:t>
      </w:r>
      <w:r w:rsidRPr="00931280">
        <w:rPr>
          <w:rFonts w:ascii="Calibri" w:hAnsi="Calibri"/>
          <w:i/>
          <w:iCs/>
          <w:sz w:val="24"/>
        </w:rPr>
        <w:t>2</w:t>
      </w:r>
      <w:r w:rsidRPr="00931280">
        <w:rPr>
          <w:rFonts w:ascii="Calibri" w:hAnsi="Calibri"/>
          <w:sz w:val="24"/>
        </w:rPr>
        <w:t>(1).</w:t>
      </w:r>
    </w:p>
    <w:p w14:paraId="6D020659"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Dharmawan, B., &amp; Riza, F. (2019). Pengaruh Investment Opportunity Set Terhadap Nilai Perusahaan Dengan Mediasi Kebijakan Deviden [Studi Empiris pada Emiten yang Tergabung dalam Index LQ45]. </w:t>
      </w:r>
      <w:r w:rsidRPr="00931280">
        <w:rPr>
          <w:rFonts w:ascii="Calibri" w:hAnsi="Calibri"/>
          <w:i/>
          <w:iCs/>
          <w:sz w:val="24"/>
        </w:rPr>
        <w:t>Business Management Journal</w:t>
      </w:r>
      <w:r w:rsidRPr="00931280">
        <w:rPr>
          <w:rFonts w:ascii="Calibri" w:hAnsi="Calibri"/>
          <w:sz w:val="24"/>
        </w:rPr>
        <w:t xml:space="preserve">, </w:t>
      </w:r>
      <w:r w:rsidRPr="00931280">
        <w:rPr>
          <w:rFonts w:ascii="Calibri" w:hAnsi="Calibri"/>
          <w:i/>
          <w:iCs/>
          <w:sz w:val="24"/>
        </w:rPr>
        <w:t>15</w:t>
      </w:r>
      <w:r w:rsidRPr="00931280">
        <w:rPr>
          <w:rFonts w:ascii="Calibri" w:hAnsi="Calibri"/>
          <w:sz w:val="24"/>
        </w:rPr>
        <w:t>(1). https://doi.org/10.30813/bmj.v15i1.1564</w:t>
      </w:r>
    </w:p>
    <w:p w14:paraId="01BA807E"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Ghozali, I. (2011). </w:t>
      </w:r>
      <w:r w:rsidRPr="00931280">
        <w:rPr>
          <w:rFonts w:ascii="Calibri" w:hAnsi="Calibri"/>
          <w:i/>
          <w:iCs/>
          <w:sz w:val="24"/>
        </w:rPr>
        <w:t>Aplikasi Analisis Multivariate dengan Program IBM SPSS 25</w:t>
      </w:r>
      <w:r w:rsidRPr="00931280">
        <w:rPr>
          <w:rFonts w:ascii="Calibri" w:hAnsi="Calibri"/>
          <w:sz w:val="24"/>
        </w:rPr>
        <w:t>. Universitas Diponegoro. http://kin.perpusnas.go.id/DisplayData.aspx?pId=114343&amp;pRegionCode=UNTAR&amp;pClientId=650</w:t>
      </w:r>
    </w:p>
    <w:p w14:paraId="6AE0147F"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Gujarati, D. N. (2003). </w:t>
      </w:r>
      <w:r w:rsidRPr="00931280">
        <w:rPr>
          <w:rFonts w:ascii="Calibri" w:hAnsi="Calibri"/>
          <w:i/>
          <w:iCs/>
          <w:sz w:val="24"/>
        </w:rPr>
        <w:t>Basic Econometrics</w:t>
      </w:r>
      <w:r w:rsidRPr="00931280">
        <w:rPr>
          <w:rFonts w:ascii="Calibri" w:hAnsi="Calibri"/>
          <w:sz w:val="24"/>
        </w:rPr>
        <w:t xml:space="preserve"> (4. ed). McGraw Hill.</w:t>
      </w:r>
    </w:p>
    <w:p w14:paraId="317F4B38"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Gurnita, A., Hermanto, &amp; Surasni, N. K. (2021). The Effect of Leverage and Profitability on Firm Value with Dividend Policy as Moderation Variable (Studies in Manufacturing Companies for the 2014-2018 Period). </w:t>
      </w:r>
      <w:r w:rsidRPr="00931280">
        <w:rPr>
          <w:rFonts w:ascii="Calibri" w:hAnsi="Calibri"/>
          <w:i/>
          <w:iCs/>
          <w:sz w:val="24"/>
        </w:rPr>
        <w:t>International Journal of Multicultural and Multireligious Understanding</w:t>
      </w:r>
      <w:r w:rsidRPr="00931280">
        <w:rPr>
          <w:rFonts w:ascii="Calibri" w:hAnsi="Calibri"/>
          <w:sz w:val="24"/>
        </w:rPr>
        <w:t>.</w:t>
      </w:r>
    </w:p>
    <w:p w14:paraId="7B75704B"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Hakim, L. (2019). Pengaruh Return On Asset, Investment Opportunity Set Dan Good Corporate Governance Terhadap Nilai Perusahaan LQ45. </w:t>
      </w:r>
      <w:r w:rsidRPr="00931280">
        <w:rPr>
          <w:rFonts w:ascii="Calibri" w:hAnsi="Calibri"/>
          <w:i/>
          <w:iCs/>
          <w:sz w:val="24"/>
        </w:rPr>
        <w:t>IQTISHADUNA: Jurnal Ilmiah Ekonomi Kita</w:t>
      </w:r>
      <w:r w:rsidRPr="00931280">
        <w:rPr>
          <w:rFonts w:ascii="Calibri" w:hAnsi="Calibri"/>
          <w:sz w:val="24"/>
        </w:rPr>
        <w:t xml:space="preserve">, </w:t>
      </w:r>
      <w:r w:rsidRPr="00931280">
        <w:rPr>
          <w:rFonts w:ascii="Calibri" w:hAnsi="Calibri"/>
          <w:i/>
          <w:iCs/>
          <w:sz w:val="24"/>
        </w:rPr>
        <w:t>8</w:t>
      </w:r>
      <w:r w:rsidRPr="00931280">
        <w:rPr>
          <w:rFonts w:ascii="Calibri" w:hAnsi="Calibri"/>
          <w:sz w:val="24"/>
        </w:rPr>
        <w:t>(1), 33–42. https://doi.org/10.46367/iqtishaduna.v8i1.150</w:t>
      </w:r>
    </w:p>
    <w:p w14:paraId="6361DBFD"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Harinurdin, E. (2023). The Influence of Financial Ratio and Company Reputation on Company Stock Prices Financial Sector. </w:t>
      </w:r>
      <w:r w:rsidRPr="00931280">
        <w:rPr>
          <w:rFonts w:ascii="Calibri" w:hAnsi="Calibri"/>
          <w:i/>
          <w:iCs/>
          <w:sz w:val="24"/>
        </w:rPr>
        <w:t>ICVEAST</w:t>
      </w:r>
      <w:r w:rsidRPr="00931280">
        <w:rPr>
          <w:rFonts w:ascii="Calibri" w:hAnsi="Calibri"/>
          <w:sz w:val="24"/>
        </w:rPr>
        <w:t>, 47. https://doi.org/10.3390/proceedings2022083047</w:t>
      </w:r>
    </w:p>
    <w:p w14:paraId="3C4164BC"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Hariyanti, S. A., &amp; Ubaidillah, M. (2022). </w:t>
      </w:r>
      <w:r w:rsidRPr="00931280">
        <w:rPr>
          <w:rFonts w:ascii="Calibri" w:hAnsi="Calibri"/>
          <w:i/>
          <w:iCs/>
          <w:sz w:val="24"/>
        </w:rPr>
        <w:t xml:space="preserve">Pengaruh Investment Opportunity Set dan Corporate </w:t>
      </w:r>
      <w:r w:rsidRPr="00931280">
        <w:rPr>
          <w:rFonts w:ascii="Calibri" w:hAnsi="Calibri"/>
          <w:i/>
          <w:iCs/>
          <w:sz w:val="24"/>
        </w:rPr>
        <w:lastRenderedPageBreak/>
        <w:t>Social Responsibility Terhadap Nilai Perusahaan Dengan Kebijakan Dividen Sebagai Variabel Moderasi</w:t>
      </w:r>
      <w:r w:rsidRPr="00931280">
        <w:rPr>
          <w:rFonts w:ascii="Calibri" w:hAnsi="Calibri"/>
          <w:sz w:val="24"/>
        </w:rPr>
        <w:t>.</w:t>
      </w:r>
    </w:p>
    <w:p w14:paraId="33C2426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Harmono. (2022). </w:t>
      </w:r>
      <w:r w:rsidRPr="00931280">
        <w:rPr>
          <w:rFonts w:ascii="Calibri" w:hAnsi="Calibri"/>
          <w:i/>
          <w:iCs/>
          <w:sz w:val="24"/>
        </w:rPr>
        <w:t>Manajemen Keuangan: Berbasis Balanced Scorecard</w:t>
      </w:r>
      <w:r w:rsidRPr="00931280">
        <w:rPr>
          <w:rFonts w:ascii="Calibri" w:hAnsi="Calibri"/>
          <w:sz w:val="24"/>
        </w:rPr>
        <w:t>. Bumi Aksara. https://books.google.co.id/books?id=OuSCEAAAQBAJ&amp;printsec=copyright#v=onepage&amp;q&amp;f=false</w:t>
      </w:r>
    </w:p>
    <w:p w14:paraId="3E798B6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Hidayat, M. W. (2020). Pengaruh Kebijakan Dividen, Kebijakan Hutang dan Profitabilitas Terhadap Nilai Perusahaan. </w:t>
      </w:r>
      <w:r w:rsidRPr="00931280">
        <w:rPr>
          <w:rFonts w:ascii="Calibri" w:hAnsi="Calibri"/>
          <w:i/>
          <w:iCs/>
          <w:sz w:val="24"/>
        </w:rPr>
        <w:t>JIRM : Jurnal Ilmu dan Riset Manajemen</w:t>
      </w:r>
      <w:r w:rsidRPr="00931280">
        <w:rPr>
          <w:rFonts w:ascii="Calibri" w:hAnsi="Calibri"/>
          <w:sz w:val="24"/>
        </w:rPr>
        <w:t xml:space="preserve">, </w:t>
      </w:r>
      <w:r w:rsidRPr="00931280">
        <w:rPr>
          <w:rFonts w:ascii="Calibri" w:hAnsi="Calibri"/>
          <w:i/>
          <w:iCs/>
          <w:sz w:val="24"/>
        </w:rPr>
        <w:t>9</w:t>
      </w:r>
      <w:r w:rsidRPr="00931280">
        <w:rPr>
          <w:rFonts w:ascii="Calibri" w:hAnsi="Calibri"/>
          <w:sz w:val="24"/>
        </w:rPr>
        <w:t>. https://jurnalmahasiswa.stiesia.ac.id/index.php/jirm/article/view/3027</w:t>
      </w:r>
    </w:p>
    <w:p w14:paraId="57E50A03"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Hutchinson, M., &amp; A Gul, F. (2006). The Effects Of Executive Share Options and Investment Opportunities On Firms’ Accounting Performance: Some Australian Evidence. </w:t>
      </w:r>
      <w:r w:rsidRPr="00931280">
        <w:rPr>
          <w:rFonts w:ascii="Calibri" w:hAnsi="Calibri"/>
          <w:i/>
          <w:iCs/>
          <w:sz w:val="24"/>
        </w:rPr>
        <w:t>The British Accounting Review</w:t>
      </w:r>
      <w:r w:rsidRPr="00931280">
        <w:rPr>
          <w:rFonts w:ascii="Calibri" w:hAnsi="Calibri"/>
          <w:sz w:val="24"/>
        </w:rPr>
        <w:t xml:space="preserve">, </w:t>
      </w:r>
      <w:r w:rsidRPr="00931280">
        <w:rPr>
          <w:rFonts w:ascii="Calibri" w:hAnsi="Calibri"/>
          <w:i/>
          <w:iCs/>
          <w:sz w:val="24"/>
        </w:rPr>
        <w:t>38</w:t>
      </w:r>
      <w:r w:rsidRPr="00931280">
        <w:rPr>
          <w:rFonts w:ascii="Calibri" w:hAnsi="Calibri"/>
          <w:sz w:val="24"/>
        </w:rPr>
        <w:t>(3), 277–297. https://doi.org/10.1016/j.bar.2006.02.002</w:t>
      </w:r>
    </w:p>
    <w:p w14:paraId="08BE0603"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Ikhsan, M., Jumono, S., Munandar, A., &amp; Abdurrahman, A. (2022). The Effect of Non Performing Loan (NPL), Independent Commissioner (KMI), and Capital Adequacy Ratio (CAR) on Firm Value (PBV) Mediated by Return on Asset (ROA). </w:t>
      </w:r>
      <w:r w:rsidRPr="00931280">
        <w:rPr>
          <w:rFonts w:ascii="Calibri" w:hAnsi="Calibri"/>
          <w:i/>
          <w:iCs/>
          <w:sz w:val="24"/>
        </w:rPr>
        <w:t>Quantitative Economics and Management Studies</w:t>
      </w:r>
      <w:r w:rsidRPr="00931280">
        <w:rPr>
          <w:rFonts w:ascii="Calibri" w:hAnsi="Calibri"/>
          <w:sz w:val="24"/>
        </w:rPr>
        <w:t xml:space="preserve">, </w:t>
      </w:r>
      <w:r w:rsidRPr="00931280">
        <w:rPr>
          <w:rFonts w:ascii="Calibri" w:hAnsi="Calibri"/>
          <w:i/>
          <w:iCs/>
          <w:sz w:val="24"/>
        </w:rPr>
        <w:t>3</w:t>
      </w:r>
      <w:r w:rsidRPr="00931280">
        <w:rPr>
          <w:rFonts w:ascii="Calibri" w:hAnsi="Calibri"/>
          <w:sz w:val="24"/>
        </w:rPr>
        <w:t>(5), 810–824. https://doi.org/10.35877/454RI.qems1063</w:t>
      </w:r>
    </w:p>
    <w:p w14:paraId="7CF94A4C"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Ilyas, M., &amp; Hertati, L. (2022). Pengaruh Profitabilitas, Leverage, Struktur Modal dan Kebijakan Dividen Terhadap Nilai Perusahaan Era Pandemi Covid-19. </w:t>
      </w:r>
      <w:r w:rsidRPr="00931280">
        <w:rPr>
          <w:rFonts w:ascii="Calibri" w:hAnsi="Calibri"/>
          <w:i/>
          <w:iCs/>
          <w:sz w:val="24"/>
        </w:rPr>
        <w:t>Jurnal Ilmu Keuangan dan Perbankan</w:t>
      </w:r>
      <w:r w:rsidRPr="00931280">
        <w:rPr>
          <w:rFonts w:ascii="Calibri" w:hAnsi="Calibri"/>
          <w:sz w:val="24"/>
        </w:rPr>
        <w:t xml:space="preserve">, </w:t>
      </w:r>
      <w:r w:rsidRPr="00931280">
        <w:rPr>
          <w:rFonts w:ascii="Calibri" w:hAnsi="Calibri"/>
          <w:i/>
          <w:iCs/>
          <w:sz w:val="24"/>
        </w:rPr>
        <w:t>11</w:t>
      </w:r>
      <w:r w:rsidRPr="00931280">
        <w:rPr>
          <w:rFonts w:ascii="Calibri" w:hAnsi="Calibri"/>
          <w:sz w:val="24"/>
        </w:rPr>
        <w:t>.</w:t>
      </w:r>
    </w:p>
    <w:p w14:paraId="02A4421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Ivani, T. P., &amp; Efendi, D. (2024). Pengaruh Pertumbuhan Perusahaan, Keputusan Investasi dan Profitabilitas Terhadap Nilai Perusahaan Dengan Kebijakan Dividen Sebagai Variabel Moderasi. </w:t>
      </w:r>
      <w:r w:rsidRPr="00931280">
        <w:rPr>
          <w:rFonts w:ascii="Calibri" w:hAnsi="Calibri"/>
          <w:i/>
          <w:iCs/>
          <w:sz w:val="24"/>
        </w:rPr>
        <w:t>Jurnal Ilmu dan Riset Akuntansi</w:t>
      </w:r>
      <w:r w:rsidRPr="00931280">
        <w:rPr>
          <w:rFonts w:ascii="Calibri" w:hAnsi="Calibri"/>
          <w:sz w:val="24"/>
        </w:rPr>
        <w:t xml:space="preserve">, </w:t>
      </w:r>
      <w:r w:rsidRPr="00931280">
        <w:rPr>
          <w:rFonts w:ascii="Calibri" w:hAnsi="Calibri"/>
          <w:i/>
          <w:iCs/>
          <w:sz w:val="24"/>
        </w:rPr>
        <w:t>13</w:t>
      </w:r>
      <w:r w:rsidRPr="00931280">
        <w:rPr>
          <w:rFonts w:ascii="Calibri" w:hAnsi="Calibri"/>
          <w:sz w:val="24"/>
        </w:rPr>
        <w:t>.</w:t>
      </w:r>
    </w:p>
    <w:p w14:paraId="728754C6"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Kallapur, S., &amp; Trombley, M. A. (1999). The Association Between Investment Opportunity Set Proxies and Realized Growth. </w:t>
      </w:r>
      <w:r w:rsidRPr="00931280">
        <w:rPr>
          <w:rFonts w:ascii="Calibri" w:hAnsi="Calibri"/>
          <w:i/>
          <w:iCs/>
          <w:sz w:val="24"/>
        </w:rPr>
        <w:t>Journal of Business Finance &amp; Accounting</w:t>
      </w:r>
      <w:r w:rsidRPr="00931280">
        <w:rPr>
          <w:rFonts w:ascii="Calibri" w:hAnsi="Calibri"/>
          <w:sz w:val="24"/>
        </w:rPr>
        <w:t xml:space="preserve">, </w:t>
      </w:r>
      <w:r w:rsidRPr="00931280">
        <w:rPr>
          <w:rFonts w:ascii="Calibri" w:hAnsi="Calibri"/>
          <w:i/>
          <w:iCs/>
          <w:sz w:val="24"/>
        </w:rPr>
        <w:t>26</w:t>
      </w:r>
      <w:r w:rsidRPr="00931280">
        <w:rPr>
          <w:rFonts w:ascii="Calibri" w:hAnsi="Calibri"/>
          <w:sz w:val="24"/>
        </w:rPr>
        <w:t>(3–4), 505–519. https://doi.org/10.1111/1468-5957.00265</w:t>
      </w:r>
    </w:p>
    <w:p w14:paraId="4CCC1E87"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Kemenkeu.go.id. (2022). Menkeu: Reformasi Sektor Keuangan Memiliki Urgensi yang Tinggi dalam Meningkatkan Peranan Intermediasi dan Memperkuat Resiliensi Sistem Keuangan. </w:t>
      </w:r>
      <w:r w:rsidRPr="00931280">
        <w:rPr>
          <w:rFonts w:ascii="Calibri" w:hAnsi="Calibri"/>
          <w:i/>
          <w:iCs/>
          <w:sz w:val="24"/>
        </w:rPr>
        <w:t>Https://Www.Kemenkeu.Go.Id/</w:t>
      </w:r>
      <w:r w:rsidRPr="00931280">
        <w:rPr>
          <w:rFonts w:ascii="Calibri" w:hAnsi="Calibri"/>
          <w:sz w:val="24"/>
        </w:rPr>
        <w:t>. https://www.kemenkeu.go.id/informasi-publik/publikasi/berita-utama/Reformasi-Sektor-Keuangan-Memiliki-Urgensi-Tinggi</w:t>
      </w:r>
    </w:p>
    <w:p w14:paraId="4DBBEF7E"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Kementerian Ketenagakerjaan. (2024). Perusahaan yang terdaftar di WLKP Online, Tw. II Tahun 2024. </w:t>
      </w:r>
      <w:r w:rsidRPr="00931280">
        <w:rPr>
          <w:rFonts w:ascii="Calibri" w:hAnsi="Calibri"/>
          <w:i/>
          <w:iCs/>
          <w:sz w:val="24"/>
        </w:rPr>
        <w:t>Https://Satudata.Kemnaker.Go.Id/</w:t>
      </w:r>
      <w:r w:rsidRPr="00931280">
        <w:rPr>
          <w:rFonts w:ascii="Calibri" w:hAnsi="Calibri"/>
          <w:sz w:val="24"/>
        </w:rPr>
        <w:t>. https://satudata.kemnaker.go.id/data/kumpulan-data/1888</w:t>
      </w:r>
    </w:p>
    <w:p w14:paraId="3DDF956E"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Khoeriyah, A. (2020). Pengaruh Size, Leverage, Sales Growth Dan IOS Terhadap Nilai Perusahaan. </w:t>
      </w:r>
      <w:r w:rsidRPr="00931280">
        <w:rPr>
          <w:rFonts w:ascii="Calibri" w:hAnsi="Calibri"/>
          <w:i/>
          <w:iCs/>
          <w:sz w:val="24"/>
        </w:rPr>
        <w:t>Jurnal Profita</w:t>
      </w:r>
      <w:r w:rsidRPr="00931280">
        <w:rPr>
          <w:rFonts w:ascii="Calibri" w:hAnsi="Calibri"/>
          <w:sz w:val="24"/>
        </w:rPr>
        <w:t xml:space="preserve">, </w:t>
      </w:r>
      <w:r w:rsidRPr="00931280">
        <w:rPr>
          <w:rFonts w:ascii="Calibri" w:hAnsi="Calibri"/>
          <w:i/>
          <w:iCs/>
          <w:sz w:val="24"/>
        </w:rPr>
        <w:t>11</w:t>
      </w:r>
      <w:r w:rsidRPr="00931280">
        <w:rPr>
          <w:rFonts w:ascii="Calibri" w:hAnsi="Calibri"/>
          <w:sz w:val="24"/>
        </w:rPr>
        <w:t>(2), 201. https://doi.org/10.22441/profita.2018.v11.02.004</w:t>
      </w:r>
    </w:p>
    <w:p w14:paraId="457482F0"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Khuzaini, K., Artiningsih, D. W., &amp; Paulina, L. (2017). Influence of Profitability, Investment Opportunity Set (IOS) Leverage and Dividend Policy on Firm Value in The L Service in Indonesia Stock Exchange. </w:t>
      </w:r>
      <w:r w:rsidRPr="00931280">
        <w:rPr>
          <w:rFonts w:ascii="Calibri" w:hAnsi="Calibri"/>
          <w:i/>
          <w:iCs/>
          <w:sz w:val="24"/>
        </w:rPr>
        <w:t>JURNAL TERAPAN MANAJEMEN DAN BISNIS</w:t>
      </w:r>
      <w:r w:rsidRPr="00931280">
        <w:rPr>
          <w:rFonts w:ascii="Calibri" w:hAnsi="Calibri"/>
          <w:sz w:val="24"/>
        </w:rPr>
        <w:t xml:space="preserve">, </w:t>
      </w:r>
      <w:r w:rsidRPr="00931280">
        <w:rPr>
          <w:rFonts w:ascii="Calibri" w:hAnsi="Calibri"/>
          <w:i/>
          <w:iCs/>
          <w:sz w:val="24"/>
        </w:rPr>
        <w:t>3</w:t>
      </w:r>
      <w:r w:rsidRPr="00931280">
        <w:rPr>
          <w:rFonts w:ascii="Calibri" w:hAnsi="Calibri"/>
          <w:sz w:val="24"/>
        </w:rPr>
        <w:t>(2), 235. https://doi.org/10.26737/jtmb.v3i2.346</w:t>
      </w:r>
    </w:p>
    <w:p w14:paraId="21D0133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Maharani, N. K. (2020). Pengaruh Prediksi Kebangkrutan, Profitabilitas dan Opini Audit Terhadap Nilai Perusahaan. </w:t>
      </w:r>
      <w:r w:rsidRPr="00931280">
        <w:rPr>
          <w:rFonts w:ascii="Calibri" w:hAnsi="Calibri"/>
          <w:i/>
          <w:iCs/>
          <w:sz w:val="24"/>
        </w:rPr>
        <w:t>Forum Ilmiah Indonusa</w:t>
      </w:r>
      <w:r w:rsidRPr="00931280">
        <w:rPr>
          <w:rFonts w:ascii="Calibri" w:hAnsi="Calibri"/>
          <w:sz w:val="24"/>
        </w:rPr>
        <w:t>. https://ejurnal.esaunggul.ac.id/index.php/Formil/article/view/3678</w:t>
      </w:r>
    </w:p>
    <w:p w14:paraId="467D2F1E"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lastRenderedPageBreak/>
        <w:t xml:space="preserve">Markonah, M., Salim, A., &amp; Franciska, J. (2020). Effect Of Profitability, Leverage, and Liquidity To The Firm Value. </w:t>
      </w:r>
      <w:r w:rsidRPr="00931280">
        <w:rPr>
          <w:rFonts w:ascii="Calibri" w:hAnsi="Calibri"/>
          <w:i/>
          <w:iCs/>
          <w:sz w:val="24"/>
        </w:rPr>
        <w:t>Dinasti International Journal of Economics, Finance &amp; Accounting</w:t>
      </w:r>
      <w:r w:rsidRPr="00931280">
        <w:rPr>
          <w:rFonts w:ascii="Calibri" w:hAnsi="Calibri"/>
          <w:sz w:val="24"/>
        </w:rPr>
        <w:t xml:space="preserve">, </w:t>
      </w:r>
      <w:r w:rsidRPr="00931280">
        <w:rPr>
          <w:rFonts w:ascii="Calibri" w:hAnsi="Calibri"/>
          <w:i/>
          <w:iCs/>
          <w:sz w:val="24"/>
        </w:rPr>
        <w:t>1</w:t>
      </w:r>
      <w:r w:rsidRPr="00931280">
        <w:rPr>
          <w:rFonts w:ascii="Calibri" w:hAnsi="Calibri"/>
          <w:sz w:val="24"/>
        </w:rPr>
        <w:t>(1), 83–94. https://doi.org/10.38035/dijefa.v1i1.225</w:t>
      </w:r>
    </w:p>
    <w:p w14:paraId="4B857674"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Mauris, F. I., &amp; Rizal, N. A. (2021). The Effect of Collaterallizable Assets, Growth in Net Assets, Liquidity, Leverage and Profitability on Dividend Policy (Case Studies on Non-Financial Services Sector Companies Listed on the Indonesia Stock Exchange for the 2016-2019 Period). </w:t>
      </w:r>
      <w:r w:rsidRPr="00931280">
        <w:rPr>
          <w:rFonts w:ascii="Calibri" w:hAnsi="Calibri"/>
          <w:i/>
          <w:iCs/>
          <w:sz w:val="24"/>
        </w:rPr>
        <w:t>Budapest International Research and Critics Institute  (BIRCI-Journal): Humanities and Social Sciences</w:t>
      </w:r>
      <w:r w:rsidRPr="00931280">
        <w:rPr>
          <w:rFonts w:ascii="Calibri" w:hAnsi="Calibri"/>
          <w:sz w:val="24"/>
        </w:rPr>
        <w:t xml:space="preserve">, </w:t>
      </w:r>
      <w:r w:rsidRPr="00931280">
        <w:rPr>
          <w:rFonts w:ascii="Calibri" w:hAnsi="Calibri"/>
          <w:i/>
          <w:iCs/>
          <w:sz w:val="24"/>
        </w:rPr>
        <w:t>4</w:t>
      </w:r>
      <w:r w:rsidRPr="00931280">
        <w:rPr>
          <w:rFonts w:ascii="Calibri" w:hAnsi="Calibri"/>
          <w:sz w:val="24"/>
        </w:rPr>
        <w:t>(1), 937–950. https://doi.org/10.33258/birci.v4i1.1695</w:t>
      </w:r>
    </w:p>
    <w:p w14:paraId="5A1E10D6"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Musiega, M., Alala, O., Douglas, M., Christopher, M., &amp; Robert, E. (2013). </w:t>
      </w:r>
      <w:r w:rsidRPr="00931280">
        <w:rPr>
          <w:rFonts w:ascii="Calibri" w:hAnsi="Calibri"/>
          <w:i/>
          <w:iCs/>
          <w:sz w:val="24"/>
        </w:rPr>
        <w:t>Determinants Of Dividend Payout Policy Among Non-Financial Firms On Nairobi Securities Exchange, Kenya.</w:t>
      </w:r>
      <w:r w:rsidRPr="00931280">
        <w:rPr>
          <w:rFonts w:ascii="Calibri" w:hAnsi="Calibri"/>
          <w:sz w:val="24"/>
        </w:rPr>
        <w:t xml:space="preserve"> </w:t>
      </w:r>
      <w:r w:rsidRPr="00931280">
        <w:rPr>
          <w:rFonts w:ascii="Calibri" w:hAnsi="Calibri"/>
          <w:i/>
          <w:iCs/>
          <w:sz w:val="24"/>
        </w:rPr>
        <w:t>2</w:t>
      </w:r>
      <w:r w:rsidRPr="00931280">
        <w:rPr>
          <w:rFonts w:ascii="Calibri" w:hAnsi="Calibri"/>
          <w:sz w:val="24"/>
        </w:rPr>
        <w:t>(10). https://www.academia.edu/download/37897453/Determinants-Of-Dividend-Payout-Policy-Among-Non-financial-Firms-On-Nairobi-Securities-Exchange-Kenya..pdf</w:t>
      </w:r>
    </w:p>
    <w:p w14:paraId="4E78D3A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Nikmah, U., &amp; Amanah, L. (2019). Pengaruh Investment Opportunity Set, Profitabilitas, dan Sustainability Reporting Terhadap Nilai Perusahaan. </w:t>
      </w:r>
      <w:r w:rsidRPr="00931280">
        <w:rPr>
          <w:rFonts w:ascii="Calibri" w:hAnsi="Calibri"/>
          <w:i/>
          <w:iCs/>
          <w:sz w:val="24"/>
        </w:rPr>
        <w:t>JIRA: Jurnal Ilmu dan Riset Akuntansi</w:t>
      </w:r>
      <w:r w:rsidRPr="00931280">
        <w:rPr>
          <w:rFonts w:ascii="Calibri" w:hAnsi="Calibri"/>
          <w:sz w:val="24"/>
        </w:rPr>
        <w:t xml:space="preserve">, </w:t>
      </w:r>
      <w:r w:rsidRPr="00931280">
        <w:rPr>
          <w:rFonts w:ascii="Calibri" w:hAnsi="Calibri"/>
          <w:i/>
          <w:iCs/>
          <w:sz w:val="24"/>
        </w:rPr>
        <w:t>8</w:t>
      </w:r>
      <w:r w:rsidRPr="00931280">
        <w:rPr>
          <w:rFonts w:ascii="Calibri" w:hAnsi="Calibri"/>
          <w:sz w:val="24"/>
        </w:rPr>
        <w:t>.</w:t>
      </w:r>
    </w:p>
    <w:p w14:paraId="0C5BCB4A"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Nini, N., Patrisia, D., &amp; Nurofik, A. (2020). The Effect of Capital Structure on Company Financial Performance. </w:t>
      </w:r>
      <w:r w:rsidRPr="00931280">
        <w:rPr>
          <w:rFonts w:ascii="Calibri" w:hAnsi="Calibri"/>
          <w:i/>
          <w:iCs/>
          <w:sz w:val="24"/>
        </w:rPr>
        <w:t>Jurnal Economia</w:t>
      </w:r>
      <w:r w:rsidRPr="00931280">
        <w:rPr>
          <w:rFonts w:ascii="Calibri" w:hAnsi="Calibri"/>
          <w:sz w:val="24"/>
        </w:rPr>
        <w:t xml:space="preserve">, </w:t>
      </w:r>
      <w:r w:rsidRPr="00931280">
        <w:rPr>
          <w:rFonts w:ascii="Calibri" w:hAnsi="Calibri"/>
          <w:i/>
          <w:iCs/>
          <w:sz w:val="24"/>
        </w:rPr>
        <w:t>16</w:t>
      </w:r>
      <w:r w:rsidRPr="00931280">
        <w:rPr>
          <w:rFonts w:ascii="Calibri" w:hAnsi="Calibri"/>
          <w:sz w:val="24"/>
        </w:rPr>
        <w:t>(2), 173–183. https://doi.org/10.21831/economia.v16i2.30661</w:t>
      </w:r>
    </w:p>
    <w:p w14:paraId="38929CC4"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OJK. (2024, February 4). Siaran Pers: Sektor Jasa Keuangan Tetap Resilien dan Kontributif dalam Mendukung Pertumbuhan Ekonomi Nasional. </w:t>
      </w:r>
      <w:r w:rsidRPr="00931280">
        <w:rPr>
          <w:rFonts w:ascii="Calibri" w:hAnsi="Calibri"/>
          <w:i/>
          <w:iCs/>
          <w:sz w:val="24"/>
        </w:rPr>
        <w:t>SP 42/OJK/GKPB/IV/2024</w:t>
      </w:r>
      <w:r w:rsidRPr="00931280">
        <w:rPr>
          <w:rFonts w:ascii="Calibri" w:hAnsi="Calibri"/>
          <w:sz w:val="24"/>
        </w:rPr>
        <w:t>. https://ojk.go.id/id/berita-dan-kegiatan/siaran-pers/Pages/Sektor-Jasa-Keuangan-Tetap-Resilien-dan-Kontributif-dalam-Mendukung-Pertumbuhan-Ekonomi-Nasional.aspx</w:t>
      </w:r>
    </w:p>
    <w:p w14:paraId="6B94DE99"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Pinontoan, W. (2013). Pengaruh E-Banking, Kualitas Pelayanan, Kualitas Komunikasi dan Kepercayaan Terhadap Loyalitas Nasabah Pada PT. Bank Mandiri Cabang Manado. </w:t>
      </w:r>
      <w:r w:rsidRPr="00931280">
        <w:rPr>
          <w:rFonts w:ascii="Calibri" w:hAnsi="Calibri"/>
          <w:i/>
          <w:iCs/>
          <w:sz w:val="24"/>
        </w:rPr>
        <w:t>Jurnal EMBA: Jurnal Riset Ekonomi, Manajemen, Bisnis dan Akuntansi</w:t>
      </w:r>
      <w:r w:rsidRPr="00931280">
        <w:rPr>
          <w:rFonts w:ascii="Calibri" w:hAnsi="Calibri"/>
          <w:sz w:val="24"/>
        </w:rPr>
        <w:t>.</w:t>
      </w:r>
    </w:p>
    <w:p w14:paraId="492C73CA"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Prastyatini, S. L. Y., Chaerunnisak, U. H., &amp; Sitepu, M. K. B. (2024). Profitability: Capital Structure and Firm Growth on Firm Value. </w:t>
      </w:r>
      <w:r w:rsidRPr="00931280">
        <w:rPr>
          <w:rFonts w:ascii="Calibri" w:hAnsi="Calibri"/>
          <w:i/>
          <w:iCs/>
          <w:sz w:val="24"/>
        </w:rPr>
        <w:t>Proceeding International Conference on Accounting and Finance</w:t>
      </w:r>
      <w:r w:rsidRPr="00931280">
        <w:rPr>
          <w:rFonts w:ascii="Calibri" w:hAnsi="Calibri"/>
          <w:sz w:val="24"/>
        </w:rPr>
        <w:t>.</w:t>
      </w:r>
    </w:p>
    <w:p w14:paraId="4962EEEA"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Rahmatina, Y., Husaini, &amp; Darmawati. (2022). Analisis Nilai Perusahaan dengan Kebijakan  Dividen Sebagai Variabel Moderasi Pada  Sektor Perusahaan Barang Konsumen  Non Primer Yang Terdaftar Di BEI. </w:t>
      </w:r>
      <w:r w:rsidRPr="00931280">
        <w:rPr>
          <w:rFonts w:ascii="Calibri" w:hAnsi="Calibri"/>
          <w:i/>
          <w:iCs/>
          <w:sz w:val="24"/>
        </w:rPr>
        <w:t>Jurnal Visioner dan Strategis</w:t>
      </w:r>
      <w:r w:rsidRPr="00931280">
        <w:rPr>
          <w:rFonts w:ascii="Calibri" w:hAnsi="Calibri"/>
          <w:sz w:val="24"/>
        </w:rPr>
        <w:t xml:space="preserve">, </w:t>
      </w:r>
      <w:r w:rsidRPr="00931280">
        <w:rPr>
          <w:rFonts w:ascii="Calibri" w:hAnsi="Calibri"/>
          <w:i/>
          <w:iCs/>
          <w:sz w:val="24"/>
        </w:rPr>
        <w:t>11</w:t>
      </w:r>
      <w:r w:rsidRPr="00931280">
        <w:rPr>
          <w:rFonts w:ascii="Calibri" w:hAnsi="Calibri"/>
          <w:sz w:val="24"/>
        </w:rPr>
        <w:t>(2), 57–67.</w:t>
      </w:r>
    </w:p>
    <w:p w14:paraId="73745B60"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Ramma, A. L., &amp; Gunawan, J. (2023). Pengaruh Pertumbuhan Perusahaan, Earning Per Share, dan Struktur Modal Terhadap Kebijakan Dividen Dengan Umur Perusahaan Sebagai Variabel Kontrol. </w:t>
      </w:r>
      <w:r w:rsidRPr="00931280">
        <w:rPr>
          <w:rFonts w:ascii="Calibri" w:hAnsi="Calibri"/>
          <w:i/>
          <w:iCs/>
          <w:sz w:val="24"/>
        </w:rPr>
        <w:t>Jurnal Ekonomi Trisakti</w:t>
      </w:r>
      <w:r w:rsidRPr="00931280">
        <w:rPr>
          <w:rFonts w:ascii="Calibri" w:hAnsi="Calibri"/>
          <w:sz w:val="24"/>
        </w:rPr>
        <w:t xml:space="preserve">, </w:t>
      </w:r>
      <w:r w:rsidRPr="00931280">
        <w:rPr>
          <w:rFonts w:ascii="Calibri" w:hAnsi="Calibri"/>
          <w:i/>
          <w:iCs/>
          <w:sz w:val="24"/>
        </w:rPr>
        <w:t>3</w:t>
      </w:r>
      <w:r w:rsidRPr="00931280">
        <w:rPr>
          <w:rFonts w:ascii="Calibri" w:hAnsi="Calibri"/>
          <w:sz w:val="24"/>
        </w:rPr>
        <w:t>(2), 3609–3618. https://doi.org/10.25105/jet.v3i2.18143</w:t>
      </w:r>
    </w:p>
    <w:p w14:paraId="51E25FF2"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Safitri, H., &amp; Suwitho. (2015). </w:t>
      </w:r>
      <w:r w:rsidRPr="00931280">
        <w:rPr>
          <w:rFonts w:ascii="Calibri" w:hAnsi="Calibri"/>
          <w:i/>
          <w:iCs/>
          <w:sz w:val="24"/>
        </w:rPr>
        <w:t>Pengaruh Size, Growth, dengan Kebijakan Dividen Sebagai Variabel Moderating Terhadap Nilai Perusahaan</w:t>
      </w:r>
      <w:r w:rsidRPr="00931280">
        <w:rPr>
          <w:rFonts w:ascii="Calibri" w:hAnsi="Calibri"/>
          <w:sz w:val="24"/>
        </w:rPr>
        <w:t xml:space="preserve">. </w:t>
      </w:r>
      <w:r w:rsidRPr="00931280">
        <w:rPr>
          <w:rFonts w:ascii="Calibri" w:hAnsi="Calibri"/>
          <w:i/>
          <w:iCs/>
          <w:sz w:val="24"/>
        </w:rPr>
        <w:t>4</w:t>
      </w:r>
      <w:r w:rsidRPr="00931280">
        <w:rPr>
          <w:rFonts w:ascii="Calibri" w:hAnsi="Calibri"/>
          <w:sz w:val="24"/>
        </w:rPr>
        <w:t>.</w:t>
      </w:r>
    </w:p>
    <w:p w14:paraId="74879A4E"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Samsul, M. (2006). </w:t>
      </w:r>
      <w:r w:rsidRPr="00931280">
        <w:rPr>
          <w:rFonts w:ascii="Calibri" w:hAnsi="Calibri"/>
          <w:i/>
          <w:iCs/>
          <w:sz w:val="24"/>
        </w:rPr>
        <w:t>Pasar Modal dan Manajemen Portofolio</w:t>
      </w:r>
      <w:r w:rsidRPr="00931280">
        <w:rPr>
          <w:rFonts w:ascii="Calibri" w:hAnsi="Calibri"/>
          <w:sz w:val="24"/>
        </w:rPr>
        <w:t>. Erlangga. https://onesearch.id/Author/Home?author=Mohamad+Samsul</w:t>
      </w:r>
    </w:p>
    <w:p w14:paraId="1137A8E9"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lastRenderedPageBreak/>
        <w:t xml:space="preserve">Sekaran, U., &amp; Bougie, R. (2017). </w:t>
      </w:r>
      <w:r w:rsidRPr="00931280">
        <w:rPr>
          <w:rFonts w:ascii="Calibri" w:hAnsi="Calibri"/>
          <w:i/>
          <w:iCs/>
          <w:sz w:val="24"/>
        </w:rPr>
        <w:t>Research Methods For Business: A Skill-Building Approach</w:t>
      </w:r>
      <w:r w:rsidRPr="00931280">
        <w:rPr>
          <w:rFonts w:ascii="Calibri" w:hAnsi="Calibri"/>
          <w:sz w:val="24"/>
        </w:rPr>
        <w:t xml:space="preserve"> (6th ed.). Salemba Empat. https://books.google.co.id/books?id=a__YI3TJQuAC&amp;printsec=frontcover&amp;hl=id#v=onepage&amp;q&amp;f=false</w:t>
      </w:r>
    </w:p>
    <w:p w14:paraId="1F57AED0"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Selfiana, K. E. &amp; Fidiana. (2016). </w:t>
      </w:r>
      <w:r w:rsidRPr="00931280">
        <w:rPr>
          <w:rFonts w:ascii="Calibri" w:hAnsi="Calibri"/>
          <w:i/>
          <w:iCs/>
          <w:sz w:val="24"/>
        </w:rPr>
        <w:t>Pengaruh Growth Opportunity, Profitabilitas dan Struktur Aset Terhadap Struktur Modal</w:t>
      </w:r>
      <w:r w:rsidRPr="00931280">
        <w:rPr>
          <w:rFonts w:ascii="Calibri" w:hAnsi="Calibri"/>
          <w:sz w:val="24"/>
        </w:rPr>
        <w:t xml:space="preserve">. </w:t>
      </w:r>
      <w:r w:rsidRPr="00931280">
        <w:rPr>
          <w:rFonts w:ascii="Calibri" w:hAnsi="Calibri"/>
          <w:i/>
          <w:iCs/>
          <w:sz w:val="24"/>
        </w:rPr>
        <w:t>5</w:t>
      </w:r>
      <w:r w:rsidRPr="00931280">
        <w:rPr>
          <w:rFonts w:ascii="Calibri" w:hAnsi="Calibri"/>
          <w:sz w:val="24"/>
        </w:rPr>
        <w:t>.</w:t>
      </w:r>
    </w:p>
    <w:p w14:paraId="01DA35F0"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Smith, C. W., &amp; Watts, R. L. (1992). The Investment Opportunity Set and Corporate Financing, Dividend, and Compensation Policies. </w:t>
      </w:r>
      <w:r w:rsidRPr="00931280">
        <w:rPr>
          <w:rFonts w:ascii="Calibri" w:hAnsi="Calibri"/>
          <w:i/>
          <w:iCs/>
          <w:sz w:val="24"/>
        </w:rPr>
        <w:t>Journal of Financial Economics</w:t>
      </w:r>
      <w:r w:rsidRPr="00931280">
        <w:rPr>
          <w:rFonts w:ascii="Calibri" w:hAnsi="Calibri"/>
          <w:sz w:val="24"/>
        </w:rPr>
        <w:t xml:space="preserve">, </w:t>
      </w:r>
      <w:r w:rsidRPr="00931280">
        <w:rPr>
          <w:rFonts w:ascii="Calibri" w:hAnsi="Calibri"/>
          <w:i/>
          <w:iCs/>
          <w:sz w:val="24"/>
        </w:rPr>
        <w:t>32</w:t>
      </w:r>
      <w:r w:rsidRPr="00931280">
        <w:rPr>
          <w:rFonts w:ascii="Calibri" w:hAnsi="Calibri"/>
          <w:sz w:val="24"/>
        </w:rPr>
        <w:t>(3), 263–292. https://doi.org/10.1016/0304-405X(92)90029-W</w:t>
      </w:r>
    </w:p>
    <w:p w14:paraId="2B53D988"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Suartawan, I. G. N. P. A., &amp; Yasa, G. W. (2017). Pengaruh Investment Opportunity Set dan Free Cash Flow Pada Kebijakan Dividen dan Nilai Perusahaan. </w:t>
      </w:r>
      <w:r w:rsidRPr="00931280">
        <w:rPr>
          <w:rFonts w:ascii="Calibri" w:hAnsi="Calibri"/>
          <w:i/>
          <w:iCs/>
          <w:sz w:val="24"/>
        </w:rPr>
        <w:t>Jurnal Ilmiah Akuntansi dan Bisnis</w:t>
      </w:r>
      <w:r w:rsidRPr="00931280">
        <w:rPr>
          <w:rFonts w:ascii="Calibri" w:hAnsi="Calibri"/>
          <w:sz w:val="24"/>
        </w:rPr>
        <w:t>, 63. https://doi.org/10.24843/JIAB.2016.v11.i02.p01</w:t>
      </w:r>
    </w:p>
    <w:p w14:paraId="4ACD09BB"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Sugiono, A., &amp; Untung, E. (2019). </w:t>
      </w:r>
      <w:r w:rsidRPr="00931280">
        <w:rPr>
          <w:rFonts w:ascii="Calibri" w:hAnsi="Calibri"/>
          <w:i/>
          <w:iCs/>
          <w:sz w:val="24"/>
        </w:rPr>
        <w:t>Panduan Praktis Dasar Analisa Laporan Keuangan</w:t>
      </w:r>
      <w:r w:rsidRPr="00931280">
        <w:rPr>
          <w:rFonts w:ascii="Calibri" w:hAnsi="Calibri"/>
          <w:sz w:val="24"/>
        </w:rPr>
        <w:t xml:space="preserve"> (3rd ed.). Grasindo. https://lib.atim.ac.id/opac/detail-opac?id=1087</w:t>
      </w:r>
    </w:p>
    <w:p w14:paraId="36FB14D0"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Sujoko, &amp; Soebiantoro, U. (2007). </w:t>
      </w:r>
      <w:r w:rsidRPr="00931280">
        <w:rPr>
          <w:rFonts w:ascii="Calibri" w:hAnsi="Calibri"/>
          <w:i/>
          <w:iCs/>
          <w:sz w:val="24"/>
        </w:rPr>
        <w:t>Pengaruh Struktur Kepemilikan Saham, Leverage, Faktor Intern Dan Faktor Ekstern Terhadap Nilai Perusahaan</w:t>
      </w:r>
      <w:r w:rsidRPr="00931280">
        <w:rPr>
          <w:rFonts w:ascii="Calibri" w:hAnsi="Calibri"/>
          <w:sz w:val="24"/>
        </w:rPr>
        <w:t xml:space="preserve">. </w:t>
      </w:r>
      <w:r w:rsidRPr="00931280">
        <w:rPr>
          <w:rFonts w:ascii="Calibri" w:hAnsi="Calibri"/>
          <w:i/>
          <w:iCs/>
          <w:sz w:val="24"/>
        </w:rPr>
        <w:t>9</w:t>
      </w:r>
      <w:r w:rsidRPr="00931280">
        <w:rPr>
          <w:rFonts w:ascii="Calibri" w:hAnsi="Calibri"/>
          <w:sz w:val="24"/>
        </w:rPr>
        <w:t>. https://doi.org/10.9744/jmk.9.1.pp.</w:t>
      </w:r>
    </w:p>
    <w:p w14:paraId="595A4D26"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Suleiman, R. S., &amp; Permatasari, M. (2022). Pengaruh Profitabilitas, Collateralizable Assets, Investment Opportunity Set dan Lagged Dividend Terhadap Kebijakan Dividen. </w:t>
      </w:r>
      <w:r w:rsidRPr="00931280">
        <w:rPr>
          <w:rFonts w:ascii="Calibri" w:hAnsi="Calibri"/>
          <w:i/>
          <w:iCs/>
          <w:sz w:val="24"/>
        </w:rPr>
        <w:t>PAPATUNG: Jurnal Ilmu Administrasi Publik, Pemerintahan dan Politik</w:t>
      </w:r>
      <w:r w:rsidRPr="00931280">
        <w:rPr>
          <w:rFonts w:ascii="Calibri" w:hAnsi="Calibri"/>
          <w:sz w:val="24"/>
        </w:rPr>
        <w:t xml:space="preserve">, </w:t>
      </w:r>
      <w:r w:rsidRPr="00931280">
        <w:rPr>
          <w:rFonts w:ascii="Calibri" w:hAnsi="Calibri"/>
          <w:i/>
          <w:iCs/>
          <w:sz w:val="24"/>
        </w:rPr>
        <w:t>5</w:t>
      </w:r>
      <w:r w:rsidRPr="00931280">
        <w:rPr>
          <w:rFonts w:ascii="Calibri" w:hAnsi="Calibri"/>
          <w:sz w:val="24"/>
        </w:rPr>
        <w:t>(1), 46–59. https://doi.org/10.54783/japp.v5i1.508</w:t>
      </w:r>
    </w:p>
    <w:p w14:paraId="784E7F9F"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Suwardika, I. N. A., &amp; Mustanda, I. K. (2017). Pengaruh Leverage, Ukuran Perusahaan, Pertumbuhan Perusahaan, dan Profitabilitas Terhadap Nilai Perusahaan pada Perusahaan Properti. </w:t>
      </w:r>
      <w:r w:rsidRPr="00931280">
        <w:rPr>
          <w:rFonts w:ascii="Calibri" w:hAnsi="Calibri"/>
          <w:i/>
          <w:iCs/>
          <w:sz w:val="24"/>
        </w:rPr>
        <w:t>E-Jurnal Manajemen Universitas Udayana</w:t>
      </w:r>
      <w:r w:rsidRPr="00931280">
        <w:rPr>
          <w:rFonts w:ascii="Calibri" w:hAnsi="Calibri"/>
          <w:sz w:val="24"/>
        </w:rPr>
        <w:t xml:space="preserve">, </w:t>
      </w:r>
      <w:r w:rsidRPr="00931280">
        <w:rPr>
          <w:rFonts w:ascii="Calibri" w:hAnsi="Calibri"/>
          <w:i/>
          <w:iCs/>
          <w:sz w:val="24"/>
        </w:rPr>
        <w:t>6</w:t>
      </w:r>
      <w:r w:rsidRPr="00931280">
        <w:rPr>
          <w:rFonts w:ascii="Calibri" w:hAnsi="Calibri"/>
          <w:sz w:val="24"/>
        </w:rPr>
        <w:t>(3).</w:t>
      </w:r>
    </w:p>
    <w:p w14:paraId="7682E846"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Wulanningsih, S., &amp; Agustin, H. (2020). Pengaruh Investment Opportunity Set, Pertumbuhan Perusahaan dan Profitabilitas Terhadap Nilai Perusahaan (Studi Empiris pada Perusahaan Property and Real Estate yang Terdaftar di Bursa Efek Indonesia Tahun 2014-2018). </w:t>
      </w:r>
      <w:r w:rsidRPr="00931280">
        <w:rPr>
          <w:rFonts w:ascii="Calibri" w:hAnsi="Calibri"/>
          <w:i/>
          <w:iCs/>
          <w:sz w:val="24"/>
        </w:rPr>
        <w:t>JEA: Jurnal Eksplorasi Akuntansi</w:t>
      </w:r>
      <w:r w:rsidRPr="00931280">
        <w:rPr>
          <w:rFonts w:ascii="Calibri" w:hAnsi="Calibri"/>
          <w:sz w:val="24"/>
        </w:rPr>
        <w:t>. https://doi.org/10.24036/jea.v2i3.271</w:t>
      </w:r>
    </w:p>
    <w:p w14:paraId="1715CCD4" w14:textId="77777777" w:rsidR="002E7792" w:rsidRPr="00931280" w:rsidRDefault="002E7792" w:rsidP="00AA2133">
      <w:pPr>
        <w:pStyle w:val="Bibliography"/>
        <w:spacing w:line="276" w:lineRule="auto"/>
        <w:rPr>
          <w:rFonts w:ascii="Calibri" w:hAnsi="Calibri"/>
          <w:sz w:val="24"/>
        </w:rPr>
      </w:pPr>
      <w:r w:rsidRPr="00931280">
        <w:rPr>
          <w:rFonts w:ascii="Calibri" w:hAnsi="Calibri"/>
          <w:sz w:val="24"/>
        </w:rPr>
        <w:t xml:space="preserve">Yunita, N., Mulyadi, D., &amp; Sandi, S. (2023). </w:t>
      </w:r>
      <w:r w:rsidRPr="00931280">
        <w:rPr>
          <w:rFonts w:ascii="Calibri" w:hAnsi="Calibri"/>
          <w:i/>
          <w:iCs/>
          <w:sz w:val="24"/>
        </w:rPr>
        <w:t>Pengaruh Rasio ROI Dan PBV Terhadap Harga Saham Pada Perusahaan Manufaktur Sektor Makanan Dan Minuman</w:t>
      </w:r>
      <w:r w:rsidRPr="00931280">
        <w:rPr>
          <w:rFonts w:ascii="Calibri" w:hAnsi="Calibri"/>
          <w:sz w:val="24"/>
        </w:rPr>
        <w:t>. https://www.yrpipku.com/journal/index.php/msej/article/view/1463</w:t>
      </w:r>
    </w:p>
    <w:p w14:paraId="574C5041" w14:textId="011DE873" w:rsidR="000E30E2" w:rsidRPr="006142DA" w:rsidRDefault="006142DA" w:rsidP="00AA2133">
      <w:pPr>
        <w:spacing w:line="276" w:lineRule="auto"/>
        <w:ind w:left="567" w:hanging="567"/>
        <w:jc w:val="both"/>
        <w:rPr>
          <w:rFonts w:eastAsia="Times New Roman"/>
          <w:b/>
          <w:color w:val="000000"/>
        </w:rPr>
      </w:pPr>
      <w:r w:rsidRPr="00931280">
        <w:rPr>
          <w:rFonts w:eastAsia="Times New Roman"/>
          <w:b/>
          <w:color w:val="000000"/>
        </w:rPr>
        <w:fldChar w:fldCharType="end"/>
      </w:r>
      <w:bookmarkEnd w:id="0"/>
    </w:p>
    <w:sectPr w:rsidR="000E30E2" w:rsidRPr="006142DA">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82ABC" w14:textId="77777777" w:rsidR="00B452E6" w:rsidRDefault="00B452E6">
      <w:pPr>
        <w:spacing w:after="0" w:line="240" w:lineRule="auto"/>
      </w:pPr>
      <w:r>
        <w:separator/>
      </w:r>
    </w:p>
  </w:endnote>
  <w:endnote w:type="continuationSeparator" w:id="0">
    <w:p w14:paraId="00BC5DA3" w14:textId="77777777" w:rsidR="00B452E6" w:rsidRDefault="00B4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altName w:val="Arial"/>
    <w:charset w:val="00"/>
    <w:family w:val="auto"/>
    <w:pitch w:val="variable"/>
    <w:sig w:usb0="E0000AFF" w:usb1="5000217F" w:usb2="00000021" w:usb3="00000000" w:csb0="0000019F" w:csb1="00000000"/>
  </w:font>
  <w:font w:name="Arial Rounde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1F88" w14:textId="77777777" w:rsidR="00175090" w:rsidRDefault="0017509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132679AD" w14:textId="64BBC8BF" w:rsidR="00175090" w:rsidRDefault="00175090"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sidRPr="00301C8E">
      <w:rPr>
        <w:rFonts w:ascii="Times New Roman" w:eastAsia="Times New Roman" w:hAnsi="Times New Roman" w:cs="Times New Roman"/>
        <w:color w:val="AEAAAA" w:themeColor="background2" w:themeShade="BF"/>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sidRPr="00301C8E">
      <w:rPr>
        <w:rFonts w:ascii="Times New Roman" w:eastAsia="Times New Roman" w:hAnsi="Times New Roman" w:cs="Times New Roman"/>
        <w:color w:val="AEAAAA" w:themeColor="background2" w:themeShade="BF"/>
        <w:sz w:val="20"/>
        <w:szCs w:val="20"/>
        <w:highlight w:val="white"/>
      </w:rPr>
      <w:t xml:space="preserve">ISSN 2541-061X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F401" w14:textId="77777777" w:rsidR="00175090" w:rsidRDefault="0017509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014CCE77" w14:textId="77777777" w:rsidR="00175090" w:rsidRDefault="0017509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7A9967B2" w14:textId="77777777" w:rsidR="00175090" w:rsidRDefault="001750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F948" w14:textId="77777777" w:rsidR="00175090" w:rsidRDefault="00175090"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511C1B9E" w14:textId="08825B02" w:rsidR="00175090" w:rsidRDefault="00175090" w:rsidP="00301C8E">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sidRPr="00301C8E">
      <w:rPr>
        <w:rFonts w:ascii="Times New Roman" w:eastAsia="Times New Roman" w:hAnsi="Times New Roman" w:cs="Times New Roman"/>
        <w:color w:val="AEAAAA" w:themeColor="background2" w:themeShade="BF"/>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sidRPr="00301C8E">
      <w:rPr>
        <w:rFonts w:ascii="Times New Roman" w:eastAsia="Times New Roman" w:hAnsi="Times New Roman" w:cs="Times New Roman"/>
        <w:color w:val="AEAAAA" w:themeColor="background2" w:themeShade="BF"/>
        <w:sz w:val="20"/>
        <w:szCs w:val="20"/>
        <w:highlight w:val="white"/>
      </w:rPr>
      <w:t xml:space="preserve">ISSN 2541-061X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2CBE4" w14:textId="77777777" w:rsidR="00B452E6" w:rsidRDefault="00B452E6">
      <w:pPr>
        <w:spacing w:after="0" w:line="240" w:lineRule="auto"/>
      </w:pPr>
      <w:r>
        <w:separator/>
      </w:r>
    </w:p>
  </w:footnote>
  <w:footnote w:type="continuationSeparator" w:id="0">
    <w:p w14:paraId="4A3BEE8E" w14:textId="77777777" w:rsidR="00B452E6" w:rsidRDefault="00B4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42B6F" w14:textId="4935A76B" w:rsidR="00175090" w:rsidRDefault="00175090">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rPr>
    </w:pPr>
    <w:r>
      <w:rPr>
        <w:i/>
        <w:color w:val="000000"/>
        <w:sz w:val="20"/>
        <w:szCs w:val="20"/>
      </w:rPr>
      <w:t xml:space="preserve">Hulaila et al., </w:t>
    </w:r>
    <w:r w:rsidRPr="008B5D2E">
      <w:rPr>
        <w:rFonts w:ascii="Constantia" w:eastAsia="Constantia" w:hAnsi="Constantia" w:cs="Constantia"/>
        <w:b/>
        <w:color w:val="000000"/>
        <w:sz w:val="20"/>
        <w:szCs w:val="20"/>
      </w:rPr>
      <w:t>IOS, Company Growth, and Profitability to Firm Value Moderated By Dividend Polic</w:t>
    </w:r>
    <w:r>
      <w:rPr>
        <w:rFonts w:ascii="Constantia" w:eastAsia="Constantia" w:hAnsi="Constantia" w:cs="Constantia"/>
        <w:b/>
        <w:color w:val="000000"/>
        <w:sz w:val="20"/>
        <w:szCs w:val="20"/>
      </w:rPr>
      <w:t>y</w:t>
    </w:r>
    <w:r>
      <w:rPr>
        <w:rFonts w:ascii="Constantia" w:eastAsia="Constantia" w:hAnsi="Constantia" w:cs="Constantia"/>
        <w:i/>
        <w:color w:val="000000"/>
        <w:sz w:val="20"/>
        <w:szCs w:val="20"/>
      </w:rPr>
      <w:t xml:space="preserve"> </w:t>
    </w:r>
    <w:r>
      <w:rPr>
        <w:color w:val="000000"/>
        <w:sz w:val="20"/>
        <w:szCs w:val="20"/>
      </w:rPr>
      <w:t>| xxx</w:t>
    </w:r>
  </w:p>
  <w:p w14:paraId="3ED6F73F" w14:textId="345FAAA2" w:rsidR="00175090" w:rsidRDefault="00175090">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22D1" w14:textId="11A0BE12" w:rsidR="00175090" w:rsidRDefault="00175090" w:rsidP="005A2EC7">
    <w:pPr>
      <w:spacing w:after="0"/>
      <w:rPr>
        <w:rFonts w:ascii="Constantia" w:eastAsia="Constantia" w:hAnsi="Constantia" w:cs="Constantia"/>
        <w:sz w:val="20"/>
        <w:szCs w:val="20"/>
      </w:rPr>
    </w:pPr>
    <w:r>
      <w:rPr>
        <w:rFonts w:ascii="Arial Rounded" w:eastAsia="Arial Rounded" w:hAnsi="Arial Rounded" w:cs="Arial Rounded"/>
        <w:b/>
        <w:sz w:val="18"/>
        <w:szCs w:val="18"/>
      </w:rPr>
      <w:t>xxx</w:t>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Constantia" w:eastAsia="Constantia" w:hAnsi="Constantia" w:cs="Constantia"/>
        <w:b/>
        <w:i/>
        <w:sz w:val="18"/>
        <w:szCs w:val="18"/>
      </w:rPr>
      <w:t>Jurnal Riset Akuntansi dan Keuangan</w:t>
    </w:r>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12 </w:t>
    </w:r>
    <w:r>
      <w:rPr>
        <w:rFonts w:ascii="Constantia" w:eastAsia="Constantia" w:hAnsi="Constantia" w:cs="Constantia"/>
        <w:sz w:val="16"/>
        <w:szCs w:val="16"/>
      </w:rPr>
      <w:t>Issue</w:t>
    </w:r>
    <w:r>
      <w:rPr>
        <w:rFonts w:ascii="Constantia" w:eastAsia="Constantia" w:hAnsi="Constantia" w:cs="Constantia"/>
        <w:sz w:val="20"/>
        <w:szCs w:val="20"/>
      </w:rPr>
      <w:t xml:space="preserve"> x, </w:t>
    </w:r>
    <w:r>
      <w:rPr>
        <w:rFonts w:ascii="Constantia" w:eastAsia="Constantia" w:hAnsi="Constantia" w:cs="Constantia"/>
        <w:sz w:val="16"/>
        <w:szCs w:val="16"/>
      </w:rPr>
      <w:t>Month</w:t>
    </w:r>
    <w:r>
      <w:rPr>
        <w:rFonts w:ascii="Constantia" w:eastAsia="Constantia" w:hAnsi="Constantia" w:cs="Constantia"/>
        <w:sz w:val="20"/>
        <w:szCs w:val="20"/>
      </w:rPr>
      <w:t xml:space="preserve"> 2024 </w:t>
    </w:r>
    <w:r>
      <w:rPr>
        <w:rFonts w:ascii="Constantia" w:eastAsia="Constantia" w:hAnsi="Constantia" w:cs="Constantia"/>
        <w:sz w:val="16"/>
        <w:szCs w:val="16"/>
      </w:rPr>
      <w:t>Hal</w:t>
    </w:r>
    <w:r>
      <w:rPr>
        <w:rFonts w:ascii="Constantia" w:eastAsia="Constantia" w:hAnsi="Constantia" w:cs="Constantia"/>
        <w:sz w:val="20"/>
        <w:szCs w:val="20"/>
      </w:rPr>
      <w:t xml:space="preserve"> xxx-xxx</w:t>
    </w:r>
  </w:p>
  <w:p w14:paraId="38A8C442" w14:textId="77777777" w:rsidR="00175090" w:rsidRDefault="00175090" w:rsidP="005A2EC7">
    <w:pPr>
      <w:spacing w:after="0"/>
      <w:rPr>
        <w:rFonts w:ascii="Constantia" w:eastAsia="Constantia" w:hAnsi="Constantia" w:cs="Constantia"/>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3868" w14:textId="77777777" w:rsidR="00175090" w:rsidRDefault="00175090">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Pr>
        <w:noProof/>
        <w:color w:val="FFFFFF"/>
        <w:sz w:val="20"/>
        <w:szCs w:val="20"/>
      </w:rPr>
      <w:t>1</w:t>
    </w:r>
    <w:r>
      <w:rPr>
        <w:color w:val="FFFFFF"/>
        <w:sz w:val="20"/>
        <w:szCs w:val="20"/>
      </w:rPr>
      <w:fldChar w:fldCharType="end"/>
    </w:r>
  </w:p>
  <w:p w14:paraId="25D8C18E" w14:textId="77777777" w:rsidR="00175090" w:rsidRDefault="00175090">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7861AEA" w14:textId="77777777" w:rsidR="00175090" w:rsidRDefault="001750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EA42" w14:textId="77777777" w:rsidR="00175090" w:rsidRDefault="00175090">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0DCE7AD" w14:textId="77777777" w:rsidR="00175090" w:rsidRDefault="00175090">
    <w:pPr>
      <w:pBdr>
        <w:top w:val="nil"/>
        <w:left w:val="nil"/>
        <w:bottom w:val="nil"/>
        <w:right w:val="nil"/>
        <w:between w:val="nil"/>
      </w:pBdr>
      <w:tabs>
        <w:tab w:val="center" w:pos="4680"/>
        <w:tab w:val="right" w:pos="9360"/>
      </w:tabs>
      <w:spacing w:after="0" w:line="240" w:lineRule="auto"/>
      <w:rPr>
        <w:color w:val="000000"/>
        <w:sz w:val="20"/>
        <w:szCs w:val="20"/>
      </w:rPr>
    </w:pPr>
  </w:p>
  <w:p w14:paraId="15B0C1E0" w14:textId="77777777" w:rsidR="00175090" w:rsidRDefault="001750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98715C"/>
    <w:multiLevelType w:val="hybridMultilevel"/>
    <w:tmpl w:val="A5AA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F0"/>
    <w:rsid w:val="00001C33"/>
    <w:rsid w:val="00004625"/>
    <w:rsid w:val="000235EE"/>
    <w:rsid w:val="00024E16"/>
    <w:rsid w:val="000341A5"/>
    <w:rsid w:val="000351AA"/>
    <w:rsid w:val="00055C05"/>
    <w:rsid w:val="00072CC6"/>
    <w:rsid w:val="000846BC"/>
    <w:rsid w:val="000B3F70"/>
    <w:rsid w:val="000C0FD0"/>
    <w:rsid w:val="000C32EB"/>
    <w:rsid w:val="000C600E"/>
    <w:rsid w:val="000C6D92"/>
    <w:rsid w:val="000E2108"/>
    <w:rsid w:val="000E30E2"/>
    <w:rsid w:val="000E5D69"/>
    <w:rsid w:val="000F5374"/>
    <w:rsid w:val="00100829"/>
    <w:rsid w:val="001056A8"/>
    <w:rsid w:val="00154917"/>
    <w:rsid w:val="00155318"/>
    <w:rsid w:val="00175090"/>
    <w:rsid w:val="001C3298"/>
    <w:rsid w:val="001E402A"/>
    <w:rsid w:val="00205458"/>
    <w:rsid w:val="002112B8"/>
    <w:rsid w:val="00230CEB"/>
    <w:rsid w:val="00252173"/>
    <w:rsid w:val="00262A2A"/>
    <w:rsid w:val="00262E48"/>
    <w:rsid w:val="002734AC"/>
    <w:rsid w:val="002A3917"/>
    <w:rsid w:val="002D0FDA"/>
    <w:rsid w:val="002D7EB4"/>
    <w:rsid w:val="002E4C25"/>
    <w:rsid w:val="002E7792"/>
    <w:rsid w:val="00301C8E"/>
    <w:rsid w:val="003310FF"/>
    <w:rsid w:val="003315D8"/>
    <w:rsid w:val="00331B71"/>
    <w:rsid w:val="00342846"/>
    <w:rsid w:val="003432B5"/>
    <w:rsid w:val="00356629"/>
    <w:rsid w:val="00356EBD"/>
    <w:rsid w:val="003641DC"/>
    <w:rsid w:val="00395117"/>
    <w:rsid w:val="003B0315"/>
    <w:rsid w:val="003C1F61"/>
    <w:rsid w:val="003D623C"/>
    <w:rsid w:val="003D73EE"/>
    <w:rsid w:val="003E233E"/>
    <w:rsid w:val="00411B15"/>
    <w:rsid w:val="004420F0"/>
    <w:rsid w:val="00454555"/>
    <w:rsid w:val="00455127"/>
    <w:rsid w:val="00476910"/>
    <w:rsid w:val="00493114"/>
    <w:rsid w:val="004B6974"/>
    <w:rsid w:val="004C16E8"/>
    <w:rsid w:val="004C6440"/>
    <w:rsid w:val="004C77E0"/>
    <w:rsid w:val="004D2EB1"/>
    <w:rsid w:val="00500F9D"/>
    <w:rsid w:val="00503284"/>
    <w:rsid w:val="005147AF"/>
    <w:rsid w:val="00520CCA"/>
    <w:rsid w:val="00535FC6"/>
    <w:rsid w:val="00536BAF"/>
    <w:rsid w:val="00543F1A"/>
    <w:rsid w:val="0057736F"/>
    <w:rsid w:val="00583B66"/>
    <w:rsid w:val="005A2EC7"/>
    <w:rsid w:val="005A7938"/>
    <w:rsid w:val="005B0F87"/>
    <w:rsid w:val="005B34FB"/>
    <w:rsid w:val="005B5EC3"/>
    <w:rsid w:val="005C4177"/>
    <w:rsid w:val="005E05F7"/>
    <w:rsid w:val="005E2095"/>
    <w:rsid w:val="0060323C"/>
    <w:rsid w:val="00612F54"/>
    <w:rsid w:val="006142DA"/>
    <w:rsid w:val="00626486"/>
    <w:rsid w:val="0065249E"/>
    <w:rsid w:val="006646C1"/>
    <w:rsid w:val="00676435"/>
    <w:rsid w:val="00680BF5"/>
    <w:rsid w:val="006A1C9E"/>
    <w:rsid w:val="006A67CE"/>
    <w:rsid w:val="006B6CC1"/>
    <w:rsid w:val="006C11AB"/>
    <w:rsid w:val="006C13EC"/>
    <w:rsid w:val="006C208D"/>
    <w:rsid w:val="006C326C"/>
    <w:rsid w:val="006E37B9"/>
    <w:rsid w:val="006E7CCD"/>
    <w:rsid w:val="006F326C"/>
    <w:rsid w:val="00700A96"/>
    <w:rsid w:val="00701088"/>
    <w:rsid w:val="00705AA8"/>
    <w:rsid w:val="0071466B"/>
    <w:rsid w:val="00720C87"/>
    <w:rsid w:val="00747CBC"/>
    <w:rsid w:val="00751946"/>
    <w:rsid w:val="00755681"/>
    <w:rsid w:val="00761C99"/>
    <w:rsid w:val="00764257"/>
    <w:rsid w:val="0076602C"/>
    <w:rsid w:val="0077114E"/>
    <w:rsid w:val="00775D79"/>
    <w:rsid w:val="007A3903"/>
    <w:rsid w:val="007D1B2D"/>
    <w:rsid w:val="007E540D"/>
    <w:rsid w:val="007F2A97"/>
    <w:rsid w:val="007F71AE"/>
    <w:rsid w:val="0080421D"/>
    <w:rsid w:val="00806319"/>
    <w:rsid w:val="00844F86"/>
    <w:rsid w:val="00851E95"/>
    <w:rsid w:val="008606B2"/>
    <w:rsid w:val="00860893"/>
    <w:rsid w:val="00882C06"/>
    <w:rsid w:val="00887F6B"/>
    <w:rsid w:val="008B5D2E"/>
    <w:rsid w:val="008D1BD3"/>
    <w:rsid w:val="008D25DE"/>
    <w:rsid w:val="008E24AB"/>
    <w:rsid w:val="008F59A4"/>
    <w:rsid w:val="00913739"/>
    <w:rsid w:val="0091644E"/>
    <w:rsid w:val="00931280"/>
    <w:rsid w:val="00943B2B"/>
    <w:rsid w:val="00961BEB"/>
    <w:rsid w:val="00980B3F"/>
    <w:rsid w:val="00992CC8"/>
    <w:rsid w:val="009D1B4F"/>
    <w:rsid w:val="00A04F0E"/>
    <w:rsid w:val="00A11A24"/>
    <w:rsid w:val="00A25D91"/>
    <w:rsid w:val="00A34140"/>
    <w:rsid w:val="00A42363"/>
    <w:rsid w:val="00A4437C"/>
    <w:rsid w:val="00A445CD"/>
    <w:rsid w:val="00A5009E"/>
    <w:rsid w:val="00A55E94"/>
    <w:rsid w:val="00A749FB"/>
    <w:rsid w:val="00A82049"/>
    <w:rsid w:val="00A861FB"/>
    <w:rsid w:val="00A86694"/>
    <w:rsid w:val="00A94779"/>
    <w:rsid w:val="00AA2133"/>
    <w:rsid w:val="00AA256A"/>
    <w:rsid w:val="00AA2853"/>
    <w:rsid w:val="00AB5F83"/>
    <w:rsid w:val="00AE0738"/>
    <w:rsid w:val="00AF7E92"/>
    <w:rsid w:val="00B11583"/>
    <w:rsid w:val="00B24ACA"/>
    <w:rsid w:val="00B27742"/>
    <w:rsid w:val="00B27E94"/>
    <w:rsid w:val="00B41A97"/>
    <w:rsid w:val="00B452E6"/>
    <w:rsid w:val="00B82827"/>
    <w:rsid w:val="00BA0BB3"/>
    <w:rsid w:val="00BB7569"/>
    <w:rsid w:val="00BC4BB5"/>
    <w:rsid w:val="00BE1936"/>
    <w:rsid w:val="00BF6BEF"/>
    <w:rsid w:val="00C109C2"/>
    <w:rsid w:val="00C14E3D"/>
    <w:rsid w:val="00C170EF"/>
    <w:rsid w:val="00C35808"/>
    <w:rsid w:val="00C5513B"/>
    <w:rsid w:val="00C56918"/>
    <w:rsid w:val="00C578E5"/>
    <w:rsid w:val="00C60F4A"/>
    <w:rsid w:val="00C61726"/>
    <w:rsid w:val="00C67B81"/>
    <w:rsid w:val="00CA4C4A"/>
    <w:rsid w:val="00CA6688"/>
    <w:rsid w:val="00CB2D51"/>
    <w:rsid w:val="00CB404A"/>
    <w:rsid w:val="00CE1472"/>
    <w:rsid w:val="00D116DD"/>
    <w:rsid w:val="00D2086D"/>
    <w:rsid w:val="00D3688D"/>
    <w:rsid w:val="00D42B6F"/>
    <w:rsid w:val="00D45116"/>
    <w:rsid w:val="00D663DE"/>
    <w:rsid w:val="00D91D3F"/>
    <w:rsid w:val="00DC2827"/>
    <w:rsid w:val="00DC2E39"/>
    <w:rsid w:val="00DD7731"/>
    <w:rsid w:val="00DE0F17"/>
    <w:rsid w:val="00DE4983"/>
    <w:rsid w:val="00DF2F1C"/>
    <w:rsid w:val="00E0779C"/>
    <w:rsid w:val="00E14A7B"/>
    <w:rsid w:val="00E168C7"/>
    <w:rsid w:val="00E211AA"/>
    <w:rsid w:val="00E27284"/>
    <w:rsid w:val="00E4669C"/>
    <w:rsid w:val="00E6016F"/>
    <w:rsid w:val="00E70668"/>
    <w:rsid w:val="00E74A66"/>
    <w:rsid w:val="00E8548B"/>
    <w:rsid w:val="00E9521F"/>
    <w:rsid w:val="00EC227F"/>
    <w:rsid w:val="00EC25E6"/>
    <w:rsid w:val="00EC786D"/>
    <w:rsid w:val="00ED69E1"/>
    <w:rsid w:val="00EE5985"/>
    <w:rsid w:val="00F02D2D"/>
    <w:rsid w:val="00F16850"/>
    <w:rsid w:val="00F41A1D"/>
    <w:rsid w:val="00F41C49"/>
    <w:rsid w:val="00F458FC"/>
    <w:rsid w:val="00F67D32"/>
    <w:rsid w:val="00F82A06"/>
    <w:rsid w:val="00F87C2E"/>
    <w:rsid w:val="00F948B5"/>
    <w:rsid w:val="00F95063"/>
    <w:rsid w:val="00FA62DE"/>
    <w:rsid w:val="00FB099D"/>
    <w:rsid w:val="00FD2E41"/>
    <w:rsid w:val="00FD4FFF"/>
    <w:rsid w:val="00FE7394"/>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C2E52"/>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0E"/>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480" w:lineRule="auto"/>
      <w:ind w:left="720" w:hanging="720"/>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styleId="UnresolvedMention">
    <w:name w:val="Unresolved Mention"/>
    <w:basedOn w:val="DefaultParagraphFont"/>
    <w:uiPriority w:val="99"/>
    <w:semiHidden/>
    <w:unhideWhenUsed/>
    <w:rsid w:val="00751946"/>
    <w:rPr>
      <w:color w:val="605E5C"/>
      <w:shd w:val="clear" w:color="auto" w:fill="E1DFDD"/>
    </w:rPr>
  </w:style>
  <w:style w:type="character" w:styleId="FollowedHyperlink">
    <w:name w:val="FollowedHyperlink"/>
    <w:basedOn w:val="DefaultParagraphFont"/>
    <w:uiPriority w:val="99"/>
    <w:semiHidden/>
    <w:unhideWhenUsed/>
    <w:rsid w:val="00301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3442">
      <w:bodyDiv w:val="1"/>
      <w:marLeft w:val="0"/>
      <w:marRight w:val="0"/>
      <w:marTop w:val="0"/>
      <w:marBottom w:val="0"/>
      <w:divBdr>
        <w:top w:val="none" w:sz="0" w:space="0" w:color="auto"/>
        <w:left w:val="none" w:sz="0" w:space="0" w:color="auto"/>
        <w:bottom w:val="none" w:sz="0" w:space="0" w:color="auto"/>
        <w:right w:val="none" w:sz="0" w:space="0" w:color="auto"/>
      </w:divBdr>
    </w:div>
    <w:div w:id="91823860">
      <w:bodyDiv w:val="1"/>
      <w:marLeft w:val="0"/>
      <w:marRight w:val="0"/>
      <w:marTop w:val="0"/>
      <w:marBottom w:val="0"/>
      <w:divBdr>
        <w:top w:val="none" w:sz="0" w:space="0" w:color="auto"/>
        <w:left w:val="none" w:sz="0" w:space="0" w:color="auto"/>
        <w:bottom w:val="none" w:sz="0" w:space="0" w:color="auto"/>
        <w:right w:val="none" w:sz="0" w:space="0" w:color="auto"/>
      </w:divBdr>
    </w:div>
    <w:div w:id="422410521">
      <w:bodyDiv w:val="1"/>
      <w:marLeft w:val="0"/>
      <w:marRight w:val="0"/>
      <w:marTop w:val="0"/>
      <w:marBottom w:val="0"/>
      <w:divBdr>
        <w:top w:val="none" w:sz="0" w:space="0" w:color="auto"/>
        <w:left w:val="none" w:sz="0" w:space="0" w:color="auto"/>
        <w:bottom w:val="none" w:sz="0" w:space="0" w:color="auto"/>
        <w:right w:val="none" w:sz="0" w:space="0" w:color="auto"/>
      </w:divBdr>
    </w:div>
    <w:div w:id="1316448172">
      <w:bodyDiv w:val="1"/>
      <w:marLeft w:val="0"/>
      <w:marRight w:val="0"/>
      <w:marTop w:val="0"/>
      <w:marBottom w:val="0"/>
      <w:divBdr>
        <w:top w:val="none" w:sz="0" w:space="0" w:color="auto"/>
        <w:left w:val="none" w:sz="0" w:space="0" w:color="auto"/>
        <w:bottom w:val="none" w:sz="0" w:space="0" w:color="auto"/>
        <w:right w:val="none" w:sz="0" w:space="0" w:color="auto"/>
      </w:divBdr>
    </w:div>
    <w:div w:id="1436439674">
      <w:bodyDiv w:val="1"/>
      <w:marLeft w:val="0"/>
      <w:marRight w:val="0"/>
      <w:marTop w:val="0"/>
      <w:marBottom w:val="0"/>
      <w:divBdr>
        <w:top w:val="none" w:sz="0" w:space="0" w:color="auto"/>
        <w:left w:val="none" w:sz="0" w:space="0" w:color="auto"/>
        <w:bottom w:val="none" w:sz="0" w:space="0" w:color="auto"/>
        <w:right w:val="none" w:sz="0" w:space="0" w:color="auto"/>
      </w:divBdr>
    </w:div>
    <w:div w:id="1553031426">
      <w:bodyDiv w:val="1"/>
      <w:marLeft w:val="0"/>
      <w:marRight w:val="0"/>
      <w:marTop w:val="0"/>
      <w:marBottom w:val="0"/>
      <w:divBdr>
        <w:top w:val="none" w:sz="0" w:space="0" w:color="auto"/>
        <w:left w:val="none" w:sz="0" w:space="0" w:color="auto"/>
        <w:bottom w:val="none" w:sz="0" w:space="0" w:color="auto"/>
        <w:right w:val="none" w:sz="0" w:space="0" w:color="auto"/>
      </w:divBdr>
    </w:div>
    <w:div w:id="1658608637">
      <w:bodyDiv w:val="1"/>
      <w:marLeft w:val="0"/>
      <w:marRight w:val="0"/>
      <w:marTop w:val="0"/>
      <w:marBottom w:val="0"/>
      <w:divBdr>
        <w:top w:val="none" w:sz="0" w:space="0" w:color="auto"/>
        <w:left w:val="none" w:sz="0" w:space="0" w:color="auto"/>
        <w:bottom w:val="none" w:sz="0" w:space="0" w:color="auto"/>
        <w:right w:val="none" w:sz="0" w:space="0" w:color="auto"/>
      </w:divBdr>
    </w:div>
    <w:div w:id="203734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RAK/"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2.xml"/><Relationship Id="rId10" Type="http://schemas.openxmlformats.org/officeDocument/2006/relationships/hyperlink" Target="https://ejournal.upi.edu/index.php/JRAK/" TargetMode="External"/><Relationship Id="rId19"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400"/>
              <a:t>Market</a:t>
            </a:r>
            <a:r>
              <a:rPr lang="en-US" sz="1400" baseline="0"/>
              <a:t> capitalization </a:t>
            </a:r>
          </a:p>
          <a:p>
            <a:pPr>
              <a:defRPr/>
            </a:pPr>
            <a:r>
              <a:rPr lang="en-US" sz="1400" baseline="0"/>
              <a:t>2023</a:t>
            </a:r>
            <a:endParaRPr lang="en-US" sz="14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D943-4FAD-88BD-0FFD953D5A88}"/>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D943-4FAD-88BD-0FFD953D5A88}"/>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D943-4FAD-88BD-0FFD953D5A88}"/>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D943-4FAD-88BD-0FFD953D5A88}"/>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D943-4FAD-88BD-0FFD953D5A88}"/>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D943-4FAD-88BD-0FFD953D5A88}"/>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D943-4FAD-88BD-0FFD953D5A88}"/>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D943-4FAD-88BD-0FFD953D5A88}"/>
              </c:ext>
            </c:extLst>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extLst>
              <c:ext xmlns:c16="http://schemas.microsoft.com/office/drawing/2014/chart" uri="{C3380CC4-5D6E-409C-BE32-E72D297353CC}">
                <c16:uniqueId val="{00000011-D943-4FAD-88BD-0FFD953D5A88}"/>
              </c:ext>
            </c:extLst>
          </c:dPt>
          <c:dPt>
            <c:idx val="9"/>
            <c:bubble3D val="0"/>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extLst>
              <c:ext xmlns:c16="http://schemas.microsoft.com/office/drawing/2014/chart" uri="{C3380CC4-5D6E-409C-BE32-E72D297353CC}">
                <c16:uniqueId val="{00000013-D943-4FAD-88BD-0FFD953D5A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'50 Biggest Market Capitalizatio'!$J$5:$J$14</c:f>
              <c:strCache>
                <c:ptCount val="10"/>
                <c:pt idx="0">
                  <c:v>HEALTHCARE</c:v>
                </c:pt>
                <c:pt idx="1">
                  <c:v>BASIC MATERIAL</c:v>
                </c:pt>
                <c:pt idx="2">
                  <c:v>INFRASTRUCTURES</c:v>
                </c:pt>
                <c:pt idx="3">
                  <c:v>FINANCIAL</c:v>
                </c:pt>
                <c:pt idx="4">
                  <c:v>ENERGY</c:v>
                </c:pt>
                <c:pt idx="5">
                  <c:v>INDUSTRIALS</c:v>
                </c:pt>
                <c:pt idx="6">
                  <c:v>PROPERTIES &amp; REAL ESTATE</c:v>
                </c:pt>
                <c:pt idx="7">
                  <c:v>CONSUMER NON CYCLICALS</c:v>
                </c:pt>
                <c:pt idx="8">
                  <c:v>TECHNOLOGY</c:v>
                </c:pt>
                <c:pt idx="9">
                  <c:v>CUNSUMER CYCLICALS</c:v>
                </c:pt>
              </c:strCache>
            </c:strRef>
          </c:cat>
          <c:val>
            <c:numRef>
              <c:f>'50 Biggest Market Capitalizatio'!$K$5:$K$14</c:f>
              <c:numCache>
                <c:formatCode>#,##0.00</c:formatCode>
                <c:ptCount val="10"/>
                <c:pt idx="0">
                  <c:v>1</c:v>
                </c:pt>
                <c:pt idx="1">
                  <c:v>14.179999999999998</c:v>
                </c:pt>
                <c:pt idx="2">
                  <c:v>11.64</c:v>
                </c:pt>
                <c:pt idx="3">
                  <c:v>26.67</c:v>
                </c:pt>
                <c:pt idx="4">
                  <c:v>9.84</c:v>
                </c:pt>
                <c:pt idx="5">
                  <c:v>2.44</c:v>
                </c:pt>
                <c:pt idx="6" formatCode="General">
                  <c:v>1.55</c:v>
                </c:pt>
                <c:pt idx="7">
                  <c:v>5.5400000000000009</c:v>
                </c:pt>
                <c:pt idx="8">
                  <c:v>2.06</c:v>
                </c:pt>
                <c:pt idx="9">
                  <c:v>1.1100000000000001</c:v>
                </c:pt>
              </c:numCache>
            </c:numRef>
          </c:val>
          <c:extLst>
            <c:ext xmlns:c16="http://schemas.microsoft.com/office/drawing/2014/chart" uri="{C3380CC4-5D6E-409C-BE32-E72D297353CC}">
              <c16:uniqueId val="{00000014-D943-4FAD-88BD-0FFD953D5A8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c:f>
              <c:strCache>
                <c:ptCount val="1"/>
                <c:pt idx="0">
                  <c:v>PBV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Sheet1!$E$5:$K$5</c:f>
              <c:numCache>
                <c:formatCode>General</c:formatCode>
                <c:ptCount val="7"/>
                <c:pt idx="0">
                  <c:v>2020</c:v>
                </c:pt>
                <c:pt idx="2">
                  <c:v>2021</c:v>
                </c:pt>
                <c:pt idx="4">
                  <c:v>2022</c:v>
                </c:pt>
                <c:pt idx="6">
                  <c:v>2023</c:v>
                </c:pt>
              </c:numCache>
            </c:numRef>
          </c:cat>
          <c:val>
            <c:numRef>
              <c:f>Sheet1!$E$6:$K$6</c:f>
              <c:numCache>
                <c:formatCode>General</c:formatCode>
                <c:ptCount val="7"/>
                <c:pt idx="0" formatCode="#,##0">
                  <c:v>2450</c:v>
                </c:pt>
                <c:pt idx="2" formatCode="#,##0">
                  <c:v>2970</c:v>
                </c:pt>
                <c:pt idx="4" formatCode="#,##0">
                  <c:v>1290</c:v>
                </c:pt>
                <c:pt idx="6" formatCode="#,##0">
                  <c:v>1010</c:v>
                </c:pt>
              </c:numCache>
            </c:numRef>
          </c:val>
          <c:extLst>
            <c:ext xmlns:c16="http://schemas.microsoft.com/office/drawing/2014/chart" uri="{C3380CC4-5D6E-409C-BE32-E72D297353CC}">
              <c16:uniqueId val="{00000000-D31A-4820-A220-914AEA37F8BE}"/>
            </c:ext>
          </c:extLst>
        </c:ser>
        <c:dLbls>
          <c:dLblPos val="outEnd"/>
          <c:showLegendKey val="0"/>
          <c:showVal val="1"/>
          <c:showCatName val="0"/>
          <c:showSerName val="0"/>
          <c:showPercent val="0"/>
          <c:showBubbleSize val="0"/>
        </c:dLbls>
        <c:gapWidth val="444"/>
        <c:overlap val="-90"/>
        <c:axId val="1592505008"/>
        <c:axId val="1587903648"/>
      </c:barChart>
      <c:catAx>
        <c:axId val="1592505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87903648"/>
        <c:crosses val="autoZero"/>
        <c:auto val="1"/>
        <c:lblAlgn val="ctr"/>
        <c:lblOffset val="100"/>
        <c:noMultiLvlLbl val="0"/>
      </c:catAx>
      <c:valAx>
        <c:axId val="1587903648"/>
        <c:scaling>
          <c:orientation val="minMax"/>
        </c:scaling>
        <c:delete val="1"/>
        <c:axPos val="l"/>
        <c:numFmt formatCode="#,##0" sourceLinked="1"/>
        <c:majorTickMark val="none"/>
        <c:minorTickMark val="none"/>
        <c:tickLblPos val="nextTo"/>
        <c:crossAx val="15925050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9394B5-117C-4770-8912-98EB4A37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18</Pages>
  <Words>7606</Words>
  <Characters>43359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Administrator</cp:lastModifiedBy>
  <cp:revision>176</cp:revision>
  <dcterms:created xsi:type="dcterms:W3CDTF">2023-07-28T01:58:00Z</dcterms:created>
  <dcterms:modified xsi:type="dcterms:W3CDTF">2024-11-04T15:15:00Z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b7cfac2423e0b95e9a9dfc037ce3f1cebcb6fce30f8326e429b94d3e39f46d38</vt:lpwstr>
  </property>
  <property fmtid="{D5CDD505-2E9C-101B-9397-08002B2CF9AE}" pid="27" name="ZOTERO_PREF_1">
    <vt:lpwstr>&lt;data data-version="3" zotero-version="6.0.36"&gt;&lt;session id="ZwG6aa6P"/&gt;&lt;style id="http://www.zotero.org/styles/apa" locale="en-US" hasBibliography="1" bibliographyStyleHasBeenSet="1"/&gt;&lt;prefs&gt;&lt;pref name="fieldType" value="Field"/&gt;&lt;pref name="automaticJourn</vt:lpwstr>
  </property>
  <property fmtid="{D5CDD505-2E9C-101B-9397-08002B2CF9AE}" pid="28" name="ZOTERO_PREF_2">
    <vt:lpwstr>alAbbreviations" value="true"/&gt;&lt;/prefs&gt;&lt;/data&gt;</vt:lpwstr>
  </property>
</Properties>
</file>