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C4A27" w14:textId="66BD5EFF" w:rsidR="00B074A6" w:rsidRDefault="00E21CE5">
      <w:pPr>
        <w:spacing w:line="240" w:lineRule="auto"/>
      </w:pPr>
      <w:bookmarkStart w:id="0" w:name="_heading=h.gjdgxs" w:colFirst="0" w:colLast="0"/>
      <w:bookmarkEnd w:id="0"/>
      <w:r>
        <w:rPr>
          <w:noProof/>
        </w:rPr>
        <mc:AlternateContent>
          <mc:Choice Requires="wps">
            <w:drawing>
              <wp:anchor distT="0" distB="0" distL="114300" distR="114300" simplePos="0" relativeHeight="251658240" behindDoc="0" locked="0" layoutInCell="1" hidden="0" allowOverlap="1" wp14:anchorId="7D2856D2" wp14:editId="0F97B7EB">
                <wp:simplePos x="0" y="0"/>
                <wp:positionH relativeFrom="column">
                  <wp:posOffset>177800</wp:posOffset>
                </wp:positionH>
                <wp:positionV relativeFrom="paragraph">
                  <wp:posOffset>-50799</wp:posOffset>
                </wp:positionV>
                <wp:extent cx="5553075" cy="1063625"/>
                <wp:effectExtent l="0" t="0" r="0" b="0"/>
                <wp:wrapNone/>
                <wp:docPr id="1615405610" name="Rectangle 1615405610"/>
                <wp:cNvGraphicFramePr/>
                <a:graphic xmlns:a="http://schemas.openxmlformats.org/drawingml/2006/main">
                  <a:graphicData uri="http://schemas.microsoft.com/office/word/2010/wordprocessingShape">
                    <wps:wsp>
                      <wps:cNvSpPr/>
                      <wps:spPr>
                        <a:xfrm>
                          <a:off x="2578988" y="3257713"/>
                          <a:ext cx="5534025" cy="1044575"/>
                        </a:xfrm>
                        <a:prstGeom prst="rect">
                          <a:avLst/>
                        </a:prstGeom>
                        <a:solidFill>
                          <a:srgbClr val="FFFFFF"/>
                        </a:solidFill>
                        <a:ln>
                          <a:noFill/>
                        </a:ln>
                      </wps:spPr>
                      <wps:txbx>
                        <w:txbxContent>
                          <w:p w14:paraId="22425BC0" w14:textId="1EE52153" w:rsidR="00EA2DE4" w:rsidRDefault="00EA2DE4">
                            <w:pPr>
                              <w:spacing w:line="240" w:lineRule="auto"/>
                              <w:jc w:val="center"/>
                              <w:textDirection w:val="btLr"/>
                            </w:pPr>
                            <w:r>
                              <w:rPr>
                                <w:color w:val="000000"/>
                              </w:rPr>
                              <w:t xml:space="preserve">Journal homepage: </w:t>
                            </w:r>
                            <w:r>
                              <w:rPr>
                                <w:color w:val="0000FF"/>
                                <w:u w:val="single"/>
                              </w:rPr>
                              <w:t>https://ejournal.upi.edu/index.php/JRAK/</w:t>
                            </w: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7D2856D2" id="Rectangle 1615405610" o:spid="_x0000_s1026" style="position:absolute;margin-left:14pt;margin-top:-4pt;width:437.25pt;height:83.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" stroked="f">
                <v:textbox inset="2.53958mm,1.2694mm,2.53958mm,1.2694mm">
                  <w:txbxContent>
                    <w:p w14:paraId="22425BC0" w14:textId="1EE52153" w:rsidR="00EA2DE4" w:rsidRDefault="00EA2DE4">
                      <w:pPr>
                        <w:spacing w:line="240" w:lineRule="auto"/>
                        <w:jc w:val="center"/>
                        <w:textDirection w:val="btLr"/>
                      </w:pPr>
                      <w:r>
                        <w:rPr>
                          <w:color w:val="000000"/>
                        </w:rPr>
                        <w:t xml:space="preserve">Journal homepage: </w:t>
                      </w:r>
                      <w:r>
                        <w:rPr>
                          <w:color w:val="0000FF"/>
                          <w:u w:val="single"/>
                        </w:rPr>
                        <w:t>https://ejournal.upi.edu/index.php/JRAK/</w:t>
                      </w:r>
                      <w:r>
                        <w:rPr>
                          <w:color w:val="000000"/>
                        </w:rPr>
                        <w:t xml:space="preserve">  </w:t>
                      </w:r>
                    </w:p>
                  </w:txbxContent>
                </v:textbox>
              </v:rect>
            </w:pict>
          </mc:Fallback>
        </mc:AlternateContent>
      </w:r>
      <w:r>
        <w:rPr>
          <w:noProof/>
        </w:rPr>
        <mc:AlternateContent>
          <mc:Choice Requires="wps">
            <w:drawing>
              <wp:anchor distT="45720" distB="45720" distL="114300" distR="114300" simplePos="0" relativeHeight="251660288" behindDoc="0" locked="0" layoutInCell="1" hidden="0" allowOverlap="1" wp14:anchorId="17C703B3" wp14:editId="284D5088">
                <wp:simplePos x="0" y="0"/>
                <wp:positionH relativeFrom="column">
                  <wp:posOffset>-546099</wp:posOffset>
                </wp:positionH>
                <wp:positionV relativeFrom="paragraph">
                  <wp:posOffset>-436879</wp:posOffset>
                </wp:positionV>
                <wp:extent cx="6838950" cy="276225"/>
                <wp:effectExtent l="0" t="0" r="0" b="0"/>
                <wp:wrapNone/>
                <wp:docPr id="1615405611" name="Rectangle 1615405611"/>
                <wp:cNvGraphicFramePr/>
                <a:graphic xmlns:a="http://schemas.openxmlformats.org/drawingml/2006/main">
                  <a:graphicData uri="http://schemas.microsoft.com/office/word/2010/wordprocessingShape">
                    <wps:wsp>
                      <wps:cNvSpPr/>
                      <wps:spPr>
                        <a:xfrm>
                          <a:off x="1936050" y="3651413"/>
                          <a:ext cx="6819900" cy="257175"/>
                        </a:xfrm>
                        <a:prstGeom prst="rect">
                          <a:avLst/>
                        </a:prstGeom>
                        <a:solidFill>
                          <a:srgbClr val="FFFFFF"/>
                        </a:solidFill>
                        <a:ln>
                          <a:noFill/>
                        </a:ln>
                      </wps:spPr>
                      <wps:txbx>
                        <w:txbxContent>
                          <w:p w14:paraId="6ECE6C68" w14:textId="77777777" w:rsidR="00EA2DE4" w:rsidRDefault="00EA2DE4">
                            <w:pPr>
                              <w:spacing w:line="258" w:lineRule="auto"/>
                              <w:jc w:val="center"/>
                              <w:textDirection w:val="btLr"/>
                            </w:pPr>
                            <w:r>
                              <w:rPr>
                                <w:rFonts w:ascii="Constantia" w:eastAsia="Constantia" w:hAnsi="Constantia" w:cs="Constantia"/>
                                <w:i/>
                                <w:color w:val="000000"/>
                                <w:sz w:val="20"/>
                              </w:rPr>
                              <w:t>Jurnal Riset Akuntansi dan Keuangan 12</w:t>
                            </w:r>
                            <w:r>
                              <w:rPr>
                                <w:rFonts w:ascii="Constantia" w:eastAsia="Constantia" w:hAnsi="Constantia" w:cs="Constantia"/>
                                <w:color w:val="000000"/>
                                <w:sz w:val="20"/>
                              </w:rPr>
                              <w:t>(x) (2024) xxx-xxx</w:t>
                            </w:r>
                          </w:p>
                        </w:txbxContent>
                      </wps:txbx>
                      <wps:bodyPr spcFirstLastPara="1" wrap="square" lIns="91425" tIns="45700" rIns="91425" bIns="45700" anchor="t" anchorCtr="0">
                        <a:noAutofit/>
                      </wps:bodyPr>
                    </wps:wsp>
                  </a:graphicData>
                </a:graphic>
              </wp:anchor>
            </w:drawing>
          </mc:Choice>
          <mc:Fallback>
            <w:pict>
              <v:rect w14:anchorId="17C703B3" id="Rectangle 1615405611" o:spid="_x0000_s1027" style="position:absolute;margin-left:-43pt;margin-top:-34.4pt;width:538.5pt;height:21.7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" stroked="f">
                <v:textbox inset="2.53958mm,1.2694mm,2.53958mm,1.2694mm">
                  <w:txbxContent>
                    <w:p w14:paraId="6ECE6C68" w14:textId="77777777" w:rsidR="00EA2DE4" w:rsidRDefault="00EA2DE4">
                      <w:pPr>
                        <w:spacing w:line="258" w:lineRule="auto"/>
                        <w:jc w:val="center"/>
                        <w:textDirection w:val="btLr"/>
                      </w:pPr>
                      <w:r>
                        <w:rPr>
                          <w:rFonts w:ascii="Constantia" w:eastAsia="Constantia" w:hAnsi="Constantia" w:cs="Constantia"/>
                          <w:i/>
                          <w:color w:val="000000"/>
                          <w:sz w:val="20"/>
                        </w:rPr>
                        <w:t>Jurnal Riset Akuntansi dan Keuangan 12</w:t>
                      </w:r>
                      <w:r>
                        <w:rPr>
                          <w:rFonts w:ascii="Constantia" w:eastAsia="Constantia" w:hAnsi="Constantia" w:cs="Constantia"/>
                          <w:color w:val="000000"/>
                          <w:sz w:val="20"/>
                        </w:rPr>
                        <w:t>(x) (2024) xxx-xxx</w:t>
                      </w:r>
                    </w:p>
                  </w:txbxContent>
                </v:textbox>
              </v:rect>
            </w:pict>
          </mc:Fallback>
        </mc:AlternateContent>
      </w:r>
      <w:r>
        <w:rPr>
          <w:noProof/>
        </w:rPr>
        <w:drawing>
          <wp:anchor distT="0" distB="0" distL="114300" distR="114300" simplePos="0" relativeHeight="251661312" behindDoc="0" locked="0" layoutInCell="1" hidden="0" allowOverlap="1" wp14:anchorId="2B51159D" wp14:editId="60B7034C">
            <wp:simplePos x="0" y="0"/>
            <wp:positionH relativeFrom="column">
              <wp:posOffset>-527048</wp:posOffset>
            </wp:positionH>
            <wp:positionV relativeFrom="paragraph">
              <wp:posOffset>-120013</wp:posOffset>
            </wp:positionV>
            <wp:extent cx="990600" cy="990600"/>
            <wp:effectExtent l="0" t="0" r="0" b="0"/>
            <wp:wrapNone/>
            <wp:docPr id="16154056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l="10304" t="11761" r="12419" b="33531"/>
                    <a:stretch>
                      <a:fillRect/>
                    </a:stretch>
                  </pic:blipFill>
                  <pic:spPr>
                    <a:xfrm>
                      <a:off x="0" y="0"/>
                      <a:ext cx="990600" cy="990600"/>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68065D96" wp14:editId="574141AC">
            <wp:simplePos x="0" y="0"/>
            <wp:positionH relativeFrom="column">
              <wp:posOffset>5543849</wp:posOffset>
            </wp:positionH>
            <wp:positionV relativeFrom="paragraph">
              <wp:posOffset>-48894</wp:posOffset>
            </wp:positionV>
            <wp:extent cx="735106" cy="1040378"/>
            <wp:effectExtent l="0" t="0" r="0" b="0"/>
            <wp:wrapNone/>
            <wp:docPr id="161540561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735106" cy="1040378"/>
                    </a:xfrm>
                    <a:prstGeom prst="rect">
                      <a:avLst/>
                    </a:prstGeom>
                    <a:ln/>
                  </pic:spPr>
                </pic:pic>
              </a:graphicData>
            </a:graphic>
          </wp:anchor>
        </w:drawing>
      </w:r>
      <w:r>
        <w:rPr>
          <w:noProof/>
        </w:rPr>
        <mc:AlternateContent>
          <mc:Choice Requires="wps">
            <w:drawing>
              <wp:anchor distT="0" distB="0" distL="114300" distR="114300" simplePos="0" relativeHeight="251663360" behindDoc="0" locked="0" layoutInCell="1" hidden="0" allowOverlap="1" wp14:anchorId="7D8138D3" wp14:editId="616DF295">
                <wp:simplePos x="0" y="0"/>
                <wp:positionH relativeFrom="column">
                  <wp:posOffset>-507999</wp:posOffset>
                </wp:positionH>
                <wp:positionV relativeFrom="paragraph">
                  <wp:posOffset>-152399</wp:posOffset>
                </wp:positionV>
                <wp:extent cx="6886575" cy="38100"/>
                <wp:effectExtent l="0" t="0" r="0" b="0"/>
                <wp:wrapNone/>
                <wp:docPr id="1615405609" name="Straight Arrow Connector 1615405609"/>
                <wp:cNvGraphicFramePr/>
                <a:graphic xmlns:a="http://schemas.openxmlformats.org/drawingml/2006/main">
                  <a:graphicData uri="http://schemas.microsoft.com/office/word/2010/wordprocessingShape">
                    <wps:wsp>
                      <wps:cNvCnPr/>
                      <wps:spPr>
                        <a:xfrm>
                          <a:off x="1912238" y="3770475"/>
                          <a:ext cx="6867525" cy="1905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type w14:anchorId="3859310A" id="_x0000_t32" coordsize="21600,21600" o:spt="32" o:oned="t" path="m,l21600,21600e" filled="f">
                <v:path arrowok="t" fillok="f" o:connecttype="none"/>
                <o:lock v:ext="edit" shapetype="t"/>
              </v:shapetype>
              <v:shape id="Straight Arrow Connector 1615405609" o:spid="_x0000_s1026" type="#_x0000_t32" style="position:absolute;margin-left:-40pt;margin-top:-12pt;width:542.25pt;height:3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" strokecolor="#5b9bd5">
                <v:stroke startarrowwidth="narrow" startarrowlength="short" endarrowwidth="narrow" endarrowlength="short" joinstyle="miter"/>
              </v:shape>
            </w:pict>
          </mc:Fallback>
        </mc:AlternateContent>
      </w:r>
    </w:p>
    <w:p w14:paraId="5E45B101" w14:textId="77777777" w:rsidR="00B074A6" w:rsidRDefault="00B074A6">
      <w:pPr>
        <w:spacing w:line="240" w:lineRule="auto"/>
      </w:pPr>
    </w:p>
    <w:p w14:paraId="32A4505A" w14:textId="77777777" w:rsidR="00B074A6" w:rsidRDefault="00B074A6">
      <w:pPr>
        <w:spacing w:line="240" w:lineRule="auto"/>
      </w:pPr>
    </w:p>
    <w:p w14:paraId="64AB5021" w14:textId="09F253ED" w:rsidR="00B074A6" w:rsidRDefault="00866C52">
      <w:pPr>
        <w:spacing w:line="240" w:lineRule="auto"/>
      </w:pPr>
      <w:r>
        <w:rPr>
          <w:noProof/>
        </w:rPr>
        <mc:AlternateContent>
          <mc:Choice Requires="wps">
            <w:drawing>
              <wp:anchor distT="0" distB="0" distL="114300" distR="114300" simplePos="0" relativeHeight="251659264" behindDoc="0" locked="0" layoutInCell="1" hidden="0" allowOverlap="1" wp14:anchorId="4A776F23" wp14:editId="40492795">
                <wp:simplePos x="0" y="0"/>
                <wp:positionH relativeFrom="column">
                  <wp:posOffset>-419100</wp:posOffset>
                </wp:positionH>
                <wp:positionV relativeFrom="paragraph">
                  <wp:posOffset>246380</wp:posOffset>
                </wp:positionV>
                <wp:extent cx="6838950" cy="45719"/>
                <wp:effectExtent l="0" t="19050" r="38100" b="50165"/>
                <wp:wrapNone/>
                <wp:docPr id="1615405612" name="Straight Arrow Connector 1615405612"/>
                <wp:cNvGraphicFramePr/>
                <a:graphic xmlns:a="http://schemas.openxmlformats.org/drawingml/2006/main">
                  <a:graphicData uri="http://schemas.microsoft.com/office/word/2010/wordprocessingShape">
                    <wps:wsp>
                      <wps:cNvCnPr/>
                      <wps:spPr>
                        <a:xfrm flipV="1">
                          <a:off x="0" y="0"/>
                          <a:ext cx="6838950" cy="45719"/>
                        </a:xfrm>
                        <a:prstGeom prst="straightConnector1">
                          <a:avLst/>
                        </a:prstGeom>
                        <a:noFill/>
                        <a:ln w="57150" cap="flat" cmpd="dbl">
                          <a:solidFill>
                            <a:srgbClr val="5B9BD5"/>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1C46F130" id="Straight Arrow Connector 1615405612" o:spid="_x0000_s1026" type="#_x0000_t32" style="position:absolute;margin-left:-33pt;margin-top:19.4pt;width:538.5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" strokecolor="#5b9bd5" strokeweight="4.5pt">
                <v:stroke startarrowwidth="narrow" startarrowlength="short" endarrowwidth="narrow" endarrowlength="short" linestyle="thinThin" joinstyle="miter"/>
              </v:shape>
            </w:pict>
          </mc:Fallback>
        </mc:AlternateContent>
      </w:r>
    </w:p>
    <w:p w14:paraId="1B2DEE1D" w14:textId="77777777" w:rsidR="00B074A6" w:rsidRDefault="00B074A6">
      <w:pPr>
        <w:pBdr>
          <w:top w:val="nil"/>
          <w:left w:val="nil"/>
          <w:bottom w:val="nil"/>
          <w:right w:val="nil"/>
          <w:between w:val="nil"/>
        </w:pBdr>
        <w:spacing w:after="0" w:line="240" w:lineRule="auto"/>
        <w:jc w:val="center"/>
        <w:rPr>
          <w:color w:val="000000"/>
        </w:rPr>
      </w:pPr>
    </w:p>
    <w:p w14:paraId="42D49C0E" w14:textId="77777777" w:rsidR="002A7528" w:rsidRDefault="002A7528" w:rsidP="002A7528">
      <w:pPr>
        <w:spacing w:line="240" w:lineRule="auto"/>
        <w:jc w:val="center"/>
        <w:textDirection w:val="btLr"/>
        <w:rPr>
          <w:rFonts w:ascii="Constantia" w:eastAsia="Constantia" w:hAnsi="Constantia" w:cs="Constantia"/>
          <w:color w:val="000000"/>
          <w:sz w:val="36"/>
        </w:rPr>
      </w:pPr>
      <w:commentRangeStart w:id="1"/>
      <w:r w:rsidRPr="000C6621">
        <w:rPr>
          <w:rFonts w:ascii="Constantia" w:eastAsia="Constantia" w:hAnsi="Constantia" w:cs="Constantia"/>
          <w:color w:val="000000"/>
          <w:sz w:val="36"/>
        </w:rPr>
        <w:t xml:space="preserve">Stock Market Volatility in ASEAN Plus Three Countries </w:t>
      </w:r>
      <w:r>
        <w:rPr>
          <w:rFonts w:ascii="Constantia" w:eastAsia="Constantia" w:hAnsi="Constantia" w:cs="Constantia"/>
          <w:color w:val="000000"/>
          <w:sz w:val="36"/>
        </w:rPr>
        <w:t>during</w:t>
      </w:r>
      <w:r w:rsidRPr="000C6621">
        <w:rPr>
          <w:rFonts w:ascii="Constantia" w:eastAsia="Constantia" w:hAnsi="Constantia" w:cs="Constantia"/>
          <w:color w:val="000000"/>
          <w:sz w:val="36"/>
        </w:rPr>
        <w:t xml:space="preserve"> Geopolitical Crisis </w:t>
      </w:r>
      <w:commentRangeEnd w:id="1"/>
      <w:r>
        <w:rPr>
          <w:rStyle w:val="ReferensiKomentar"/>
        </w:rPr>
        <w:commentReference w:id="1"/>
      </w:r>
    </w:p>
    <w:p w14:paraId="4C148622" w14:textId="77777777" w:rsidR="00B074A6" w:rsidRDefault="00B074A6">
      <w:pPr>
        <w:tabs>
          <w:tab w:val="left" w:pos="1560"/>
        </w:tabs>
        <w:spacing w:line="276" w:lineRule="auto"/>
        <w:jc w:val="center"/>
        <w:rPr>
          <w:sz w:val="20"/>
          <w:szCs w:val="20"/>
        </w:rPr>
      </w:pPr>
    </w:p>
    <w:tbl>
      <w:tblPr>
        <w:tblStyle w:val="1"/>
        <w:tblW w:w="90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102"/>
        <w:gridCol w:w="317"/>
        <w:gridCol w:w="2671"/>
      </w:tblGrid>
      <w:tr w:rsidR="00B074A6" w14:paraId="73CFED84" w14:textId="77777777">
        <w:tc>
          <w:tcPr>
            <w:tcW w:w="6102" w:type="dxa"/>
            <w:tcBorders>
              <w:top w:val="single" w:sz="12" w:space="0" w:color="9CC2E5"/>
              <w:bottom w:val="single" w:sz="12" w:space="0" w:color="9CC2E5"/>
            </w:tcBorders>
            <w:shd w:val="clear" w:color="auto" w:fill="auto"/>
          </w:tcPr>
          <w:p w14:paraId="4A6A97A6" w14:textId="77777777" w:rsidR="00B074A6" w:rsidRDefault="00E21CE5">
            <w:pPr>
              <w:spacing w:after="0" w:line="240" w:lineRule="auto"/>
              <w:rPr>
                <w:rFonts w:ascii="Calibri" w:eastAsia="Calibri" w:hAnsi="Calibri" w:cs="Calibri"/>
                <w:b/>
              </w:rPr>
            </w:pPr>
            <w:r>
              <w:rPr>
                <w:rFonts w:ascii="Calibri" w:eastAsia="Calibri" w:hAnsi="Calibri" w:cs="Calibri"/>
                <w:b/>
              </w:rPr>
              <w:t xml:space="preserve">A B S T R A C T </w:t>
            </w:r>
          </w:p>
        </w:tc>
        <w:tc>
          <w:tcPr>
            <w:tcW w:w="317" w:type="dxa"/>
            <w:shd w:val="clear" w:color="auto" w:fill="auto"/>
          </w:tcPr>
          <w:p w14:paraId="76489836" w14:textId="77777777" w:rsidR="00B074A6" w:rsidRDefault="00B074A6">
            <w:pPr>
              <w:spacing w:after="0" w:line="240" w:lineRule="auto"/>
              <w:jc w:val="center"/>
              <w:rPr>
                <w:rFonts w:ascii="Calibri" w:eastAsia="Calibri" w:hAnsi="Calibri" w:cs="Calibri"/>
              </w:rPr>
            </w:pPr>
          </w:p>
        </w:tc>
        <w:tc>
          <w:tcPr>
            <w:tcW w:w="2671" w:type="dxa"/>
            <w:tcBorders>
              <w:top w:val="single" w:sz="12" w:space="0" w:color="9CC2E5"/>
              <w:left w:val="nil"/>
              <w:bottom w:val="single" w:sz="12" w:space="0" w:color="9CC2E5"/>
            </w:tcBorders>
            <w:shd w:val="clear" w:color="auto" w:fill="auto"/>
          </w:tcPr>
          <w:p w14:paraId="5A0458CF" w14:textId="77777777" w:rsidR="00B074A6" w:rsidRDefault="00E21CE5">
            <w:pPr>
              <w:spacing w:after="0" w:line="240" w:lineRule="auto"/>
              <w:jc w:val="center"/>
              <w:rPr>
                <w:rFonts w:ascii="Calibri" w:eastAsia="Calibri" w:hAnsi="Calibri" w:cs="Calibri"/>
                <w:b/>
              </w:rPr>
            </w:pPr>
            <w:r>
              <w:rPr>
                <w:rFonts w:ascii="Calibri" w:eastAsia="Calibri" w:hAnsi="Calibri" w:cs="Calibri"/>
                <w:b/>
              </w:rPr>
              <w:t>I N F O  A R T I K E L</w:t>
            </w:r>
          </w:p>
        </w:tc>
      </w:tr>
      <w:tr w:rsidR="00B074A6" w14:paraId="18B937D0" w14:textId="77777777" w:rsidTr="00527B37">
        <w:trPr>
          <w:trHeight w:val="3674"/>
        </w:trPr>
        <w:tc>
          <w:tcPr>
            <w:tcW w:w="6102" w:type="dxa"/>
            <w:tcBorders>
              <w:top w:val="single" w:sz="12" w:space="0" w:color="9CC2E5"/>
            </w:tcBorders>
            <w:shd w:val="clear" w:color="auto" w:fill="auto"/>
          </w:tcPr>
          <w:p w14:paraId="0BEDFB5F" w14:textId="6C54E5B6" w:rsidR="00B074A6" w:rsidRPr="00AB6FD2" w:rsidRDefault="00AB6FD2" w:rsidP="00AB6FD2">
            <w:pPr>
              <w:pBdr>
                <w:top w:val="nil"/>
                <w:left w:val="nil"/>
                <w:bottom w:val="nil"/>
                <w:right w:val="nil"/>
                <w:between w:val="nil"/>
              </w:pBdr>
              <w:spacing w:after="0" w:line="240" w:lineRule="auto"/>
              <w:jc w:val="both"/>
              <w:rPr>
                <w:rFonts w:ascii="Calibri" w:eastAsia="Calibri" w:hAnsi="Calibri" w:cs="Calibri"/>
                <w:sz w:val="24"/>
                <w:szCs w:val="24"/>
              </w:rPr>
            </w:pPr>
            <w:r w:rsidRPr="00AB6FD2">
              <w:rPr>
                <w:rFonts w:ascii="Calibri" w:eastAsia="Calibri" w:hAnsi="Calibri" w:cs="Calibri"/>
                <w:sz w:val="24"/>
                <w:szCs w:val="24"/>
              </w:rPr>
              <w:t>Th</w:t>
            </w:r>
            <w:r w:rsidR="000C6621">
              <w:rPr>
                <w:rFonts w:ascii="Calibri" w:eastAsia="Calibri" w:hAnsi="Calibri" w:cs="Calibri"/>
                <w:sz w:val="24"/>
                <w:szCs w:val="24"/>
              </w:rPr>
              <w:t>e purpose of this</w:t>
            </w:r>
            <w:r w:rsidRPr="00AB6FD2">
              <w:rPr>
                <w:rFonts w:ascii="Calibri" w:eastAsia="Calibri" w:hAnsi="Calibri" w:cs="Calibri"/>
                <w:sz w:val="24"/>
                <w:szCs w:val="24"/>
              </w:rPr>
              <w:t xml:space="preserve"> study </w:t>
            </w:r>
            <w:r w:rsidR="000C6621">
              <w:rPr>
                <w:rFonts w:ascii="Calibri" w:eastAsia="Calibri" w:hAnsi="Calibri" w:cs="Calibri"/>
                <w:sz w:val="24"/>
                <w:szCs w:val="24"/>
              </w:rPr>
              <w:t xml:space="preserve">is </w:t>
            </w:r>
            <w:r w:rsidRPr="00AB6FD2">
              <w:rPr>
                <w:rFonts w:ascii="Calibri" w:eastAsia="Calibri" w:hAnsi="Calibri" w:cs="Calibri"/>
                <w:sz w:val="24"/>
                <w:szCs w:val="24"/>
              </w:rPr>
              <w:t xml:space="preserve">to examine </w:t>
            </w:r>
            <w:r w:rsidR="000C6621">
              <w:rPr>
                <w:rFonts w:ascii="Calibri" w:eastAsia="Calibri" w:hAnsi="Calibri" w:cs="Calibri"/>
                <w:sz w:val="24"/>
                <w:szCs w:val="24"/>
              </w:rPr>
              <w:t xml:space="preserve">the effect of </w:t>
            </w:r>
            <w:r w:rsidRPr="00AB6FD2">
              <w:rPr>
                <w:rFonts w:ascii="Calibri" w:eastAsia="Calibri" w:hAnsi="Calibri" w:cs="Calibri"/>
                <w:sz w:val="24"/>
                <w:szCs w:val="24"/>
              </w:rPr>
              <w:t xml:space="preserve">stock market volatility in ASEAN Plus Three Economic Relation </w:t>
            </w:r>
            <w:r w:rsidR="000C6621">
              <w:rPr>
                <w:rFonts w:ascii="Calibri" w:eastAsia="Calibri" w:hAnsi="Calibri" w:cs="Calibri"/>
                <w:sz w:val="24"/>
                <w:szCs w:val="24"/>
              </w:rPr>
              <w:t>toward</w:t>
            </w:r>
            <w:r w:rsidRPr="00AB6FD2">
              <w:rPr>
                <w:rFonts w:ascii="Calibri" w:eastAsia="Calibri" w:hAnsi="Calibri" w:cs="Calibri"/>
                <w:sz w:val="24"/>
                <w:szCs w:val="24"/>
              </w:rPr>
              <w:t xml:space="preserve"> gold prices and the value of the US Dollar Index</w:t>
            </w:r>
            <w:r w:rsidR="000C6621">
              <w:rPr>
                <w:rFonts w:ascii="Calibri" w:eastAsia="Calibri" w:hAnsi="Calibri" w:cs="Calibri"/>
                <w:sz w:val="24"/>
                <w:szCs w:val="24"/>
              </w:rPr>
              <w:t xml:space="preserve"> during geopolitical crisis</w:t>
            </w:r>
            <w:r w:rsidRPr="00AB6FD2">
              <w:rPr>
                <w:rFonts w:ascii="Calibri" w:eastAsia="Calibri" w:hAnsi="Calibri" w:cs="Calibri"/>
                <w:sz w:val="24"/>
                <w:szCs w:val="24"/>
              </w:rPr>
              <w:t xml:space="preserve">. The technique used in this study is Generalized Autoregressive Conditional Heteroskedasticity (GARCH) or GARCH. </w:t>
            </w:r>
            <w:r w:rsidR="000C6621">
              <w:rPr>
                <w:rFonts w:ascii="Calibri" w:eastAsia="Calibri" w:hAnsi="Calibri" w:cs="Calibri"/>
                <w:sz w:val="24"/>
                <w:szCs w:val="24"/>
              </w:rPr>
              <w:t>This study found that t</w:t>
            </w:r>
            <w:r w:rsidRPr="00AB6FD2">
              <w:rPr>
                <w:rFonts w:ascii="Calibri" w:eastAsia="Calibri" w:hAnsi="Calibri" w:cs="Calibri"/>
                <w:sz w:val="24"/>
                <w:szCs w:val="24"/>
              </w:rPr>
              <w:t xml:space="preserve">he volatility of PSEi, STI, and KOSPI </w:t>
            </w:r>
            <w:r w:rsidR="000C6621">
              <w:rPr>
                <w:rFonts w:ascii="Calibri" w:eastAsia="Calibri" w:hAnsi="Calibri" w:cs="Calibri"/>
                <w:sz w:val="24"/>
                <w:szCs w:val="24"/>
              </w:rPr>
              <w:t>effect</w:t>
            </w:r>
            <w:r w:rsidRPr="00AB6FD2">
              <w:rPr>
                <w:rFonts w:ascii="Calibri" w:eastAsia="Calibri" w:hAnsi="Calibri" w:cs="Calibri"/>
                <w:sz w:val="24"/>
                <w:szCs w:val="24"/>
              </w:rPr>
              <w:t xml:space="preserve"> </w:t>
            </w:r>
            <w:r w:rsidR="000C6621">
              <w:rPr>
                <w:rFonts w:ascii="Calibri" w:eastAsia="Calibri" w:hAnsi="Calibri" w:cs="Calibri"/>
                <w:sz w:val="24"/>
                <w:szCs w:val="24"/>
              </w:rPr>
              <w:t>the</w:t>
            </w:r>
            <w:r w:rsidRPr="00AB6FD2">
              <w:rPr>
                <w:rFonts w:ascii="Calibri" w:eastAsia="Calibri" w:hAnsi="Calibri" w:cs="Calibri"/>
                <w:sz w:val="24"/>
                <w:szCs w:val="24"/>
              </w:rPr>
              <w:t xml:space="preserve"> gold price</w:t>
            </w:r>
            <w:r w:rsidR="000C6621">
              <w:rPr>
                <w:rFonts w:ascii="Calibri" w:eastAsia="Calibri" w:hAnsi="Calibri" w:cs="Calibri"/>
                <w:sz w:val="24"/>
                <w:szCs w:val="24"/>
              </w:rPr>
              <w:t xml:space="preserve"> positively</w:t>
            </w:r>
            <w:r w:rsidRPr="00AB6FD2">
              <w:rPr>
                <w:rFonts w:ascii="Calibri" w:eastAsia="Calibri" w:hAnsi="Calibri" w:cs="Calibri"/>
                <w:sz w:val="24"/>
                <w:szCs w:val="24"/>
              </w:rPr>
              <w:t xml:space="preserve">. </w:t>
            </w:r>
            <w:r w:rsidR="000C6621">
              <w:rPr>
                <w:rFonts w:ascii="Calibri" w:eastAsia="Calibri" w:hAnsi="Calibri" w:cs="Calibri"/>
                <w:sz w:val="24"/>
                <w:szCs w:val="24"/>
              </w:rPr>
              <w:t xml:space="preserve">The same finding also applies </w:t>
            </w:r>
            <w:r w:rsidRPr="00AB6FD2">
              <w:rPr>
                <w:rFonts w:ascii="Calibri" w:eastAsia="Calibri" w:hAnsi="Calibri" w:cs="Calibri"/>
                <w:sz w:val="24"/>
                <w:szCs w:val="24"/>
              </w:rPr>
              <w:t xml:space="preserve">on the US Dollar Index, </w:t>
            </w:r>
            <w:r w:rsidR="000C6621">
              <w:rPr>
                <w:rFonts w:ascii="Calibri" w:eastAsia="Calibri" w:hAnsi="Calibri" w:cs="Calibri"/>
                <w:sz w:val="24"/>
                <w:szCs w:val="24"/>
              </w:rPr>
              <w:t xml:space="preserve">where </w:t>
            </w:r>
            <w:r w:rsidRPr="00AB6FD2">
              <w:rPr>
                <w:rFonts w:ascii="Calibri" w:eastAsia="Calibri" w:hAnsi="Calibri" w:cs="Calibri"/>
                <w:sz w:val="24"/>
                <w:szCs w:val="24"/>
              </w:rPr>
              <w:t>the volatility of the VN30 and KOSPI proved to have a positive effect. Therefore, that increased stock market volatility encourages investors to seek alternative investments such as Gold and the US Dollar Index.</w:t>
            </w:r>
          </w:p>
        </w:tc>
        <w:tc>
          <w:tcPr>
            <w:tcW w:w="317" w:type="dxa"/>
            <w:shd w:val="clear" w:color="auto" w:fill="auto"/>
          </w:tcPr>
          <w:p w14:paraId="43D11A58" w14:textId="77777777" w:rsidR="00B074A6" w:rsidRDefault="00B074A6">
            <w:pPr>
              <w:spacing w:after="0" w:line="240" w:lineRule="auto"/>
              <w:rPr>
                <w:rFonts w:ascii="Calibri" w:eastAsia="Calibri" w:hAnsi="Calibri" w:cs="Calibri"/>
                <w:i/>
              </w:rPr>
            </w:pPr>
          </w:p>
        </w:tc>
        <w:tc>
          <w:tcPr>
            <w:tcW w:w="2671" w:type="dxa"/>
            <w:tcBorders>
              <w:top w:val="single" w:sz="12" w:space="0" w:color="9CC2E5"/>
            </w:tcBorders>
            <w:shd w:val="clear" w:color="auto" w:fill="auto"/>
          </w:tcPr>
          <w:p w14:paraId="47EC699A" w14:textId="77777777" w:rsidR="00B074A6" w:rsidRDefault="00E21CE5">
            <w:pPr>
              <w:spacing w:after="0" w:line="240" w:lineRule="auto"/>
              <w:rPr>
                <w:rFonts w:ascii="Calibri" w:eastAsia="Calibri" w:hAnsi="Calibri" w:cs="Calibri"/>
                <w:b/>
                <w:i/>
                <w:sz w:val="18"/>
                <w:szCs w:val="18"/>
              </w:rPr>
            </w:pPr>
            <w:r>
              <w:rPr>
                <w:rFonts w:ascii="Calibri" w:eastAsia="Calibri" w:hAnsi="Calibri" w:cs="Calibri"/>
                <w:b/>
                <w:i/>
                <w:sz w:val="18"/>
                <w:szCs w:val="18"/>
              </w:rPr>
              <w:t>Article History:</w:t>
            </w:r>
          </w:p>
          <w:p w14:paraId="539C054C" w14:textId="77777777" w:rsidR="00B074A6" w:rsidRDefault="00E21CE5">
            <w:pPr>
              <w:spacing w:after="0" w:line="240" w:lineRule="auto"/>
              <w:rPr>
                <w:rFonts w:ascii="Calibri" w:eastAsia="Calibri" w:hAnsi="Calibri" w:cs="Calibri"/>
                <w:i/>
                <w:sz w:val="18"/>
                <w:szCs w:val="18"/>
              </w:rPr>
            </w:pPr>
            <w:r>
              <w:rPr>
                <w:rFonts w:ascii="Calibri" w:eastAsia="Calibri" w:hAnsi="Calibri" w:cs="Calibri"/>
                <w:i/>
                <w:sz w:val="18"/>
                <w:szCs w:val="18"/>
              </w:rPr>
              <w:t>Submitted/Received XX XXXX XXXX</w:t>
            </w:r>
          </w:p>
          <w:p w14:paraId="238411F9" w14:textId="77777777" w:rsidR="00B074A6" w:rsidRDefault="00E21CE5">
            <w:pPr>
              <w:spacing w:after="0" w:line="240" w:lineRule="auto"/>
              <w:rPr>
                <w:rFonts w:ascii="Calibri" w:eastAsia="Calibri" w:hAnsi="Calibri" w:cs="Calibri"/>
                <w:i/>
                <w:sz w:val="18"/>
                <w:szCs w:val="18"/>
              </w:rPr>
            </w:pPr>
            <w:r>
              <w:rPr>
                <w:rFonts w:ascii="Calibri" w:eastAsia="Calibri" w:hAnsi="Calibri" w:cs="Calibri"/>
                <w:i/>
                <w:sz w:val="18"/>
                <w:szCs w:val="18"/>
              </w:rPr>
              <w:t>First Revised XX XXXX XXXX</w:t>
            </w:r>
          </w:p>
          <w:p w14:paraId="1CB23D60" w14:textId="77777777" w:rsidR="00B074A6" w:rsidRDefault="00E21CE5">
            <w:pPr>
              <w:spacing w:after="0" w:line="240" w:lineRule="auto"/>
              <w:rPr>
                <w:rFonts w:ascii="Calibri" w:eastAsia="Calibri" w:hAnsi="Calibri" w:cs="Calibri"/>
                <w:i/>
                <w:sz w:val="18"/>
                <w:szCs w:val="18"/>
              </w:rPr>
            </w:pPr>
            <w:r>
              <w:rPr>
                <w:rFonts w:ascii="Calibri" w:eastAsia="Calibri" w:hAnsi="Calibri" w:cs="Calibri"/>
                <w:i/>
                <w:sz w:val="18"/>
                <w:szCs w:val="18"/>
              </w:rPr>
              <w:t>Accepted XX XXXX XXXX</w:t>
            </w:r>
          </w:p>
          <w:p w14:paraId="7CE93D06" w14:textId="77777777" w:rsidR="00B074A6" w:rsidRDefault="00E21CE5">
            <w:pPr>
              <w:spacing w:after="0" w:line="240" w:lineRule="auto"/>
              <w:rPr>
                <w:rFonts w:ascii="Calibri" w:eastAsia="Calibri" w:hAnsi="Calibri" w:cs="Calibri"/>
                <w:i/>
                <w:sz w:val="18"/>
                <w:szCs w:val="18"/>
              </w:rPr>
            </w:pPr>
            <w:r>
              <w:rPr>
                <w:rFonts w:ascii="Calibri" w:eastAsia="Calibri" w:hAnsi="Calibri" w:cs="Calibri"/>
                <w:i/>
                <w:sz w:val="18"/>
                <w:szCs w:val="18"/>
              </w:rPr>
              <w:t>First Available online XX XXXX XXXX</w:t>
            </w:r>
          </w:p>
          <w:p w14:paraId="1AD71561" w14:textId="77777777" w:rsidR="00B074A6" w:rsidRDefault="00E21CE5">
            <w:pPr>
              <w:spacing w:after="0" w:line="240" w:lineRule="auto"/>
              <w:rPr>
                <w:rFonts w:ascii="Calibri" w:eastAsia="Calibri" w:hAnsi="Calibri" w:cs="Calibri"/>
                <w:i/>
                <w:sz w:val="18"/>
                <w:szCs w:val="18"/>
              </w:rPr>
            </w:pPr>
            <w:r>
              <w:rPr>
                <w:rFonts w:ascii="Calibri" w:eastAsia="Calibri" w:hAnsi="Calibri" w:cs="Calibri"/>
                <w:i/>
                <w:sz w:val="18"/>
                <w:szCs w:val="18"/>
              </w:rPr>
              <w:t>Publication Date XX XXXX XXXX</w:t>
            </w:r>
          </w:p>
          <w:p w14:paraId="485BEA01" w14:textId="77777777" w:rsidR="00B074A6" w:rsidRDefault="00E21CE5">
            <w:pPr>
              <w:spacing w:after="0" w:line="240" w:lineRule="auto"/>
              <w:rPr>
                <w:rFonts w:ascii="Calibri" w:eastAsia="Calibri" w:hAnsi="Calibri" w:cs="Calibri"/>
                <w:color w:val="5B9BD5"/>
              </w:rPr>
            </w:pPr>
            <w:r>
              <w:rPr>
                <w:rFonts w:ascii="Calibri" w:eastAsia="Calibri" w:hAnsi="Calibri" w:cs="Calibri"/>
                <w:color w:val="5B9BD5"/>
              </w:rPr>
              <w:t>____________________</w:t>
            </w:r>
          </w:p>
          <w:p w14:paraId="092CF1F2" w14:textId="77777777" w:rsidR="00B074A6" w:rsidRDefault="00E21CE5">
            <w:pPr>
              <w:spacing w:after="0" w:line="240" w:lineRule="auto"/>
              <w:rPr>
                <w:rFonts w:ascii="Calibri" w:eastAsia="Calibri" w:hAnsi="Calibri" w:cs="Calibri"/>
                <w:b/>
                <w:i/>
                <w:sz w:val="18"/>
                <w:szCs w:val="18"/>
              </w:rPr>
            </w:pPr>
            <w:r>
              <w:rPr>
                <w:rFonts w:ascii="Calibri" w:eastAsia="Calibri" w:hAnsi="Calibri" w:cs="Calibri"/>
                <w:b/>
                <w:i/>
                <w:sz w:val="18"/>
                <w:szCs w:val="18"/>
              </w:rPr>
              <w:t>Keyword:</w:t>
            </w:r>
          </w:p>
          <w:p w14:paraId="31E3536C" w14:textId="12DE24DC" w:rsidR="00AB6FD2" w:rsidRDefault="00AB6FD2">
            <w:pPr>
              <w:spacing w:after="0" w:line="240" w:lineRule="auto"/>
              <w:rPr>
                <w:rFonts w:ascii="Calibri" w:eastAsia="Calibri" w:hAnsi="Calibri" w:cs="Calibri"/>
                <w:i/>
                <w:sz w:val="18"/>
                <w:szCs w:val="18"/>
              </w:rPr>
            </w:pPr>
            <w:r>
              <w:rPr>
                <w:rFonts w:ascii="Calibri" w:eastAsia="Calibri" w:hAnsi="Calibri" w:cs="Calibri"/>
                <w:i/>
                <w:sz w:val="18"/>
                <w:szCs w:val="18"/>
              </w:rPr>
              <w:t>GARCH (1.1),</w:t>
            </w:r>
          </w:p>
          <w:p w14:paraId="6F38C936" w14:textId="50B986D3" w:rsidR="00AB6FD2" w:rsidRDefault="00AB6FD2">
            <w:pPr>
              <w:spacing w:after="0" w:line="240" w:lineRule="auto"/>
              <w:rPr>
                <w:rFonts w:ascii="Calibri" w:eastAsia="Calibri" w:hAnsi="Calibri" w:cs="Calibri"/>
                <w:i/>
                <w:sz w:val="18"/>
                <w:szCs w:val="18"/>
              </w:rPr>
            </w:pPr>
            <w:r>
              <w:rPr>
                <w:rFonts w:ascii="Calibri" w:eastAsia="Calibri" w:hAnsi="Calibri" w:cs="Calibri"/>
                <w:i/>
                <w:sz w:val="18"/>
                <w:szCs w:val="18"/>
              </w:rPr>
              <w:t>Gold Prices,</w:t>
            </w:r>
          </w:p>
          <w:p w14:paraId="7876345A" w14:textId="4FA59989" w:rsidR="00AB6FD2" w:rsidRDefault="00AB6FD2">
            <w:pPr>
              <w:spacing w:after="0" w:line="240" w:lineRule="auto"/>
              <w:rPr>
                <w:rFonts w:ascii="Calibri" w:eastAsia="Calibri" w:hAnsi="Calibri" w:cs="Calibri"/>
                <w:i/>
                <w:sz w:val="18"/>
                <w:szCs w:val="18"/>
              </w:rPr>
            </w:pPr>
            <w:r>
              <w:rPr>
                <w:rFonts w:ascii="Calibri" w:eastAsia="Calibri" w:hAnsi="Calibri" w:cs="Calibri"/>
                <w:i/>
                <w:sz w:val="18"/>
                <w:szCs w:val="18"/>
              </w:rPr>
              <w:t>US Dollar Index,</w:t>
            </w:r>
          </w:p>
          <w:p w14:paraId="1EFFF6B0" w14:textId="14270167" w:rsidR="00AB6FD2" w:rsidRDefault="00AB6FD2" w:rsidP="00AB6FD2">
            <w:pPr>
              <w:spacing w:after="0" w:line="240" w:lineRule="auto"/>
              <w:rPr>
                <w:rFonts w:ascii="Calibri" w:eastAsia="Calibri" w:hAnsi="Calibri" w:cs="Calibri"/>
                <w:i/>
                <w:sz w:val="18"/>
                <w:szCs w:val="18"/>
              </w:rPr>
            </w:pPr>
            <w:r>
              <w:rPr>
                <w:rFonts w:ascii="Calibri" w:eastAsia="Calibri" w:hAnsi="Calibri" w:cs="Calibri"/>
                <w:i/>
                <w:sz w:val="18"/>
                <w:szCs w:val="18"/>
              </w:rPr>
              <w:t>Volatility.</w:t>
            </w:r>
          </w:p>
          <w:p w14:paraId="4F52238F" w14:textId="0571EA50" w:rsidR="00B074A6" w:rsidRDefault="00B074A6">
            <w:pPr>
              <w:spacing w:after="0" w:line="240" w:lineRule="auto"/>
              <w:rPr>
                <w:rFonts w:ascii="Calibri" w:eastAsia="Calibri" w:hAnsi="Calibri" w:cs="Calibri"/>
                <w:i/>
                <w:sz w:val="18"/>
                <w:szCs w:val="18"/>
              </w:rPr>
            </w:pPr>
          </w:p>
          <w:p w14:paraId="1D2B145F" w14:textId="77777777" w:rsidR="00B074A6" w:rsidRDefault="00B074A6">
            <w:pPr>
              <w:spacing w:after="0" w:line="240" w:lineRule="auto"/>
              <w:rPr>
                <w:rFonts w:ascii="Calibri" w:eastAsia="Calibri" w:hAnsi="Calibri" w:cs="Calibri"/>
                <w:i/>
                <w:sz w:val="18"/>
                <w:szCs w:val="18"/>
              </w:rPr>
            </w:pPr>
          </w:p>
        </w:tc>
      </w:tr>
    </w:tbl>
    <w:p w14:paraId="149EDBFD" w14:textId="77777777" w:rsidR="00B074A6" w:rsidRDefault="00E21CE5">
      <w:pPr>
        <w:spacing w:line="240" w:lineRule="auto"/>
        <w:rPr>
          <w:b/>
        </w:rPr>
        <w:sectPr w:rsidR="00B074A6">
          <w:headerReference w:type="even" r:id="rId15"/>
          <w:headerReference w:type="default" r:id="rId16"/>
          <w:footerReference w:type="even" r:id="rId17"/>
          <w:footerReference w:type="default" r:id="rId18"/>
          <w:headerReference w:type="first" r:id="rId19"/>
          <w:pgSz w:w="11906" w:h="16838"/>
          <w:pgMar w:top="720" w:right="1440" w:bottom="1440" w:left="1440" w:header="720" w:footer="720" w:gutter="0"/>
          <w:pgNumType w:start="435"/>
          <w:cols w:space="720"/>
          <w:titlePg/>
        </w:sectPr>
      </w:pPr>
      <w:r>
        <w:rPr>
          <w:noProof/>
        </w:rPr>
        <mc:AlternateContent>
          <mc:Choice Requires="wps">
            <w:drawing>
              <wp:anchor distT="4294967294" distB="4294967294" distL="114300" distR="114300" simplePos="0" relativeHeight="251664384" behindDoc="0" locked="0" layoutInCell="1" hidden="0" allowOverlap="1" wp14:anchorId="520028C0" wp14:editId="6B2839CB">
                <wp:simplePos x="0" y="0"/>
                <wp:positionH relativeFrom="column">
                  <wp:posOffset>-546099</wp:posOffset>
                </wp:positionH>
                <wp:positionV relativeFrom="paragraph">
                  <wp:posOffset>157495</wp:posOffset>
                </wp:positionV>
                <wp:extent cx="6648450" cy="22225"/>
                <wp:effectExtent l="0" t="0" r="0" b="0"/>
                <wp:wrapNone/>
                <wp:docPr id="1615405608" name="Straight Arrow Connector 1615405608"/>
                <wp:cNvGraphicFramePr/>
                <a:graphic xmlns:a="http://schemas.openxmlformats.org/drawingml/2006/main">
                  <a:graphicData uri="http://schemas.microsoft.com/office/word/2010/wordprocessingShape">
                    <wps:wsp>
                      <wps:cNvCnPr/>
                      <wps:spPr>
                        <a:xfrm>
                          <a:off x="2026538" y="3780000"/>
                          <a:ext cx="6638925" cy="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 w14:anchorId="49AC6802" id="Straight Arrow Connector 1615405608" o:spid="_x0000_s1026" type="#_x0000_t32" style="position:absolute;margin-left:-43pt;margin-top:12.4pt;width:523.5pt;height:1.75pt;z-index:251664384;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" strokecolor="#5b9bd5">
                <v:stroke startarrowwidth="narrow" startarrowlength="short" endarrowwidth="narrow" endarrowlength="short" joinstyle="miter"/>
              </v:shape>
            </w:pict>
          </mc:Fallback>
        </mc:AlternateContent>
      </w:r>
    </w:p>
    <w:p w14:paraId="2D6A3FF2" w14:textId="77777777" w:rsidR="00B074A6" w:rsidRDefault="00B074A6">
      <w:pPr>
        <w:spacing w:after="0" w:line="240" w:lineRule="auto"/>
        <w:rPr>
          <w:b/>
        </w:rPr>
        <w:sectPr w:rsidR="00B074A6">
          <w:footerReference w:type="default" r:id="rId20"/>
          <w:headerReference w:type="first" r:id="rId21"/>
          <w:type w:val="continuous"/>
          <w:pgSz w:w="11906" w:h="16838"/>
          <w:pgMar w:top="1135" w:right="1440" w:bottom="1440" w:left="1440" w:header="708" w:footer="890" w:gutter="0"/>
          <w:cols w:num="2" w:space="720" w:equalWidth="0">
            <w:col w:w="4371" w:space="284"/>
            <w:col w:w="4371" w:space="0"/>
          </w:cols>
        </w:sectPr>
      </w:pPr>
    </w:p>
    <w:p w14:paraId="3F43CE73" w14:textId="66963D11" w:rsidR="00AB6FD2" w:rsidRDefault="00AB6FD2" w:rsidP="00AB6FD2">
      <w:pPr>
        <w:pStyle w:val="DaftarParagraf"/>
        <w:numPr>
          <w:ilvl w:val="0"/>
          <w:numId w:val="3"/>
        </w:numPr>
        <w:tabs>
          <w:tab w:val="left" w:pos="3165"/>
        </w:tabs>
        <w:spacing w:line="240" w:lineRule="auto"/>
        <w:ind w:left="284" w:hanging="284"/>
        <w:jc w:val="both"/>
        <w:rPr>
          <w:b/>
        </w:rPr>
      </w:pPr>
      <w:r>
        <w:rPr>
          <w:b/>
        </w:rPr>
        <w:t>INTRODUCTION</w:t>
      </w:r>
    </w:p>
    <w:p w14:paraId="049ABD3D" w14:textId="0138D5A6" w:rsidR="00AB6FD2" w:rsidRPr="00B7499B" w:rsidRDefault="00AB6FD2" w:rsidP="007A35CA">
      <w:pPr>
        <w:spacing w:line="240" w:lineRule="auto"/>
        <w:ind w:firstLine="284"/>
        <w:jc w:val="both"/>
        <w:rPr>
          <w:rFonts w:asciiTheme="minorHAnsi" w:hAnsiTheme="minorHAnsi" w:cstheme="minorHAnsi"/>
          <w:b/>
        </w:rPr>
      </w:pPr>
      <w:r w:rsidRPr="00AB6FD2">
        <w:rPr>
          <w:bCs/>
        </w:rPr>
        <w:t xml:space="preserve">Geopolitical tensions have again reached a breaking point after a series of events, from the conflict between Russia and Ukraine to the clash between Israel and Hamas. On February 28, 2022, President Vladimir Putin officially announced the implementation of military operations to invade Ukraine. The invasion was a significant escalation of Russia's act of annexation of Ukrainian territory triggered by Ukraine's desire to join NATO. Russia considers that the presence of NATO forces in Eastern Europe will hamper Russia's efforts to restore its former glory, advance itself, and protect its interests </w:t>
      </w:r>
      <w:r w:rsidR="00B7499B" w:rsidRPr="00B7499B">
        <w:rPr>
          <w:rFonts w:asciiTheme="minorHAnsi" w:hAnsiTheme="minorHAnsi" w:cstheme="minorHAnsi"/>
          <w:lang w:val="id-ID"/>
        </w:rPr>
        <w:fldChar w:fldCharType="begin" w:fldLock="1"/>
      </w:r>
      <w:r w:rsidR="00B7499B" w:rsidRPr="00B7499B">
        <w:rPr>
          <w:rFonts w:asciiTheme="minorHAnsi" w:hAnsiTheme="minorHAnsi" w:cstheme="minorHAnsi"/>
          <w:lang w:val="id-ID"/>
        </w:rPr>
        <w:instrText>ADDIN CSL_CITATION {"citationItems":[{"id":"ITEM-1","itemData":{"DOI":"10.3389/fhumd.2023.1189625","ISSN":"2673-2726","abstract":"When the Russian Federation invaded Ukraine on 24 February 2022, one of the most immediate and dramatic reactions of the European Union (EU) was to open a special protection scheme for Ukrainians and non-Ukrainians who were resident in the country on the date of the invasion to enter the EU and remain with extensive rights (All EU states are part of the scheme with the exception of Denmark which because of particularities in its constitutional position in the EU opened a parallel national scheme rather than join the EU scheme). The legal basis of the scheme is a directive adopted in 2001, on Temporary Protection which had been slated for repeal but which had not yet occurred at the date of the invasion and is now on hold. Since then, according to UNHCR, 8,046,560 Ukrainians (or persons who were resident in Ukraine at the relevant date) have been recorded across Europe. In this article we examine the status and rights of TP beneficiaries in the EU and the challenges ahead for them and the EU as the war continues.","author":[{"dropping-particle":"","family":"Guild","given":"Elspeth","non-dropping-particle":"","parse-names":false,"suffix":""},{"dropping-particle":"","family":"Groenendijk","given":"Kees","non-dropping-particle":"","parse-names":false,"suffix":""}],"container-title":"Frontiers in Human Dynamics","id":"ITEM-1","issue":"2","issued":{"date-parts":[["2023","6","2"]]},"page":"267-277","title":"The impact of war in Ukraine on EU migration","type":"article-journal","volume":"5"},"uris":["http://www.mendeley.com/documents/?uuid=711e9765-a1d6-477a-bf08-28b812c95ded"]}],"mendeley":{"formattedCitation":"(Guild &amp; Groenendijk, 2023)","plainTextFormattedCitation":"(Guild &amp; Groenendijk, 2023)","previouslyFormattedCitation":"(Guild &amp; Groenendijk, 2023)"},"properties":{"noteIndex":0},"schema":"https://github.com/citation-style-language/schema/raw/master/csl-citation.json"}</w:instrText>
      </w:r>
      <w:r w:rsidR="00B7499B" w:rsidRPr="00B7499B">
        <w:rPr>
          <w:rFonts w:asciiTheme="minorHAnsi" w:hAnsiTheme="minorHAnsi" w:cstheme="minorHAnsi"/>
          <w:lang w:val="id-ID"/>
        </w:rPr>
        <w:fldChar w:fldCharType="separate"/>
      </w:r>
      <w:r w:rsidR="00B7499B" w:rsidRPr="00B7499B">
        <w:rPr>
          <w:rFonts w:asciiTheme="minorHAnsi" w:hAnsiTheme="minorHAnsi" w:cstheme="minorHAnsi"/>
          <w:noProof/>
          <w:lang w:val="id-ID"/>
        </w:rPr>
        <w:t>(Guild &amp; Groenendijk, 2023)</w:t>
      </w:r>
      <w:r w:rsidR="00B7499B" w:rsidRPr="00B7499B">
        <w:rPr>
          <w:rFonts w:asciiTheme="minorHAnsi" w:hAnsiTheme="minorHAnsi" w:cstheme="minorHAnsi"/>
          <w:lang w:val="id-ID"/>
        </w:rPr>
        <w:fldChar w:fldCharType="end"/>
      </w:r>
      <w:r w:rsidR="00B7499B" w:rsidRPr="00B7499B">
        <w:rPr>
          <w:rFonts w:asciiTheme="minorHAnsi" w:hAnsiTheme="minorHAnsi" w:cstheme="minorHAnsi"/>
          <w:lang w:val="id-ID"/>
        </w:rPr>
        <w:t>.</w:t>
      </w:r>
      <w:r w:rsidRPr="00B7499B">
        <w:rPr>
          <w:rFonts w:asciiTheme="minorHAnsi" w:hAnsiTheme="minorHAnsi" w:cstheme="minorHAnsi"/>
          <w:bCs/>
        </w:rPr>
        <w:t xml:space="preserve"> </w:t>
      </w:r>
      <w:r w:rsidR="00B7499B" w:rsidRPr="00B7499B">
        <w:rPr>
          <w:rFonts w:asciiTheme="minorHAnsi" w:hAnsiTheme="minorHAnsi" w:cstheme="minorHAnsi"/>
          <w:lang w:val="id-ID"/>
        </w:rPr>
        <w:t>Turning from other geopolitical issues, in 2023 there was a significant change in the conflict between Israel and Palestine. The conflict began to heat up when Israel launched massive attacks aimed at civilians and military installations. From this attack, a group of Palestinian defense activists known as Hamas</w:t>
      </w:r>
      <w:r w:rsidR="00B7499B" w:rsidRPr="00B7499B">
        <w:rPr>
          <w:rFonts w:asciiTheme="minorHAnsi" w:hAnsiTheme="minorHAnsi" w:cstheme="minorHAnsi"/>
          <w:lang w:val="en-US"/>
        </w:rPr>
        <w:t xml:space="preserve"> </w:t>
      </w:r>
      <w:r w:rsidR="00B7499B" w:rsidRPr="00B7499B">
        <w:rPr>
          <w:rFonts w:asciiTheme="minorHAnsi" w:hAnsiTheme="minorHAnsi" w:cstheme="minorHAnsi"/>
          <w:lang w:val="id-ID"/>
        </w:rPr>
        <w:t xml:space="preserve">emerged, which seeks to destroy the Jewish nation and return the territory currently under Israeli sovereignty to Palestinian hands. </w:t>
      </w:r>
      <w:r w:rsidRPr="00B7499B">
        <w:rPr>
          <w:rFonts w:asciiTheme="minorHAnsi" w:hAnsiTheme="minorHAnsi" w:cstheme="minorHAnsi"/>
          <w:bCs/>
        </w:rPr>
        <w:t xml:space="preserve"> </w:t>
      </w:r>
    </w:p>
    <w:p w14:paraId="7B58E290" w14:textId="1330F9DD" w:rsidR="00AB6FD2" w:rsidRPr="007A35CA" w:rsidRDefault="00B7499B" w:rsidP="00B7499B">
      <w:pPr>
        <w:spacing w:line="240" w:lineRule="auto"/>
        <w:ind w:firstLine="284"/>
        <w:jc w:val="both"/>
        <w:rPr>
          <w:rFonts w:asciiTheme="minorHAnsi" w:hAnsiTheme="minorHAnsi" w:cstheme="minorHAnsi"/>
          <w:lang w:val="id-ID"/>
        </w:rPr>
      </w:pPr>
      <w:r w:rsidRPr="007A35CA">
        <w:rPr>
          <w:rFonts w:asciiTheme="minorHAnsi" w:hAnsiTheme="minorHAnsi" w:cstheme="minorHAnsi"/>
          <w:lang w:val="id-ID"/>
        </w:rPr>
        <w:t xml:space="preserve">The conflict continues to affect the global economy, causing losses in financial markets. As a result, investor sentiment in various countries has become volatile, and the volatility of financial asset prices has increased significantly </w:t>
      </w:r>
      <w:r w:rsidRPr="007A35CA">
        <w:rPr>
          <w:rFonts w:asciiTheme="minorHAnsi" w:hAnsiTheme="minorHAnsi" w:cstheme="minorHAnsi"/>
          <w:lang w:val="id-ID"/>
        </w:rPr>
        <w:fldChar w:fldCharType="begin" w:fldLock="1"/>
      </w:r>
      <w:r w:rsidRPr="007A35CA">
        <w:rPr>
          <w:rFonts w:asciiTheme="minorHAnsi" w:hAnsiTheme="minorHAnsi" w:cstheme="minorHAnsi"/>
          <w:lang w:val="id-ID"/>
        </w:rPr>
        <w:instrText>ADDIN CSL_CITATION {"citationItems":[{"id":"ITEM-1","itemData":{"DOI":"10.1155/2022/4948444","ISSN":"1607887X","abstract":"This paper analyzes the dynamic time-frequency volatility spillovers among the international stock markets during the Russian-Ukraine conflict. We use the VAR-based connectedness framework to calculate the volatility spillovers. Results show that (1) the trend of the total spillover is consistent with the time of the Russian-Ukraine conflict; (2) Russian stock market is the primary source and net exporter of risk; (3) the Russian government has effectively controlled the further spread of risk through policy adjustments; and (4) Russian stock market may generate long-run volatility spillovers among the international stock market. We add research related to the impact of the Russia-Ukraine conflict on international stock markets by analyzing the results of the volatility spillovers.","author":[{"dropping-particle":"","family":"Mu","given":"Sixu","non-dropping-particle":"","parse-names":false,"suffix":""},{"dropping-particle":"","family":"Huang","given":"Guangdong","non-dropping-particle":"","parse-names":false,"suffix":""},{"dropping-particle":"","family":"Li","given":"Ping","non-dropping-particle":"","parse-names":false,"suffix":""},{"dropping-particle":"","family":"Hou","given":"Yun","non-dropping-particle":"","parse-names":false,"suffix":""}],"container-title":"Discrete Dynamics in Nature and Society","id":"ITEM-1","issued":{"date-parts":[["2022"]]},"page":"1-8","title":"A Study on volatility spillovers among international stock markets during the Russia-Ukraine conflict","type":"article-journal","volume":"2022"},"uris":["http://www.mendeley.com/documents/?uuid=539c88df-8e4d-4819-a34c-3f5f967a56d8"]}],"mendeley":{"formattedCitation":"(Mu et al., 2022)","plainTextFormattedCitation":"(Mu et al., 2022)","previouslyFormattedCitation":"(Mu et al., 2022)"},"properties":{"noteIndex":0},"schema":"https://github.com/citation-style-language/schema/raw/master/csl-citation.json"}</w:instrText>
      </w:r>
      <w:r w:rsidRPr="007A35CA">
        <w:rPr>
          <w:rFonts w:asciiTheme="minorHAnsi" w:hAnsiTheme="minorHAnsi" w:cstheme="minorHAnsi"/>
          <w:lang w:val="id-ID"/>
        </w:rPr>
        <w:fldChar w:fldCharType="separate"/>
      </w:r>
      <w:r w:rsidRPr="007A35CA">
        <w:rPr>
          <w:rFonts w:asciiTheme="minorHAnsi" w:hAnsiTheme="minorHAnsi" w:cstheme="minorHAnsi"/>
          <w:noProof/>
          <w:lang w:val="id-ID"/>
        </w:rPr>
        <w:t>(Mu et al., 2022)</w:t>
      </w:r>
      <w:r w:rsidRPr="007A35CA">
        <w:rPr>
          <w:rFonts w:asciiTheme="minorHAnsi" w:hAnsiTheme="minorHAnsi" w:cstheme="minorHAnsi"/>
          <w:lang w:val="id-ID"/>
        </w:rPr>
        <w:fldChar w:fldCharType="end"/>
      </w:r>
      <w:r w:rsidRPr="007A35CA">
        <w:rPr>
          <w:rFonts w:asciiTheme="minorHAnsi" w:hAnsiTheme="minorHAnsi" w:cstheme="minorHAnsi"/>
          <w:lang w:val="id-ID"/>
        </w:rPr>
        <w:t xml:space="preserve">. Volatility measures the statistical spread of returns on a particular market or stock index that becomes risky when it increases. </w:t>
      </w:r>
      <w:r w:rsidR="00527B37">
        <w:rPr>
          <w:rFonts w:asciiTheme="minorHAnsi" w:hAnsiTheme="minorHAnsi" w:cstheme="minorHAnsi"/>
          <w:lang w:val="id-ID"/>
        </w:rPr>
        <w:t>M</w:t>
      </w:r>
      <w:r w:rsidRPr="007A35CA">
        <w:rPr>
          <w:rFonts w:asciiTheme="minorHAnsi" w:hAnsiTheme="minorHAnsi" w:cstheme="minorHAnsi"/>
          <w:lang w:val="id-ID"/>
        </w:rPr>
        <w:t>arket instability can affect the value of volatility. This instability will affect changes in gold prices and the US Dollar Index.</w:t>
      </w:r>
    </w:p>
    <w:p w14:paraId="658F9E10" w14:textId="49ED3CBF" w:rsidR="00B7499B" w:rsidRPr="007A35CA" w:rsidRDefault="00B7499B" w:rsidP="00B7499B">
      <w:pPr>
        <w:spacing w:line="240" w:lineRule="auto"/>
        <w:ind w:firstLine="284"/>
        <w:jc w:val="both"/>
        <w:rPr>
          <w:rFonts w:asciiTheme="minorHAnsi" w:hAnsiTheme="minorHAnsi" w:cstheme="minorHAnsi"/>
          <w:lang w:val="id-ID"/>
        </w:rPr>
      </w:pPr>
      <w:r w:rsidRPr="007A35CA">
        <w:rPr>
          <w:rFonts w:asciiTheme="minorHAnsi" w:hAnsiTheme="minorHAnsi" w:cstheme="minorHAnsi"/>
          <w:lang w:val="id-ID"/>
        </w:rPr>
        <w:t xml:space="preserve">Gold is a valuable commodity and has a high economic value. Gold is considered a global currency because it has an intrinsic value that is fixed and standardized and can be traded in various places. In addition, gold can be used as a hedging tool and an alternative investment when the stock market is experiencing instability </w:t>
      </w:r>
      <w:r w:rsidRPr="007A35CA">
        <w:rPr>
          <w:rFonts w:asciiTheme="minorHAnsi" w:hAnsiTheme="minorHAnsi" w:cstheme="minorHAnsi"/>
          <w:lang w:val="id-ID"/>
        </w:rPr>
        <w:fldChar w:fldCharType="begin" w:fldLock="1"/>
      </w:r>
      <w:r w:rsidRPr="007A35CA">
        <w:rPr>
          <w:rFonts w:asciiTheme="minorHAnsi" w:hAnsiTheme="minorHAnsi" w:cstheme="minorHAnsi"/>
          <w:lang w:val="id-ID"/>
        </w:rPr>
        <w:instrText>ADDIN CSL_CITATION {"citationItems":[{"id":"ITEM-1","itemData":{"DOI":"10.1080/23322039.2022.2127483","ISSN":"23322039","abstract":"Using the panel data vector autoregression (PVAR) model, this study examines the correlation between the stock market, gold price and USD exchange rate in the context of the COVID-19 pandemic in 55 Asian and 32 European countries from 11 March 2021 to 29 October 2021. The results of Granger causality test show that in Asian countries, there is a bidirectional causality between stock market and gold price. In addition, there is a unidirectional relationship between the stock market and the USD exchange rate, while the gold price and the USD exchange rate are completely independent of each other. Meanwhile, in European countries, stock market, gold price and USD exchange rate have a causal relationship at 1% significant level. The results of the impulse-response function analysis show that, in Asia, the stock market has a negative impact on the gold price and a positive effect on the USD exchange rate. In Europe, the stock market has a negative impact on the other two markets in the short term. The variance decomposition results suggest that, in Europe, the stock market return explains 2.5% for the gold price shock and 6.2% for the USD exchange rate shock from the tenth period. Meanwhile, these figures in the Asian countries are 1.6% and 3.2%, respectively.","author":[{"dropping-particle":"","family":"Tran","given":"Oanh","non-dropping-particle":"","parse-names":false,"suffix":""},{"dropping-particle":"","family":"Nguyen","given":"Ha","non-dropping-particle":"","parse-names":false,"suffix":""}],"container-title":"Cogent Economics and Finance","id":"ITEM-1","issue":"1","issued":{"date-parts":[["2022"]]},"page":"1-18","publisher":"Cogent","title":"The Interdependence of gold, US Dollar and stock market in the context of COVID-19 pandemic: an insight into analysis in Asia and Europe","type":"article-journal","volume":"10"},"uris":["http://www.mendeley.com/documents/?uuid=84c40ddf-405f-495f-ace1-0e0eb2defcbd"]}],"mendeley":{"formattedCitation":"(Tran &amp; Nguyen, 2022)","plainTextFormattedCitation":"(Tran &amp; Nguyen, 2022)","previouslyFormattedCitation":"(Tran &amp; Nguyen, 2022)"},"properties":{"noteIndex":0},"schema":"https://github.com/citation-style-language/schema/raw/master/csl-citation.json"}</w:instrText>
      </w:r>
      <w:r w:rsidRPr="007A35CA">
        <w:rPr>
          <w:rFonts w:asciiTheme="minorHAnsi" w:hAnsiTheme="minorHAnsi" w:cstheme="minorHAnsi"/>
          <w:lang w:val="id-ID"/>
        </w:rPr>
        <w:fldChar w:fldCharType="separate"/>
      </w:r>
      <w:r w:rsidRPr="007A35CA">
        <w:rPr>
          <w:rFonts w:asciiTheme="minorHAnsi" w:hAnsiTheme="minorHAnsi" w:cstheme="minorHAnsi"/>
          <w:noProof/>
          <w:lang w:val="id-ID"/>
        </w:rPr>
        <w:t>(Tran &amp; Nguyen, 2022)</w:t>
      </w:r>
      <w:r w:rsidRPr="007A35CA">
        <w:rPr>
          <w:rFonts w:asciiTheme="minorHAnsi" w:hAnsiTheme="minorHAnsi" w:cstheme="minorHAnsi"/>
          <w:lang w:val="id-ID"/>
        </w:rPr>
        <w:fldChar w:fldCharType="end"/>
      </w:r>
      <w:r w:rsidRPr="007A35CA">
        <w:rPr>
          <w:rFonts w:asciiTheme="minorHAnsi" w:hAnsiTheme="minorHAnsi" w:cstheme="minorHAnsi"/>
          <w:lang w:val="id-ID"/>
        </w:rPr>
        <w:t xml:space="preserve">. Nonetheless, changes in the value of gold can hurt financial markets. This is due to the increase in gold price fluctuations associated with risky investment situations, while the decrease is associated with safer investment situations </w:t>
      </w:r>
      <w:r w:rsidRPr="007A35CA">
        <w:rPr>
          <w:rFonts w:asciiTheme="minorHAnsi" w:hAnsiTheme="minorHAnsi" w:cstheme="minorHAnsi"/>
          <w:lang w:val="id-ID"/>
        </w:rPr>
        <w:fldChar w:fldCharType="begin" w:fldLock="1"/>
      </w:r>
      <w:r w:rsidRPr="007A35CA">
        <w:rPr>
          <w:rFonts w:asciiTheme="minorHAnsi" w:hAnsiTheme="minorHAnsi" w:cstheme="minorHAnsi"/>
          <w:lang w:val="id-ID"/>
        </w:rPr>
        <w:instrText>ADDIN CSL_CITATION {"citationItems":[{"id":"ITEM-1","itemData":{"DOI":"10.1016/j.resourpol.2022.103024","ISSN":"03014207","abstract":"Gold and crude oil are the influential commodities of the stock markets and real economy of the world in financial crises as well as in COVID-19 periods. However literature mainly focused on the effects of these commodities' prices only, and the volatilities in the prices of these commodities altogether with the prices got little attention. To fill in a major research gap, our study intends to estimate the dynamic relationship between oil prices, gold prices, oil prices volatilities and gold prices volatilities on the stock market of China. Using daily data over the period from 2009 to 2021, the study applied Autoregressive Distributed Lag (ARDL) bound test approach for the purpose of empirical estimation. Moreover, Non linear ARDL and asymmetric Causality analysis has also been applied for more comprehensive asymmetric estimation. The findings of our study indicated that gold prices and oil prices negatively affect stock market of China in the long run. In terms of implied volatility index of these commodities, study finds negative impact of price volatility of oil but positive impact of the price volatility of gold on the country's stock market in the long run. However, in the short run, only oil price and gold prices have significant effect on the China's stock market. On the basis of our findings, we recommend the investors to make rational decisions in response to the uncertainties in these markets and should consider gold as a safe haven to hedge themselves in times of uncertainty. Policymakers should take appropriate actions and adopt proper mechanisms for dealing with the quick uncertainty flow of information from the oil to the stock market.","author":[{"dropping-particle":"","family":"Xiaozhong","given":"Cui","non-dropping-particle":"","parse-names":false,"suffix":""},{"dropping-particle":"","family":"Yen-Ku","given":"Kuo","non-dropping-particle":"","parse-names":false,"suffix":""},{"dropping-particle":"","family":"Maneengam","given":"Apichit","non-dropping-particle":"","parse-names":false,"suffix":""},{"dropping-particle":"","family":"Cong","given":"Phan The","non-dropping-particle":"","parse-names":false,"suffix":""},{"dropping-particle":"","family":"Quynh","given":"Nguyen Ngoc","non-dropping-particle":"","parse-names":false,"suffix":""},{"dropping-particle":"","family":"Ageli","given":"Mohammed Moosa","non-dropping-particle":"","parse-names":false,"suffix":""},{"dropping-particle":"","family":"Wisetsri","given":"Worakamol","non-dropping-particle":"","parse-names":false,"suffix":""}],"container-title":"Resources Policy","id":"ITEM-1","issue":"December 2021","issued":{"date-parts":[["2022"]]},"page":"103024-103033","publisher":"Elsevier Ltd","title":"Covid-19 and oil and gold price volatilities: evidence from China market","type":"article-journal","volume":"79"},"uris":["http://www.mendeley.com/documents/?uuid=c1df2b61-c50e-4b78-a047-620efcdb1a41"]}],"mendeley":{"formattedCitation":"(Xiaozhong et al., 2022)","plainTextFormattedCitation":"(Xiaozhong et al., 2022)","previouslyFormattedCitation":"(Xiaozhong et al., 2022)"},"properties":{"noteIndex":0},"schema":"https://github.com/citation-style-language/schema/raw/master/csl-citation.json"}</w:instrText>
      </w:r>
      <w:r w:rsidRPr="007A35CA">
        <w:rPr>
          <w:rFonts w:asciiTheme="minorHAnsi" w:hAnsiTheme="minorHAnsi" w:cstheme="minorHAnsi"/>
          <w:lang w:val="id-ID"/>
        </w:rPr>
        <w:fldChar w:fldCharType="separate"/>
      </w:r>
      <w:r w:rsidRPr="007A35CA">
        <w:rPr>
          <w:rFonts w:asciiTheme="minorHAnsi" w:hAnsiTheme="minorHAnsi" w:cstheme="minorHAnsi"/>
          <w:noProof/>
          <w:lang w:val="id-ID"/>
        </w:rPr>
        <w:t>(Xiaozhong et al., 2022)</w:t>
      </w:r>
      <w:r w:rsidRPr="007A35CA">
        <w:rPr>
          <w:rFonts w:asciiTheme="minorHAnsi" w:hAnsiTheme="minorHAnsi" w:cstheme="minorHAnsi"/>
          <w:lang w:val="id-ID"/>
        </w:rPr>
        <w:fldChar w:fldCharType="end"/>
      </w:r>
      <w:r w:rsidRPr="007A35CA">
        <w:rPr>
          <w:rFonts w:asciiTheme="minorHAnsi" w:hAnsiTheme="minorHAnsi" w:cstheme="minorHAnsi"/>
          <w:lang w:val="id-ID"/>
        </w:rPr>
        <w:t xml:space="preserve">. </w:t>
      </w:r>
    </w:p>
    <w:p w14:paraId="3B26FF32" w14:textId="77777777" w:rsidR="00B7499B" w:rsidRPr="007A35CA" w:rsidRDefault="00B7499B" w:rsidP="00B7499B">
      <w:pPr>
        <w:spacing w:line="240" w:lineRule="auto"/>
        <w:ind w:firstLine="284"/>
        <w:jc w:val="both"/>
        <w:rPr>
          <w:rFonts w:asciiTheme="minorHAnsi" w:hAnsiTheme="minorHAnsi" w:cstheme="minorHAnsi"/>
          <w:lang w:val="id-ID"/>
        </w:rPr>
      </w:pPr>
      <w:r w:rsidRPr="007A35CA">
        <w:rPr>
          <w:rFonts w:asciiTheme="minorHAnsi" w:hAnsiTheme="minorHAnsi" w:cstheme="minorHAnsi"/>
          <w:lang w:val="id-ID"/>
        </w:rPr>
        <w:t xml:space="preserve">The US dollar is the currency that is the main component of the United States financial markets and plays a dominant role globally. </w:t>
      </w:r>
      <w:r w:rsidRPr="007A35CA">
        <w:rPr>
          <w:rFonts w:asciiTheme="minorHAnsi" w:hAnsiTheme="minorHAnsi" w:cstheme="minorHAnsi"/>
        </w:rPr>
        <w:t>I</w:t>
      </w:r>
      <w:r w:rsidRPr="007A35CA">
        <w:rPr>
          <w:rFonts w:asciiTheme="minorHAnsi" w:hAnsiTheme="minorHAnsi" w:cstheme="minorHAnsi"/>
          <w:lang w:val="id-ID"/>
        </w:rPr>
        <w:t xml:space="preserve">ts significant influence can be seen in its movements in the foreign exchange market </w:t>
      </w:r>
      <w:r w:rsidRPr="007A35CA">
        <w:rPr>
          <w:rFonts w:asciiTheme="minorHAnsi" w:hAnsiTheme="minorHAnsi" w:cstheme="minorHAnsi"/>
          <w:lang w:val="id-ID"/>
        </w:rPr>
        <w:fldChar w:fldCharType="begin" w:fldLock="1"/>
      </w:r>
      <w:r w:rsidRPr="007A35CA">
        <w:rPr>
          <w:rFonts w:asciiTheme="minorHAnsi" w:hAnsiTheme="minorHAnsi" w:cstheme="minorHAnsi"/>
          <w:lang w:val="id-ID"/>
        </w:rPr>
        <w:instrText>ADDIN CSL_CITATION {"citationItems":[{"id":"ITEM-1","itemData":{"DOI":"10.3390/axioms12010014","ISSN":"20751680","abstract":"As China’s economy and the U.S. economy have shown a definite interaction, there is considerable interest in studying the correlation between the Chinese stock market and the US financial markets. This paper uses an Asymmetric Dynamic Conditional Correlation (ADCC)-GARCH to investigate the correlation between the Shanghai Composite Index (SHCI) and the U.S. financial markets, including SP500, NASDAQ, and US dollar indexes. The empirical results show that the time-varying daily and the lag-one correlation between China and the US stock markets have different performances during global events and national events. Compared with the complicated effect of negative events on the correlation of the stock market, SHCI and USD are negatively correlated with higher negative correlation during the global negative events. In addition, we found Chinese investors are more contagious to the news than American investors, indicating that the Chinese government’s policy are more indicated to Chinese investors. Finally, some policy suggestions are provided, and are beneficial to risk prevention and control, and investment.","author":[{"dropping-particle":"","family":"Liu","given":"Jianxu","non-dropping-particle":"","parse-names":false,"suffix":""},{"dropping-particle":"","family":"Wan","given":"Yang","non-dropping-particle":"","parse-names":false,"suffix":""},{"dropping-particle":"","family":"Qu","given":"Songze","non-dropping-particle":"","parse-names":false,"suffix":""},{"dropping-particle":"","family":"Qing","given":"Ruihan","non-dropping-particle":"","parse-names":false,"suffix":""},{"dropping-particle":"","family":"Sriboonchitta","given":"Songsak","non-dropping-particle":"","parse-names":false,"suffix":""}],"container-title":"Axioms","id":"ITEM-1","issue":"1","issued":{"date-parts":[["2023"]]},"page":"1-19","title":"Dynamic correlation between the Chinese and the US financial markets: from global financial crisis to COVID-19 pandemic","type":"article-journal","volume":"12"},"uris":["http://www.mendeley.com/documents/?uuid=57066be9-a05e-422e-9a51-0c1a99a45d95"]}],"mendeley":{"formattedCitation":"(Liu et al., 2023)","plainTextFormattedCitation":"(Liu et al., 2023)","previouslyFormattedCitation":"(Liu et al., 2023)"},"properties":{"noteIndex":0},"schema":"https://github.com/citation-style-language/schema/raw/master/csl-citation.json"}</w:instrText>
      </w:r>
      <w:r w:rsidRPr="007A35CA">
        <w:rPr>
          <w:rFonts w:asciiTheme="minorHAnsi" w:hAnsiTheme="minorHAnsi" w:cstheme="minorHAnsi"/>
          <w:lang w:val="id-ID"/>
        </w:rPr>
        <w:fldChar w:fldCharType="separate"/>
      </w:r>
      <w:r w:rsidRPr="007A35CA">
        <w:rPr>
          <w:rFonts w:asciiTheme="minorHAnsi" w:hAnsiTheme="minorHAnsi" w:cstheme="minorHAnsi"/>
          <w:noProof/>
          <w:lang w:val="id-ID"/>
        </w:rPr>
        <w:t>(Liu et al., 2023)</w:t>
      </w:r>
      <w:r w:rsidRPr="007A35CA">
        <w:rPr>
          <w:rFonts w:asciiTheme="minorHAnsi" w:hAnsiTheme="minorHAnsi" w:cstheme="minorHAnsi"/>
          <w:lang w:val="id-ID"/>
        </w:rPr>
        <w:fldChar w:fldCharType="end"/>
      </w:r>
      <w:r w:rsidRPr="007A35CA">
        <w:rPr>
          <w:rFonts w:asciiTheme="minorHAnsi" w:hAnsiTheme="minorHAnsi" w:cstheme="minorHAnsi"/>
          <w:lang w:val="id-ID"/>
        </w:rPr>
        <w:t xml:space="preserve">. The US dollar is one of the reserve currency options used by more than 60% of central banks, and many commodity sectors have used it as a reference in setting prices. Thus, fluctuations in the dollar index have a significant impact on the global economy, especially in the stock market.  </w:t>
      </w:r>
    </w:p>
    <w:p w14:paraId="50F75C8B" w14:textId="77777777" w:rsidR="00B7499B" w:rsidRPr="007A35CA" w:rsidRDefault="00B7499B" w:rsidP="00B7499B">
      <w:pPr>
        <w:spacing w:line="240" w:lineRule="auto"/>
        <w:ind w:firstLine="284"/>
        <w:jc w:val="both"/>
        <w:rPr>
          <w:rFonts w:asciiTheme="minorHAnsi" w:hAnsiTheme="minorHAnsi" w:cstheme="minorHAnsi"/>
          <w:lang w:val="id-ID"/>
        </w:rPr>
      </w:pPr>
      <w:r w:rsidRPr="007A35CA">
        <w:rPr>
          <w:rFonts w:asciiTheme="minorHAnsi" w:hAnsiTheme="minorHAnsi" w:cstheme="minorHAnsi"/>
          <w:lang w:val="id-ID"/>
        </w:rPr>
        <w:t xml:space="preserve">Tensions between Russia and Ukraine have impacted several regions of the world, including countries in the ASEAN region and beyond. </w:t>
      </w:r>
      <w:r w:rsidRPr="007A35CA">
        <w:rPr>
          <w:rFonts w:asciiTheme="minorHAnsi" w:hAnsiTheme="minorHAnsi" w:cstheme="minorHAnsi"/>
        </w:rPr>
        <w:t xml:space="preserve">The Russia-Ukraine conflict impacted global financial markets, causing financial asset price volatility to increase significantly </w:t>
      </w:r>
      <w:r w:rsidRPr="007A35CA">
        <w:rPr>
          <w:rFonts w:asciiTheme="minorHAnsi" w:hAnsiTheme="minorHAnsi" w:cstheme="minorHAnsi"/>
          <w:color w:val="000000"/>
          <w:shd w:val="clear" w:color="auto" w:fill="FFFFFF"/>
        </w:rPr>
        <w:fldChar w:fldCharType="begin" w:fldLock="1"/>
      </w:r>
      <w:r w:rsidRPr="007A35CA">
        <w:rPr>
          <w:rFonts w:asciiTheme="minorHAnsi" w:hAnsiTheme="minorHAnsi" w:cstheme="minorHAnsi"/>
          <w:color w:val="000000"/>
          <w:shd w:val="clear" w:color="auto" w:fill="FFFFFF"/>
        </w:rPr>
        <w:instrText>ADDIN CSL_CITATION {"citationItems":[{"id":"ITEM-1","itemData":{"DOI":"10.1155/2022/4948444","ISSN":"1607887X","abstract":"This paper analyzes the dynamic time-frequency volatility spillovers among the international stock markets during the Russian-Ukraine conflict. We use the VAR-based connectedness framework to calculate the volatility spillovers. Results show that (1) the trend of the total spillover is consistent with the time of the Russian-Ukraine conflict; (2) Russian stock market is the primary source and net exporter of risk; (3) the Russian government has effectively controlled the further spread of risk through policy adjustments; and (4) Russian stock market may generate long-run volatility spillovers among the international stock market. We add research related to the impact of the Russia-Ukraine conflict on international stock markets by analyzing the results of the volatility spillovers.","author":[{"dropping-particle":"","family":"Mu","given":"Sixu","non-dropping-particle":"","parse-names":false,"suffix":""},{"dropping-particle":"","family":"Huang","given":"Guangdong","non-dropping-particle":"","parse-names":false,"suffix":""},{"dropping-particle":"","family":"Li","given":"Ping","non-dropping-particle":"","parse-names":false,"suffix":""},{"dropping-particle":"","family":"Hou","given":"Yun","non-dropping-particle":"","parse-names":false,"suffix":""}],"container-title":"Discrete Dynamics in Nature and Society","id":"ITEM-1","issued":{"date-parts":[["2022"]]},"page":"1-8","title":"A Study on volatility spillovers among international stock markets during the Russia-Ukraine conflict","type":"article-journal","volume":"2022"},"uris":["http://www.mendeley.com/documents/?uuid=539c88df-8e4d-4819-a34c-3f5f967a56d8"]}],"mendeley":{"formattedCitation":"(Mu et al., 2022)","plainTextFormattedCitation":"(Mu et al., 2022)","previouslyFormattedCitation":"(Mu et al., 2022)"},"properties":{"noteIndex":0},"schema":"https://github.com/citation-style-language/schema/raw/master/csl-citation.json"}</w:instrText>
      </w:r>
      <w:r w:rsidRPr="007A35CA">
        <w:rPr>
          <w:rFonts w:asciiTheme="minorHAnsi" w:hAnsiTheme="minorHAnsi" w:cstheme="minorHAnsi"/>
          <w:color w:val="000000"/>
          <w:shd w:val="clear" w:color="auto" w:fill="FFFFFF"/>
        </w:rPr>
        <w:fldChar w:fldCharType="separate"/>
      </w:r>
      <w:r w:rsidRPr="007A35CA">
        <w:rPr>
          <w:rFonts w:asciiTheme="minorHAnsi" w:hAnsiTheme="minorHAnsi" w:cstheme="minorHAnsi"/>
          <w:noProof/>
          <w:color w:val="000000"/>
          <w:shd w:val="clear" w:color="auto" w:fill="FFFFFF"/>
        </w:rPr>
        <w:t>(Mu et al., 2022)</w:t>
      </w:r>
      <w:r w:rsidRPr="007A35CA">
        <w:rPr>
          <w:rFonts w:asciiTheme="minorHAnsi" w:hAnsiTheme="minorHAnsi" w:cstheme="minorHAnsi"/>
          <w:color w:val="000000"/>
          <w:shd w:val="clear" w:color="auto" w:fill="FFFFFF"/>
        </w:rPr>
        <w:fldChar w:fldCharType="end"/>
      </w:r>
      <w:r w:rsidRPr="007A35CA">
        <w:rPr>
          <w:rFonts w:asciiTheme="minorHAnsi" w:hAnsiTheme="minorHAnsi" w:cstheme="minorHAnsi"/>
          <w:color w:val="000000"/>
          <w:shd w:val="clear" w:color="auto" w:fill="FFFFFF"/>
        </w:rPr>
        <w:t xml:space="preserve">. </w:t>
      </w:r>
      <w:r w:rsidRPr="007A35CA">
        <w:rPr>
          <w:rFonts w:asciiTheme="minorHAnsi" w:hAnsiTheme="minorHAnsi" w:cstheme="minorHAnsi"/>
          <w:color w:val="222222"/>
          <w:shd w:val="clear" w:color="auto" w:fill="FFFFFF"/>
        </w:rPr>
        <w:fldChar w:fldCharType="begin" w:fldLock="1"/>
      </w:r>
      <w:r w:rsidRPr="007A35CA">
        <w:rPr>
          <w:rFonts w:asciiTheme="minorHAnsi" w:hAnsiTheme="minorHAnsi" w:cstheme="minorHAnsi"/>
          <w:color w:val="222222"/>
          <w:shd w:val="clear" w:color="auto" w:fill="FFFFFF"/>
        </w:rPr>
        <w:instrText>ADDIN CSL_CITATION {"citationItems":[{"id":"ITEM-1","itemData":{"DOI":"10.3390/ijfs10040095","ISSN":"22277072","abstract":"The present study aims to investigate the volatility spillover effects in the international financial markets before and during the Russia–Ukraine conflict. The subject of this paper is the study of the influence of the recent war between Russia and Ukraine on the transmission of volatility between the American, European and Chinese stock markets using the DY methodology. The sample period for daily data is from 1 June 2019 to 1 June 2022, excluding holidays. The volatility spillover index increased during the war period, but this increase remains insignificant compared to that recorded during the COVID-19 pandemic crisis. According to the empirical results, we also found varying levels of dependence and spillover effects between the European, American and Chinese stock indices before and during the Russia–Ukraine conflict.","author":[{"dropping-particle":"","family":"Beraich","given":"Mohamed","non-dropping-particle":"","parse-names":false,"suffix":""},{"dropping-particle":"","family":"Amzile","given":"Karim","non-dropping-particle":"","parse-names":false,"suffix":""},{"dropping-particle":"","family":"Laamire","given":"Jaouad","non-dropping-particle":"","parse-names":false,"suffix":""},{"dropping-particle":"","family":"Zirari","given":"Omar","non-dropping-particle":"","parse-names":false,"suffix":""},{"dropping-particle":"","family":"Fadali","given":"Mohamed Amine","non-dropping-particle":"","parse-names":false,"suffix":""}],"container-title":"International Journal of Financial Studies","id":"ITEM-1","issue":"4","issued":{"date-parts":[["2022"]]},"page":"1-18","title":"Volatility spillover effects of the US, European and Chinese financial markets in the context of the Russia–Ukraine conflict","type":"article-journal","volume":"10"},"uris":["http://www.mendeley.com/documents/?uuid=0821a11a-8aab-4d50-a057-0bcea2bcf32e"]}],"mendeley":{"formattedCitation":"(Beraich et al., 2022)","manualFormatting":"Beraich et al., (2022)","plainTextFormattedCitation":"(Beraich et al., 2022)","previouslyFormattedCitation":"(Beraich et al., 2022)"},"properties":{"noteIndex":0},"schema":"https://github.com/citation-style-language/schema/raw/master/csl-citation.json"}</w:instrText>
      </w:r>
      <w:r w:rsidRPr="007A35CA">
        <w:rPr>
          <w:rFonts w:asciiTheme="minorHAnsi" w:hAnsiTheme="minorHAnsi" w:cstheme="minorHAnsi"/>
          <w:color w:val="222222"/>
          <w:shd w:val="clear" w:color="auto" w:fill="FFFFFF"/>
        </w:rPr>
        <w:fldChar w:fldCharType="separate"/>
      </w:r>
      <w:r w:rsidRPr="007A35CA">
        <w:rPr>
          <w:rFonts w:asciiTheme="minorHAnsi" w:hAnsiTheme="minorHAnsi" w:cstheme="minorHAnsi"/>
          <w:noProof/>
          <w:color w:val="222222"/>
          <w:shd w:val="clear" w:color="auto" w:fill="FFFFFF"/>
        </w:rPr>
        <w:t>Beraich et al., (2022)</w:t>
      </w:r>
      <w:r w:rsidRPr="007A35CA">
        <w:rPr>
          <w:rFonts w:asciiTheme="minorHAnsi" w:hAnsiTheme="minorHAnsi" w:cstheme="minorHAnsi"/>
          <w:color w:val="222222"/>
          <w:shd w:val="clear" w:color="auto" w:fill="FFFFFF"/>
        </w:rPr>
        <w:fldChar w:fldCharType="end"/>
      </w:r>
      <w:r w:rsidRPr="007A35CA">
        <w:rPr>
          <w:rFonts w:asciiTheme="minorHAnsi" w:hAnsiTheme="minorHAnsi" w:cstheme="minorHAnsi"/>
          <w:color w:val="222222"/>
          <w:shd w:val="clear" w:color="auto" w:fill="FFFFFF"/>
        </w:rPr>
        <w:t xml:space="preserve"> said that the conflict between Russia and Ukraine is affecting financial market volatility. </w:t>
      </w:r>
      <w:r w:rsidRPr="007A35CA">
        <w:rPr>
          <w:rFonts w:asciiTheme="minorHAnsi" w:hAnsiTheme="minorHAnsi" w:cstheme="minorHAnsi"/>
          <w:lang w:val="id-ID"/>
        </w:rPr>
        <w:fldChar w:fldCharType="begin" w:fldLock="1"/>
      </w:r>
      <w:r w:rsidRPr="007A35CA">
        <w:rPr>
          <w:rFonts w:asciiTheme="minorHAnsi" w:hAnsiTheme="minorHAnsi" w:cstheme="minorHAnsi"/>
          <w:lang w:val="id-ID"/>
        </w:rPr>
        <w:instrText>ADDIN CSL_CITATION {"citationItems":[{"id":"ITEM-1","itemData":{"DOI":"10.1155/2021/1159358","ISSN":"1607887X","abstract":"Previous studies have found that geopolitical risk (GPR) caused by geopolitical events such as terrorist attacks can affect the movements of asset prices. However, the studies on whether and how these influences can explain and predict the volatility of stock returns in emerging markets are scant and emerging. By using the data from China's CSI 300 index, we provide some evidence on whether and how the GPR factors can explain and forecast the volatility of stock returns in emerging economies. We employed the GARCH-MIDAS model and the model confidence set (MCS) to investigate the mechanism of GPR's impact on the China stock market, and we considered the GPR index, geopolitical action index, geopolitical threat index, and different country-specific GPR indices. The empirical results suggest that except for a few emerging economies such as Mexico, Argentina, Russia, India, South Africa, Thailand, Israel, and Ukraine, the global and most of the regional GPR have a significant impact on China's stock market. This paper provides some evidence for the different effects of GPR from different countries on China's stock market volatility. As for predictive potential, GPRAct (geopolitical action index) has the best predictive power among all six types of GPR indices. Considering that GPR is usually unanticipated, these findings shed light on the role of the GPR factors in explaining and forecasting the volatility of China's market returns.","author":[{"dropping-particle":"","family":"Yang","given":"Menglong","non-dropping-particle":"","parse-names":false,"suffix":""},{"dropping-particle":"","family":"Zhang","given":"Qiang","non-dropping-particle":"","parse-names":false,"suffix":""},{"dropping-particle":"","family":"Yi","given":"Adan","non-dropping-particle":"","parse-names":false,"suffix":""},{"dropping-particle":"","family":"Peng","given":"Peng","non-dropping-particle":"","parse-names":false,"suffix":""}],"container-title":"Discrete Dynamics in Nature and Society","id":"ITEM-1","issued":{"date-parts":[["2021"]]},"title":"Geopolitical risk and stock market volatility in emerging economies: evidence from GARCH-MIDAS model","type":"article-journal","volume":"2021"},"uris":["http://www.mendeley.com/documents/?uuid=12028346-5e4e-44bc-a71d-51cf38044dbb"]}],"mendeley":{"formattedCitation":"(Yang et al., 2021)","manualFormatting":"Yang et al., (2021)","plainTextFormattedCitation":"(Yang et al., 2021)","previouslyFormattedCitation":"(Yang et al., 2021)"},"properties":{"noteIndex":0},"schema":"https://github.com/citation-style-language/schema/raw/master/csl-citation.json"}</w:instrText>
      </w:r>
      <w:r w:rsidRPr="007A35CA">
        <w:rPr>
          <w:rFonts w:asciiTheme="minorHAnsi" w:hAnsiTheme="minorHAnsi" w:cstheme="minorHAnsi"/>
          <w:lang w:val="id-ID"/>
        </w:rPr>
        <w:fldChar w:fldCharType="separate"/>
      </w:r>
      <w:r w:rsidRPr="007A35CA">
        <w:rPr>
          <w:rFonts w:asciiTheme="minorHAnsi" w:hAnsiTheme="minorHAnsi" w:cstheme="minorHAnsi"/>
          <w:noProof/>
          <w:lang w:val="id-ID"/>
        </w:rPr>
        <w:t>Yang et al., (2021)</w:t>
      </w:r>
      <w:r w:rsidRPr="007A35CA">
        <w:rPr>
          <w:rFonts w:asciiTheme="minorHAnsi" w:hAnsiTheme="minorHAnsi" w:cstheme="minorHAnsi"/>
          <w:lang w:val="id-ID"/>
        </w:rPr>
        <w:fldChar w:fldCharType="end"/>
      </w:r>
      <w:r w:rsidRPr="007A35CA">
        <w:rPr>
          <w:rFonts w:asciiTheme="minorHAnsi" w:hAnsiTheme="minorHAnsi" w:cstheme="minorHAnsi"/>
          <w:lang w:val="id-ID"/>
        </w:rPr>
        <w:t xml:space="preserve"> suggests that geopolitical tensions are affecting China's stock market volatility. </w:t>
      </w:r>
      <w:r w:rsidRPr="007A35CA">
        <w:rPr>
          <w:rFonts w:asciiTheme="minorHAnsi" w:hAnsiTheme="minorHAnsi" w:cstheme="minorHAnsi"/>
          <w:lang w:val="id-ID"/>
        </w:rPr>
        <w:fldChar w:fldCharType="begin" w:fldLock="1"/>
      </w:r>
      <w:r w:rsidRPr="007A35CA">
        <w:rPr>
          <w:rFonts w:asciiTheme="minorHAnsi" w:hAnsiTheme="minorHAnsi" w:cstheme="minorHAnsi"/>
          <w:lang w:val="id-ID"/>
        </w:rPr>
        <w:instrText>ADDIN CSL_CITATION {"citationItems":[{"id":"ITEM-1","itemData":{"DOI":"10.3390/jrfm15080352","ISSN":"19118074","abstract":"The conflict between Russia and Ukraine has been causing knock-on effects worldwide. The supply and price of major commodity markets (oil, gas, platinum, gold, and silver) have been greatly impacted. Due to the ongoing conflict, financial markets across the world have experienced a strong dynamic regarding commodities prices. This effect can be considered the biggest change since the occurrence of the financial crisis in the year 2008, which explicitly influenced the oil and gold markets. This study attempts to investigate the impacts of the Russian invasion crisis on the dynamic connectedness among five commodities and the G7 and BRIC (leading stock) markets. We have applied the time-varying parameter vector autoregressive (TVP-VAR) method, which reflects the way spillovers are shaped by various crises periods, and we found extreme connectedness among all commodities and markets (G7 and BRIC). The findings show that gold and silver (commodities) and the United States, Canada, China, and Brazil (stock markets) are the receivers from the rest of the commodities/market’s transmitters of shocks during this invasion crisis. This research has policy implications that could be beneficial to commodity and stock investors, and these implications could guide them to make many decisions about investment in such tumultuous situations. Policymakers, institutional investors, bankers, and international organizations are the possible beneficiaries of these policy decisions.","author":[{"dropping-particle":"","family":"Alam","given":"Md Kausar","non-dropping-particle":"","parse-names":false,"suffix":""},{"dropping-particle":"","family":"Tabash","given":"Mosab I.","non-dropping-particle":"","parse-names":false,"suffix":""},{"dropping-particle":"","family":"Billah","given":"Mabruk","non-dropping-particle":"","parse-names":false,"suffix":""},{"dropping-particle":"","family":"Kumar","given":"Sanjeev","non-dropping-particle":"","parse-names":false,"suffix":""},{"dropping-particle":"","family":"Anagreh","given":"Suhaib","non-dropping-particle":"","parse-names":false,"suffix":""}],"container-title":"Journal of Risk and Financial Management","id":"ITEM-1","issue":"8","issued":{"date-parts":[["2022"]]},"page":"1-20","title":"The impacts of the Russia–Ukraine invasion on global markets and commodities: a dynamic connectedness among G7 and BRIC markets","type":"article-journal","volume":"15"},"uris":["http://www.mendeley.com/documents/?uuid=163c57e5-1c96-4b89-a22b-7a7c88ee9b37"]}],"mendeley":{"formattedCitation":"(Alam et al., 2022)","manualFormatting":"Alam et al. (2022)","plainTextFormattedCitation":"(Alam et al., 2022)","previouslyFormattedCitation":"(Alam et al., 2022)"},"properties":{"noteIndex":0},"schema":"https://github.com/citation-style-language/schema/raw/master/csl-citation.json"}</w:instrText>
      </w:r>
      <w:r w:rsidRPr="007A35CA">
        <w:rPr>
          <w:rFonts w:asciiTheme="minorHAnsi" w:hAnsiTheme="minorHAnsi" w:cstheme="minorHAnsi"/>
          <w:lang w:val="id-ID"/>
        </w:rPr>
        <w:fldChar w:fldCharType="separate"/>
      </w:r>
      <w:r w:rsidRPr="007A35CA">
        <w:rPr>
          <w:rFonts w:asciiTheme="minorHAnsi" w:hAnsiTheme="minorHAnsi" w:cstheme="minorHAnsi"/>
          <w:noProof/>
          <w:lang w:val="id-ID"/>
        </w:rPr>
        <w:t>Alam et al. (2022)</w:t>
      </w:r>
      <w:r w:rsidRPr="007A35CA">
        <w:rPr>
          <w:rFonts w:asciiTheme="minorHAnsi" w:hAnsiTheme="minorHAnsi" w:cstheme="minorHAnsi"/>
          <w:lang w:val="id-ID"/>
        </w:rPr>
        <w:fldChar w:fldCharType="end"/>
      </w:r>
      <w:r w:rsidRPr="007A35CA">
        <w:rPr>
          <w:rFonts w:asciiTheme="minorHAnsi" w:hAnsiTheme="minorHAnsi" w:cstheme="minorHAnsi"/>
          <w:lang w:val="id-ID"/>
        </w:rPr>
        <w:t xml:space="preserve"> stated that the tensions linked the gold commodity and financial markets. If financial market volatility increases, it will lead to uncertainty at the global level which will result in a rise in the gold commodity. As financial markets globalize through international trade, high volatility is expected to impact foreign exchange and commodity markets. </w:t>
      </w:r>
    </w:p>
    <w:p w14:paraId="2F25A52B" w14:textId="713D1FBC" w:rsidR="00AB6FD2" w:rsidRPr="007A35CA" w:rsidRDefault="00B7499B" w:rsidP="00B7499B">
      <w:pPr>
        <w:spacing w:line="240" w:lineRule="auto"/>
        <w:ind w:firstLine="284"/>
        <w:jc w:val="both"/>
        <w:rPr>
          <w:rFonts w:asciiTheme="minorHAnsi" w:hAnsiTheme="minorHAnsi" w:cstheme="minorHAnsi"/>
          <w:lang w:val="id-ID"/>
        </w:rPr>
      </w:pPr>
      <w:r w:rsidRPr="007A35CA">
        <w:rPr>
          <w:rFonts w:asciiTheme="minorHAnsi" w:hAnsiTheme="minorHAnsi" w:cstheme="minorHAnsi"/>
          <w:lang w:val="id-ID"/>
        </w:rPr>
        <w:t xml:space="preserve">Thus, it is necessary to study the impact of stock market volatility on changes in gold and US dollar prices during the geopolitical crisis. Since the previous research still focuses on the Russia-Ukraine war situation, this research will add a new geopolitical issue, namely the conflict between Hamas and Israel. </w:t>
      </w:r>
      <w:r w:rsidRPr="007A35CA">
        <w:rPr>
          <w:rFonts w:asciiTheme="minorHAnsi" w:hAnsiTheme="minorHAnsi" w:cstheme="minorHAnsi"/>
        </w:rPr>
        <w:t xml:space="preserve">This study will examine the impact of gold price movements and the US Dollar Index on stock market volatility in ASEAN Plus Three Economic. ASEAN Plus Three Economic is a partnership with strong economic, political, and technological ties to compete and gain regional influence </w:t>
      </w:r>
      <w:r w:rsidRPr="007A35CA">
        <w:rPr>
          <w:rFonts w:asciiTheme="minorHAnsi" w:hAnsiTheme="minorHAnsi" w:cstheme="minorHAnsi"/>
        </w:rPr>
        <w:fldChar w:fldCharType="begin" w:fldLock="1"/>
      </w:r>
      <w:r w:rsidRPr="007A35CA">
        <w:rPr>
          <w:rFonts w:asciiTheme="minorHAnsi" w:hAnsiTheme="minorHAnsi" w:cstheme="minorHAnsi"/>
        </w:rPr>
        <w:instrText>ADDIN CSL_CITATION {"citationItems":[{"id":"ITEM-1","itemData":{"DOI":"10.53106/160792642023032402031","ISSN":"20794029","abstract":"The strategic rivalry between the United States and China is out in full swing in Southeast Asia. As the result, ASEAN is emerging both as a key player as well as a playground for pivotal global and regional actors. South Korea, Japan, and China known as ASEAN Plus Three, have strong economic, political, and technological ties with the region, and have leveraged their cyber capabilities to compete for influence in the region. This study evaluates the relative performances of the Plus Three’ cyber outreach efforts to the region by visualizing the complex web of actors and cyber cooperation and assistance activities with network analysis tools and open-source databases. We quantitatively analyze national cyber security cooperation of ASEAN including South Korea, Japan, and China through capacity building indicators and social network methodology. This study (1) analyzes cybersecurity cooperation in ASEAN Plus Three, (2) explores factors that influence cooperation, and (3) lays out a quantitative basis for establishing national information policy and cybersecurity strategy. We find that the Plus Three, despite the outward similarity in their respective regional strategies, are a study of contrasts, with one of them emerging as an influential yet silent power in the regional cyber diplomacy domain.","author":[{"dropping-particle":"","family":"Kim","given":"Yu Kyung","non-dropping-particle":"","parse-names":false,"suffix":""},{"dropping-particle":"","family":"Go","given":"Myong Hyun","non-dropping-particle":"","parse-names":false,"suffix":""},{"dropping-particle":"","family":"Kim","given":"Sonyong","non-dropping-particle":"","parse-names":false,"suffix":""},{"dropping-particle":"","family":"Lee","given":"Jaeyeon","non-dropping-particle":"","parse-names":false,"suffix":""},{"dropping-particle":"","family":"Lee","given":"Kyungho","non-dropping-particle":"","parse-names":false,"suffix":""}],"container-title":"Journal of Internet Technology","id":"ITEM-1","issue":"2","issued":{"date-parts":[["2023"]]},"page":"495-505","title":"Evaluating cybersecurity capacity building of ASEAN Plus Three through social network analysis","type":"article-journal","volume":"24"},"uris":["http://www.mendeley.com/documents/?uuid=15840c98-de32-4bc0-8b46-9464f10f370f"]}],"mendeley":{"formattedCitation":"(Kim et al., 2023)","plainTextFormattedCitation":"(Kim et al., 2023)","previouslyFormattedCitation":"(Kim et al., 2023)"},"properties":{"noteIndex":0},"schema":"https://github.com/citation-style-language/schema/raw/master/csl-citation.json"}</w:instrText>
      </w:r>
      <w:r w:rsidRPr="007A35CA">
        <w:rPr>
          <w:rFonts w:asciiTheme="minorHAnsi" w:hAnsiTheme="minorHAnsi" w:cstheme="minorHAnsi"/>
        </w:rPr>
        <w:fldChar w:fldCharType="separate"/>
      </w:r>
      <w:r w:rsidRPr="007A35CA">
        <w:rPr>
          <w:rFonts w:asciiTheme="minorHAnsi" w:hAnsiTheme="minorHAnsi" w:cstheme="minorHAnsi"/>
          <w:noProof/>
        </w:rPr>
        <w:t>(Kim et al., 2023)</w:t>
      </w:r>
      <w:r w:rsidRPr="007A35CA">
        <w:rPr>
          <w:rFonts w:asciiTheme="minorHAnsi" w:hAnsiTheme="minorHAnsi" w:cstheme="minorHAnsi"/>
        </w:rPr>
        <w:fldChar w:fldCharType="end"/>
      </w:r>
      <w:r w:rsidRPr="007A35CA">
        <w:rPr>
          <w:rFonts w:asciiTheme="minorHAnsi" w:hAnsiTheme="minorHAnsi" w:cstheme="minorHAnsi"/>
        </w:rPr>
        <w:t xml:space="preserve">. Therefore, this study aims to prove whether stock market volatility in the ASEAN Plus Three Economic affects changes in gold prices and the value of the US Dollar Index. </w:t>
      </w:r>
      <w:r w:rsidRPr="007A35CA">
        <w:rPr>
          <w:rFonts w:asciiTheme="minorHAnsi" w:hAnsiTheme="minorHAnsi" w:cstheme="minorHAnsi"/>
          <w:lang w:val="id-ID"/>
        </w:rPr>
        <w:t>By conducting this research, it is hoped that investors and capital market practitioners can better understand the factors that affect stock market volatility. This research is also expected to provide additional insight into the impact of volatility on gold prices and the US Dollar Index so that investment decisions can be made more precisely and risks can be minimized.</w:t>
      </w:r>
    </w:p>
    <w:p w14:paraId="7F94DB21" w14:textId="7C6D73B9" w:rsidR="00B7499B" w:rsidRDefault="00AB6FD2" w:rsidP="00B7499B">
      <w:pPr>
        <w:pStyle w:val="DaftarParagraf"/>
        <w:numPr>
          <w:ilvl w:val="0"/>
          <w:numId w:val="3"/>
        </w:numPr>
        <w:tabs>
          <w:tab w:val="left" w:pos="3165"/>
        </w:tabs>
        <w:spacing w:line="240" w:lineRule="auto"/>
        <w:ind w:left="284" w:hanging="284"/>
        <w:jc w:val="both"/>
        <w:rPr>
          <w:b/>
        </w:rPr>
      </w:pPr>
      <w:commentRangeStart w:id="2"/>
      <w:r w:rsidRPr="00AB6FD2">
        <w:rPr>
          <w:b/>
        </w:rPr>
        <w:t xml:space="preserve">LITERATURE REVIEW </w:t>
      </w:r>
      <w:commentRangeEnd w:id="2"/>
      <w:r w:rsidR="002A7528">
        <w:rPr>
          <w:rStyle w:val="ReferensiKomentar"/>
        </w:rPr>
        <w:commentReference w:id="2"/>
      </w:r>
    </w:p>
    <w:p w14:paraId="5045AC3C" w14:textId="1E7EBFE8" w:rsidR="00B7499B" w:rsidRPr="00B7499B" w:rsidRDefault="00B7499B" w:rsidP="00B7499B">
      <w:pPr>
        <w:tabs>
          <w:tab w:val="left" w:pos="3165"/>
        </w:tabs>
        <w:spacing w:after="0" w:line="240" w:lineRule="auto"/>
        <w:jc w:val="both"/>
        <w:rPr>
          <w:b/>
        </w:rPr>
      </w:pPr>
      <w:r w:rsidRPr="00B7499B">
        <w:rPr>
          <w:rFonts w:asciiTheme="minorHAnsi" w:hAnsiTheme="minorHAnsi" w:cstheme="minorHAnsi"/>
          <w:b/>
          <w:lang w:val="id-ID"/>
        </w:rPr>
        <w:t xml:space="preserve">Stock Market Volatility </w:t>
      </w:r>
    </w:p>
    <w:p w14:paraId="682A33FE" w14:textId="3208BDDC" w:rsidR="00B7499B" w:rsidRDefault="00B7499B" w:rsidP="00B7499B">
      <w:pPr>
        <w:pStyle w:val="DaftarParagraf"/>
        <w:spacing w:after="240" w:line="240" w:lineRule="auto"/>
        <w:ind w:left="0" w:firstLine="284"/>
        <w:jc w:val="both"/>
        <w:rPr>
          <w:rFonts w:asciiTheme="minorHAnsi" w:hAnsiTheme="minorHAnsi" w:cstheme="minorHAnsi"/>
          <w:lang w:val="id-ID"/>
        </w:rPr>
      </w:pPr>
      <w:r w:rsidRPr="00B7499B">
        <w:rPr>
          <w:rFonts w:asciiTheme="minorHAnsi" w:hAnsiTheme="minorHAnsi" w:cstheme="minorHAnsi"/>
          <w:lang w:val="id-ID"/>
        </w:rPr>
        <w:t xml:space="preserve">Geopolitical tensions cause instability in economic growth and financial markets, affecting stock market volatility </w:t>
      </w:r>
      <w:r w:rsidRPr="00B7499B">
        <w:rPr>
          <w:rFonts w:asciiTheme="minorHAnsi" w:hAnsiTheme="minorHAnsi" w:cstheme="minorHAnsi"/>
          <w:lang w:val="id-ID"/>
        </w:rPr>
        <w:fldChar w:fldCharType="begin" w:fldLock="1"/>
      </w:r>
      <w:r w:rsidRPr="00B7499B">
        <w:rPr>
          <w:rFonts w:asciiTheme="minorHAnsi" w:hAnsiTheme="minorHAnsi" w:cstheme="minorHAnsi"/>
          <w:lang w:val="id-ID"/>
        </w:rPr>
        <w:instrText>ADDIN CSL_CITATION {"citationItems":[{"id":"ITEM-1","itemData":{"DOI":"10.1007/s10479-021-04081-5","ISBN":"0123456789","ISSN":"15729338","abstract":"This paper examines the effect of geopolitical risk (GPR) on return and volatility dynamics in Middle East and North African (MENA) countries by using an ADCC-GARCH model and a spillover approach. Unlike previous studies, we include the GPR index to capture risk associated with wars, terrorist acts, and political tensions. Moreover, we test for both static and dynamic analysis using a rolling window. In brief, the findings highlight that GPR does not contribute to the return spillovers among MENA financial markets. However, the dynamic analysis provides evidence of the high level of responsiveness of the total spillover index to major political events (e.g., the Arab Spring uprising and political tension between Qatar and other Gulf Cooperation Council countries). More interestingly, Qatar, Kingdom of Saudi Arabia, and the United Arab Emirates are identified as the main transmitters of return spillovers to the rest of the MENA markets. Overall, our results are essential in understanding the impact of the GPR on return spillover among MENA countries, and are of particular importance to policymakers, market regulators, portfolio managers and investors.","author":[{"dropping-particle":"","family":"Elsayed","given":"Ahmed H.","non-dropping-particle":"","parse-names":false,"suffix":""},{"dropping-particle":"","family":"Helmi","given":"Mohamad Husam","non-dropping-particle":"","parse-names":false,"suffix":""}],"container-title":"Annals of Operations Research","id":"ITEM-1","issue":"1-2","issued":{"date-parts":[["2021"]]},"page":"1-22","publisher":"Springer US","title":"Volatility transmission and spillover dynamics across financial markets: the role of geopolitical risk","type":"article-journal","volume":"305"},"uris":["http://www.mendeley.com/documents/?uuid=e60f14f3-48ba-4c4f-ba7a-30fd74c23c3a"]}],"mendeley":{"formattedCitation":"(Elsayed &amp; Helmi, 2021)","plainTextFormattedCitation":"(Elsayed &amp; Helmi, 2021)","previouslyFormattedCitation":"(Elsayed &amp; Helmi, 2021)"},"properties":{"noteIndex":0},"schema":"https://github.com/citation-style-language/schema/raw/master/csl-citation.json"}</w:instrText>
      </w:r>
      <w:r w:rsidRPr="00B7499B">
        <w:rPr>
          <w:rFonts w:asciiTheme="minorHAnsi" w:hAnsiTheme="minorHAnsi" w:cstheme="minorHAnsi"/>
          <w:lang w:val="id-ID"/>
        </w:rPr>
        <w:fldChar w:fldCharType="separate"/>
      </w:r>
      <w:r w:rsidRPr="00B7499B">
        <w:rPr>
          <w:rFonts w:asciiTheme="minorHAnsi" w:hAnsiTheme="minorHAnsi" w:cstheme="minorHAnsi"/>
          <w:noProof/>
          <w:lang w:val="id-ID"/>
        </w:rPr>
        <w:t>(Elsayed &amp; Helmi, 2021)</w:t>
      </w:r>
      <w:r w:rsidRPr="00B7499B">
        <w:rPr>
          <w:rFonts w:asciiTheme="minorHAnsi" w:hAnsiTheme="minorHAnsi" w:cstheme="minorHAnsi"/>
          <w:lang w:val="id-ID"/>
        </w:rPr>
        <w:fldChar w:fldCharType="end"/>
      </w:r>
      <w:r w:rsidRPr="00B7499B">
        <w:rPr>
          <w:rFonts w:asciiTheme="minorHAnsi" w:hAnsiTheme="minorHAnsi" w:cstheme="minorHAnsi"/>
          <w:lang w:val="id-ID"/>
        </w:rPr>
        <w:t xml:space="preserve">. Stock market volatility is an indicator of uncertainty in equity markets and serves to evaluate price risk </w:t>
      </w:r>
      <w:r w:rsidRPr="00B7499B">
        <w:rPr>
          <w:rFonts w:asciiTheme="minorHAnsi" w:hAnsiTheme="minorHAnsi" w:cstheme="minorHAnsi"/>
          <w:lang w:val="id-ID"/>
        </w:rPr>
        <w:fldChar w:fldCharType="begin" w:fldLock="1"/>
      </w:r>
      <w:r w:rsidRPr="00B7499B">
        <w:rPr>
          <w:rFonts w:asciiTheme="minorHAnsi" w:hAnsiTheme="minorHAnsi" w:cstheme="minorHAnsi"/>
          <w:lang w:val="id-ID"/>
        </w:rPr>
        <w:instrText>ADDIN CSL_CITATION {"citationItems":[{"id":"ITEM-1","itemData":{"DOI":"10.17979/ejge.2020.9.3.6999","ISSN":"22547088","abstract":"This paper studies the relationship between stock prices and three types of uncertainty: economic policy uncertainty, stock market volatility, and geopolitical risks. In particular, our aim is to determine whether these forms of uncertainty play the same role in developed and developing countries. With this purpose, we take Spain and Brazil as representative cases. In order to provide new insights into the abovementioned relationship, a cointegration approach is applied, specifically an ARDL model, using monthly data from the period January 2006-December 2019 for a series of financial and macroeconomic variables. The results obtained reveal that there is no uniform effect of uncertainty in stock markets of developing and developed countries. First, in Spain, there is a high perception of uncertainty in economic policy and stock market volatility, which impact negatively in share prices, both in the short and long term. Regarding Brazil, the global uncertainty in the stock markets has effects on share prices, in both time horizons. By contrast, geopolitical risks do not show any significant impact on Brazilian and Spanish share returns.","author":[{"dropping-particle":"","family":"Sánchez-Gabarre","given":"Mary Elena","non-dropping-particle":"","parse-names":false,"suffix":""}],"container-title":"European Journal of Government and Economics","id":"ITEM-1","issue":"3","issued":{"date-parts":[["2020"]]},"page":"265-279","title":"Stock prices, uncertainty and risks: evidence from developing and advanced economies","type":"article-journal","volume":"9"},"uris":["http://www.mendeley.com/documents/?uuid=983faf91-69c1-4bf3-b0ef-e305d3a5b0e2"]}],"mendeley":{"formattedCitation":"(Sánchez-Gabarre, 2020)","plainTextFormattedCitation":"(Sánchez-Gabarre, 2020)","previouslyFormattedCitation":"(Sánchez-Gabarre, 2020)"},"properties":{"noteIndex":0},"schema":"https://github.com/citation-style-language/schema/raw/master/csl-citation.json"}</w:instrText>
      </w:r>
      <w:r w:rsidRPr="00B7499B">
        <w:rPr>
          <w:rFonts w:asciiTheme="minorHAnsi" w:hAnsiTheme="minorHAnsi" w:cstheme="minorHAnsi"/>
          <w:lang w:val="id-ID"/>
        </w:rPr>
        <w:fldChar w:fldCharType="separate"/>
      </w:r>
      <w:r w:rsidRPr="00B7499B">
        <w:rPr>
          <w:rFonts w:asciiTheme="minorHAnsi" w:hAnsiTheme="minorHAnsi" w:cstheme="minorHAnsi"/>
          <w:noProof/>
          <w:lang w:val="id-ID"/>
        </w:rPr>
        <w:t>(Sánchez-Gabarre, 2020)</w:t>
      </w:r>
      <w:r w:rsidRPr="00B7499B">
        <w:rPr>
          <w:rFonts w:asciiTheme="minorHAnsi" w:hAnsiTheme="minorHAnsi" w:cstheme="minorHAnsi"/>
          <w:lang w:val="id-ID"/>
        </w:rPr>
        <w:fldChar w:fldCharType="end"/>
      </w:r>
      <w:r w:rsidRPr="00B7499B">
        <w:rPr>
          <w:rFonts w:asciiTheme="minorHAnsi" w:hAnsiTheme="minorHAnsi" w:cstheme="minorHAnsi"/>
          <w:lang w:val="id-ID"/>
        </w:rPr>
        <w:t xml:space="preserve">. An increase in volatility can create instability, potentially reducing investor confidence in business investments and hampering economic growth </w:t>
      </w:r>
      <w:r w:rsidRPr="00B7499B">
        <w:rPr>
          <w:rFonts w:asciiTheme="minorHAnsi" w:hAnsiTheme="minorHAnsi" w:cstheme="minorHAnsi"/>
          <w:lang w:val="id-ID"/>
        </w:rPr>
        <w:fldChar w:fldCharType="begin" w:fldLock="1"/>
      </w:r>
      <w:r w:rsidRPr="00B7499B">
        <w:rPr>
          <w:rFonts w:asciiTheme="minorHAnsi" w:hAnsiTheme="minorHAnsi" w:cstheme="minorHAnsi"/>
          <w:lang w:val="id-ID"/>
        </w:rPr>
        <w:instrText>ADDIN CSL_CITATION {"citationItems":[{"id":"ITEM-1","itemData":{"DOI":"10.1016/j.iref.2022.04.003","ISSN":"10590560","abstract":"This study examines the impact of the economic policy uncertainty index (EPU) and macroeconomic variables on the volatility of the Pakistan stock market using the GARCH-MIDAS (mixed data sampling) model. The model allows us to observe whether those variables contain valuable information to forecast stock market volatility. Our empirical findings show several outcomes. First, our out-of-sample results show economic policy uncertainty index has predictive power to forecast Pakistan stock market volatility. Second, among all variables, oil prices are the most powerful predictor of volatility with a higher out of sample R square value. Third, all macroeconomic variables including exchange rate, short-term interest rate, money supply M2, foreign direct investment, gold prices, inward remittances, industrial production, and consumer price index (proxy for inflation) contain useful information for stock market volatility forecasting. However, the long-run interest rate is an ineffective indicator of volatility during the sample period study. Finally, we find that the combination forecast information is also useful for volatility forecasting.","author":[{"dropping-particle":"","family":"Ghani","given":"Maria","non-dropping-particle":"","parse-names":false,"suffix":""},{"dropping-particle":"","family":"Guo","given":"Qiang","non-dropping-particle":"","parse-names":false,"suffix":""},{"dropping-particle":"","family":"Ma","given":"Feng","non-dropping-particle":"","parse-names":false,"suffix":""},{"dropping-particle":"","family":"Li","given":"Tao","non-dropping-particle":"","parse-names":false,"suffix":""}],"container-title":"International Review of Economics &amp; Finance","id":"ITEM-1","issued":{"date-parts":[["2022","7"]]},"page":"1180-1189","title":"Forecasting Pakistan stock market volatility: evidence from economic variables and the uncertainty index","type":"article-journal","volume":"80"},"uris":["http://www.mendeley.com/documents/?uuid=cc3c1c43-589f-4cc0-813f-0e01362c25a7"]}],"mendeley":{"formattedCitation":"(Ghani et al., 2022)","plainTextFormattedCitation":"(Ghani et al., 2022)","previouslyFormattedCitation":"(Ghani et al., 2022)"},"properties":{"noteIndex":0},"schema":"https://github.com/citation-style-language/schema/raw/master/csl-citation.json"}</w:instrText>
      </w:r>
      <w:r w:rsidRPr="00B7499B">
        <w:rPr>
          <w:rFonts w:asciiTheme="minorHAnsi" w:hAnsiTheme="minorHAnsi" w:cstheme="minorHAnsi"/>
          <w:lang w:val="id-ID"/>
        </w:rPr>
        <w:fldChar w:fldCharType="separate"/>
      </w:r>
      <w:r w:rsidRPr="00B7499B">
        <w:rPr>
          <w:rFonts w:asciiTheme="minorHAnsi" w:hAnsiTheme="minorHAnsi" w:cstheme="minorHAnsi"/>
          <w:noProof/>
          <w:lang w:val="id-ID"/>
        </w:rPr>
        <w:t>(Ghani et al., 2022)</w:t>
      </w:r>
      <w:r w:rsidRPr="00B7499B">
        <w:rPr>
          <w:rFonts w:asciiTheme="minorHAnsi" w:hAnsiTheme="minorHAnsi" w:cstheme="minorHAnsi"/>
          <w:lang w:val="id-ID"/>
        </w:rPr>
        <w:fldChar w:fldCharType="end"/>
      </w:r>
      <w:r w:rsidRPr="00B7499B">
        <w:rPr>
          <w:rFonts w:asciiTheme="minorHAnsi" w:hAnsiTheme="minorHAnsi" w:cstheme="minorHAnsi"/>
          <w:lang w:val="id-ID"/>
        </w:rPr>
        <w:t xml:space="preserve">. In addition, investors can cause instability in the stock market by making transactions that are outside the supply on the stock exchange </w:t>
      </w:r>
      <w:r w:rsidRPr="00B7499B">
        <w:rPr>
          <w:rFonts w:asciiTheme="minorHAnsi" w:hAnsiTheme="minorHAnsi" w:cstheme="minorHAnsi"/>
          <w:lang w:val="id-ID"/>
        </w:rPr>
        <w:fldChar w:fldCharType="begin" w:fldLock="1"/>
      </w:r>
      <w:r w:rsidRPr="00B7499B">
        <w:rPr>
          <w:rFonts w:asciiTheme="minorHAnsi" w:hAnsiTheme="minorHAnsi" w:cstheme="minorHAnsi"/>
          <w:lang w:val="id-ID"/>
        </w:rPr>
        <w:instrText>ADDIN CSL_CITATION {"citationItems":[{"id":"ITEM-1","itemData":{"DOI":"10.1080/1331677X.2021.1982399","ISSN":"1331677X","abstract":"This article examines institutional investors' investment activities and the impact of their trading styles on market volatility amidst COVID-19 in India. Specifically, it seeks to offer a comprehensive analysis of foreign portfolio investors’ (FPIs) and domestic mutual fund managers’ (MFs) investment on equity and debt securities. It examines whether their trading activities drive market volatility during the pandemic period. Also, it explores the impact of COVID-19 on the Indian equity market. This study finds that the growth of COVID-19 does not significantly affect the stock market volatility during the study period. Precisely, the findings reveal that the FPI's net selling of equity and their overall trading activities in the debt instruments positively impact the market volatility. Findings also show that the FPI's momentum buys and contrarian sales induce market volatility, whereas the MF's trading style does not significantly influence the volatility. The Granger causality tests indicate that the FPI's net sales of equity instruments cause the return volatility and that the market volatility does not drive the equity net sales. Findings also reveal that mutual-fund managers' trading behavior does not Granger cause market volatility; instead, volatility causes MF's net selling of debt instruments.","author":[{"dropping-particle":"","family":"Naik","given":"Pramod Kumar","non-dropping-particle":"","parse-names":false,"suffix":""},{"dropping-particle":"","family":"Shaikh","given":"Imlak","non-dropping-particle":"","parse-names":false,"suffix":""},{"dropping-particle":"","family":"Huynh","given":"Toan Luu Duc","non-dropping-particle":"","parse-names":false,"suffix":""}],"container-title":"Economic Research-Ekonomska Istrazivanja ","id":"ITEM-1","issue":"1","issued":{"date-parts":[["2022"]]},"page":"1542-1560","publisher":"Routledge","title":"Institutional investment activities and stock market volatility amid COVID-19 in India","type":"article-journal","volume":"35"},"uris":["http://www.mendeley.com/documents/?uuid=7e67991c-e046-4aff-b5db-a03a72d092b8"]}],"mendeley":{"formattedCitation":"(Naik et al., 2022)","plainTextFormattedCitation":"(Naik et al., 2022)","previouslyFormattedCitation":"(Naik et al., 2022)"},"properties":{"noteIndex":0},"schema":"https://github.com/citation-style-language/schema/raw/master/csl-citation.json"}</w:instrText>
      </w:r>
      <w:r w:rsidRPr="00B7499B">
        <w:rPr>
          <w:rFonts w:asciiTheme="minorHAnsi" w:hAnsiTheme="minorHAnsi" w:cstheme="minorHAnsi"/>
          <w:lang w:val="id-ID"/>
        </w:rPr>
        <w:fldChar w:fldCharType="separate"/>
      </w:r>
      <w:r w:rsidRPr="00B7499B">
        <w:rPr>
          <w:rFonts w:asciiTheme="minorHAnsi" w:hAnsiTheme="minorHAnsi" w:cstheme="minorHAnsi"/>
          <w:noProof/>
          <w:lang w:val="id-ID"/>
        </w:rPr>
        <w:t>(Naik et al., 2022)</w:t>
      </w:r>
      <w:r w:rsidRPr="00B7499B">
        <w:rPr>
          <w:rFonts w:asciiTheme="minorHAnsi" w:hAnsiTheme="minorHAnsi" w:cstheme="minorHAnsi"/>
          <w:lang w:val="id-ID"/>
        </w:rPr>
        <w:fldChar w:fldCharType="end"/>
      </w:r>
      <w:r w:rsidRPr="00B7499B">
        <w:rPr>
          <w:rFonts w:asciiTheme="minorHAnsi" w:hAnsiTheme="minorHAnsi" w:cstheme="minorHAnsi"/>
          <w:lang w:val="id-ID"/>
        </w:rPr>
        <w:t xml:space="preserve">. Stock market volatility is important for investors in managing portfolios and analyzing risks. In addition, stock market volatility is also an important indicator for policymakers when assessing financial conditions and investor sentiment </w:t>
      </w:r>
      <w:r w:rsidRPr="00B7499B">
        <w:rPr>
          <w:rFonts w:asciiTheme="minorHAnsi" w:hAnsiTheme="minorHAnsi" w:cstheme="minorHAnsi"/>
          <w:lang w:val="id-ID"/>
        </w:rPr>
        <w:fldChar w:fldCharType="begin" w:fldLock="1"/>
      </w:r>
      <w:r w:rsidRPr="00B7499B">
        <w:rPr>
          <w:rFonts w:asciiTheme="minorHAnsi" w:hAnsiTheme="minorHAnsi" w:cstheme="minorHAnsi"/>
          <w:lang w:val="id-ID"/>
        </w:rPr>
        <w:instrText>ADDIN CSL_CITATION {"citationItems":[{"id":"ITEM-1","itemData":{"DOI":"10.3390/su11020351","ISSN":"2071-1050","abstract":"We employ bivariate and multivariate nonlinear causality tests to document causality from equity return dispersion to stock market volatility and excess returns, even after controlling for the state of the economy. Expansionary (contractionary) market states are associated with a low (high) level of equity return dispersion, indicating asymmetries in the relationship between return dispersion and economic conditions. Our findings indicate that both return dispersion and business conditions are valid joint forecasters of stock market volatility and excess returns and that return dispersion possesses incremental information regarding future stock return dynamics beyond that which can be explained by the state of the economy.","author":[{"dropping-particle":"","family":"Demirer","given":"Riza","non-dropping-particle":"","parse-names":false,"suffix":""},{"dropping-particle":"","family":"Gupta","given":"Rangan","non-dropping-particle":"","parse-names":false,"suffix":""},{"dropping-particle":"","family":"Lv","given":"Zhihui","non-dropping-particle":"","parse-names":false,"suffix":""},{"dropping-particle":"","family":"Wong","given":"Wing-Keung","non-dropping-particle":"","parse-names":false,"suffix":""}],"container-title":"Sustainability","id":"ITEM-1","issue":"2","issued":{"date-parts":[["2019","1","11"]]},"page":"351-365","title":"Equity return dispersion and stock market volatility: evidence from multivariate linear and nonlinear causality tests","type":"article-journal","volume":"11"},"uris":["http://www.mendeley.com/documents/?uuid=0d025f63-a1f5-4192-856d-b7968865473b"]}],"mendeley":{"formattedCitation":"(Demirer et al., 2019)","plainTextFormattedCitation":"(Demirer et al., 2019)","previouslyFormattedCitation":"(Demirer et al., 2019)"},"properties":{"noteIndex":0},"schema":"https://github.com/citation-style-language/schema/raw/master/csl-citation.json"}</w:instrText>
      </w:r>
      <w:r w:rsidRPr="00B7499B">
        <w:rPr>
          <w:rFonts w:asciiTheme="minorHAnsi" w:hAnsiTheme="minorHAnsi" w:cstheme="minorHAnsi"/>
          <w:lang w:val="id-ID"/>
        </w:rPr>
        <w:fldChar w:fldCharType="separate"/>
      </w:r>
      <w:r w:rsidRPr="00B7499B">
        <w:rPr>
          <w:rFonts w:asciiTheme="minorHAnsi" w:hAnsiTheme="minorHAnsi" w:cstheme="minorHAnsi"/>
          <w:noProof/>
          <w:lang w:val="id-ID"/>
        </w:rPr>
        <w:t>(Demirer et al., 2019)</w:t>
      </w:r>
      <w:r w:rsidRPr="00B7499B">
        <w:rPr>
          <w:rFonts w:asciiTheme="minorHAnsi" w:hAnsiTheme="minorHAnsi" w:cstheme="minorHAnsi"/>
          <w:lang w:val="id-ID"/>
        </w:rPr>
        <w:fldChar w:fldCharType="end"/>
      </w:r>
      <w:r w:rsidRPr="00B7499B">
        <w:rPr>
          <w:rFonts w:asciiTheme="minorHAnsi" w:hAnsiTheme="minorHAnsi" w:cstheme="minorHAnsi"/>
          <w:lang w:val="id-ID"/>
        </w:rPr>
        <w:t xml:space="preserve">. </w:t>
      </w:r>
    </w:p>
    <w:p w14:paraId="7924979A" w14:textId="09143B0E" w:rsidR="00B7499B" w:rsidRPr="00B7499B" w:rsidRDefault="00B7499B" w:rsidP="00B7499B">
      <w:pPr>
        <w:spacing w:after="0" w:line="240" w:lineRule="auto"/>
        <w:jc w:val="both"/>
        <w:rPr>
          <w:rFonts w:asciiTheme="minorHAnsi" w:hAnsiTheme="minorHAnsi" w:cstheme="minorHAnsi"/>
          <w:b/>
          <w:bCs/>
          <w:lang w:val="id-ID"/>
        </w:rPr>
      </w:pPr>
      <w:r w:rsidRPr="00B7499B">
        <w:rPr>
          <w:rFonts w:asciiTheme="minorHAnsi" w:hAnsiTheme="minorHAnsi" w:cstheme="minorHAnsi"/>
          <w:b/>
          <w:bCs/>
        </w:rPr>
        <w:t>Gold Price</w:t>
      </w:r>
    </w:p>
    <w:p w14:paraId="16CC23D1" w14:textId="77777777" w:rsidR="00B7499B" w:rsidRDefault="00B7499B" w:rsidP="00B7499B">
      <w:pPr>
        <w:pStyle w:val="DaftarParagraf"/>
        <w:spacing w:after="240" w:line="240" w:lineRule="auto"/>
        <w:ind w:left="0" w:firstLine="284"/>
        <w:jc w:val="both"/>
        <w:rPr>
          <w:rFonts w:asciiTheme="minorHAnsi" w:hAnsiTheme="minorHAnsi" w:cstheme="minorHAnsi"/>
          <w:lang w:val="id-ID"/>
        </w:rPr>
      </w:pPr>
      <w:r w:rsidRPr="00B7499B">
        <w:rPr>
          <w:rFonts w:asciiTheme="minorHAnsi" w:hAnsiTheme="minorHAnsi" w:cstheme="minorHAnsi"/>
          <w:lang w:val="id-ID"/>
        </w:rPr>
        <w:t xml:space="preserve">In the global economy, gold is considered a symbol of wealth, honor, and prosperity </w:t>
      </w:r>
      <w:r w:rsidRPr="00B7499B">
        <w:rPr>
          <w:rFonts w:asciiTheme="minorHAnsi" w:hAnsiTheme="minorHAnsi" w:cstheme="minorHAnsi"/>
          <w:lang w:val="id-ID"/>
        </w:rPr>
        <w:fldChar w:fldCharType="begin" w:fldLock="1"/>
      </w:r>
      <w:r w:rsidRPr="00B7499B">
        <w:rPr>
          <w:rFonts w:asciiTheme="minorHAnsi" w:hAnsiTheme="minorHAnsi" w:cstheme="minorHAnsi"/>
          <w:lang w:val="id-ID"/>
        </w:rPr>
        <w:instrText>ADDIN CSL_CITATION {"citationItems":[{"id":"ITEM-1","itemData":{"DOI":"10.52131/pjhss.2023.1102.0441","ISSN":"2415-007X","abstract":"This study examined the asymmetrical implications of gold and oil prices, as well as the implied volatility that goes along with them, on the performance of Pakistan's stock market. It was used Chicago Board of Options Exchange’s GVZ and OVX index for measuring volatility in gold market and oil market respectively due to more uncertainty in commodity markets and also took historical price movements, investor’s expectations regarding global prices into account. The monthly data used from October 2009 to January 2023. An ARDL approach was employed for checking short term and long term asymmetrical. The results of ARDL revealed that oil volatility index have significant impact of Pakistan’s stock market in short-run and long-run. The Gold Volatility Index shows significant impact after one month on both stock market capitalization and KSE 100 indexes in the short run. Fluctuations in worldwide commodity prices have a significant influence on underdeveloped economies like Pakistan and have a negative effect on the entire economy. The volatility and fluctuations in oil prices lead to higher production costs, which create uncertainty in companies' cash flows.","author":[{"dropping-particle":"","family":"Bhatti","given":"Azeem Akhtar","non-dropping-particle":"","parse-names":false,"suffix":""},{"dropping-particle":"","family":"Jamali","given":"Mansoor Ali","non-dropping-particle":"","parse-names":false,"suffix":""},{"dropping-particle":"","family":"Khokhar","given":"Maryam","non-dropping-particle":"","parse-names":false,"suffix":""},{"dropping-particle":"","family":"Buriro","given":"Muhammad Haneef","non-dropping-particle":"","parse-names":false,"suffix":""}],"container-title":"Pakistan Journal of Humanities and Social Sciences","id":"ITEM-1","issue":"2","issued":{"date-parts":[["2023","6","13"]]},"page":"1336-1349","title":"The impact of gold, oil prices, and their associated implied volatilities on performance of Pakistan’s stock market","type":"article-journal","volume":"11"},"uris":["http://www.mendeley.com/documents/?uuid=cebf5cfb-af38-4b74-988f-f47053b42412"]}],"mendeley":{"formattedCitation":"(Bhatti et al., 2023)","plainTextFormattedCitation":"(Bhatti et al., 2023)","previouslyFormattedCitation":"(Bhatti et al., 2023)"},"properties":{"noteIndex":0},"schema":"https://github.com/citation-style-language/schema/raw/master/csl-citation.json"}</w:instrText>
      </w:r>
      <w:r w:rsidRPr="00B7499B">
        <w:rPr>
          <w:rFonts w:asciiTheme="minorHAnsi" w:hAnsiTheme="minorHAnsi" w:cstheme="minorHAnsi"/>
          <w:lang w:val="id-ID"/>
        </w:rPr>
        <w:fldChar w:fldCharType="separate"/>
      </w:r>
      <w:r w:rsidRPr="00B7499B">
        <w:rPr>
          <w:rFonts w:asciiTheme="minorHAnsi" w:hAnsiTheme="minorHAnsi" w:cstheme="minorHAnsi"/>
          <w:noProof/>
          <w:lang w:val="id-ID"/>
        </w:rPr>
        <w:t>(Bhatti et al., 2023)</w:t>
      </w:r>
      <w:r w:rsidRPr="00B7499B">
        <w:rPr>
          <w:rFonts w:asciiTheme="minorHAnsi" w:hAnsiTheme="minorHAnsi" w:cstheme="minorHAnsi"/>
          <w:lang w:val="id-ID"/>
        </w:rPr>
        <w:fldChar w:fldCharType="end"/>
      </w:r>
      <w:r w:rsidRPr="00B7499B">
        <w:rPr>
          <w:rFonts w:asciiTheme="minorHAnsi" w:hAnsiTheme="minorHAnsi" w:cstheme="minorHAnsi"/>
          <w:lang w:val="id-ID"/>
        </w:rPr>
        <w:t xml:space="preserve">.  Due to its durability and relative scarcity, gold has earned a particular position on international commodity exchanges and has become a unique standard of value </w:t>
      </w:r>
      <w:r w:rsidRPr="00B7499B">
        <w:rPr>
          <w:rFonts w:asciiTheme="minorHAnsi" w:hAnsiTheme="minorHAnsi" w:cstheme="minorHAnsi"/>
          <w:lang w:val="id-ID"/>
        </w:rPr>
        <w:fldChar w:fldCharType="begin" w:fldLock="1"/>
      </w:r>
      <w:r w:rsidRPr="00B7499B">
        <w:rPr>
          <w:rFonts w:asciiTheme="minorHAnsi" w:hAnsiTheme="minorHAnsi" w:cstheme="minorHAnsi"/>
          <w:lang w:val="id-ID"/>
        </w:rPr>
        <w:instrText>ADDIN CSL_CITATION {"citationItems":[{"id":"ITEM-1","itemData":{"DOI":"10.5937/ekonomika2302023M","ISSN":"0350-137X","abstract":"The purpose of this article is to analyse the trend of global gold price yields and volatility with the aim of making effective financial decisions about investments in this precious metal, by applying and comparing the results of ARCH and GARCH competing models, using the lowest values of the chosen information criteria. ARCH and GARCH models are intended for the time series' analysis, with the observed instability of the conditional variance. Gold usually has the function of a safe haven, also serving as a warrantor of monetary stability, especially in times of crisis. On the example of 1,151 daily observations on the gold global price and yield rates, the E-GARCH model was applied, the results of which suggest investors to be cautious in their decision-making since the impact of negative shocks (losses) on yield volatility has a strong long-memory effect, making this investments highly risky, especially in bad economic circumstances.","author":[{"dropping-particle":"","family":"Madžar","given":"Lidija","non-dropping-particle":"","parse-names":false,"suffix":""},{"dropping-particle":"","family":"Karić","given":"Dušica","non-dropping-particle":"","parse-names":false,"suffix":""},{"dropping-particle":"","family":"Mirjanić","given":"Borjana","non-dropping-particle":"","parse-names":false,"suffix":""}],"container-title":"Ekonomika","id":"ITEM-1","issue":"2","issued":{"date-parts":[["2023"]]},"page":"23-34","title":"Modelling the volatility of the global gold price by applying the ARCH/GARCH models","type":"article-journal","volume":"69"},"uris":["http://www.mendeley.com/documents/?uuid=07634e22-fbca-41a2-ad03-13e02ad5a79a"]}],"mendeley":{"formattedCitation":"(Madžar et al., 2023)","plainTextFormattedCitation":"(Madžar et al., 2023)","previouslyFormattedCitation":"(Madžar et al., 2023)"},"properties":{"noteIndex":0},"schema":"https://github.com/citation-style-language/schema/raw/master/csl-citation.json"}</w:instrText>
      </w:r>
      <w:r w:rsidRPr="00B7499B">
        <w:rPr>
          <w:rFonts w:asciiTheme="minorHAnsi" w:hAnsiTheme="minorHAnsi" w:cstheme="minorHAnsi"/>
          <w:lang w:val="id-ID"/>
        </w:rPr>
        <w:fldChar w:fldCharType="separate"/>
      </w:r>
      <w:r w:rsidRPr="00B7499B">
        <w:rPr>
          <w:rFonts w:asciiTheme="minorHAnsi" w:hAnsiTheme="minorHAnsi" w:cstheme="minorHAnsi"/>
          <w:noProof/>
          <w:lang w:val="id-ID"/>
        </w:rPr>
        <w:t>(Madžar et al., 2023)</w:t>
      </w:r>
      <w:r w:rsidRPr="00B7499B">
        <w:rPr>
          <w:rFonts w:asciiTheme="minorHAnsi" w:hAnsiTheme="minorHAnsi" w:cstheme="minorHAnsi"/>
          <w:lang w:val="id-ID"/>
        </w:rPr>
        <w:fldChar w:fldCharType="end"/>
      </w:r>
      <w:r w:rsidRPr="00B7499B">
        <w:rPr>
          <w:rFonts w:asciiTheme="minorHAnsi" w:hAnsiTheme="minorHAnsi" w:cstheme="minorHAnsi"/>
          <w:lang w:val="id-ID"/>
        </w:rPr>
        <w:t xml:space="preserve">. Gold is trendy among investors as it is considered a safe asset and can serve as a hedge against economic and financial instability </w:t>
      </w:r>
      <w:r w:rsidRPr="00B7499B">
        <w:rPr>
          <w:rFonts w:asciiTheme="minorHAnsi" w:hAnsiTheme="minorHAnsi" w:cstheme="minorHAnsi"/>
          <w:lang w:val="id-ID"/>
        </w:rPr>
        <w:fldChar w:fldCharType="begin" w:fldLock="1"/>
      </w:r>
      <w:r w:rsidRPr="00B7499B">
        <w:rPr>
          <w:rFonts w:asciiTheme="minorHAnsi" w:hAnsiTheme="minorHAnsi" w:cstheme="minorHAnsi"/>
          <w:lang w:val="id-ID"/>
        </w:rPr>
        <w:instrText>ADDIN CSL_CITATION {"citationItems":[{"id":"ITEM-1","itemData":{"DOI":"10.1016/j.resourpol.2022.103133","ISSN":"03014207","author":[{"dropping-particle":"","family":"Cui","given":"Moyang","non-dropping-particle":"","parse-names":false,"suffix":""},{"dropping-particle":"","family":"Wong","given":"Wing-keung","non-dropping-particle":"","parse-names":false,"suffix":""},{"dropping-particle":"","family":"Wisetsri","given":"Worakamol","non-dropping-particle":"","parse-names":false,"suffix":""},{"dropping-particle":"","family":"Mabrouk","given":"Fatma","non-dropping-particle":"","parse-names":false,"suffix":""},{"dropping-particle":"","family":"Muda","given":"Iskandar","non-dropping-particle":"","parse-names":false,"suffix":""},{"dropping-particle":"","family":"Li","given":"Zeyun","non-dropping-particle":"","parse-names":false,"suffix":""},{"dropping-particle":"","family":"Hassan","given":"Marria","non-dropping-particle":"","parse-names":false,"suffix":""}],"container-title":"Resources Policy","id":"ITEM-1","issued":{"date-parts":[["2023","1"]]},"page":"103133-103141","title":"Do oil, gold and metallic price volatilities prove gold as a safe haven during COVID-19 pandemic? Novel evidence from COVID-19 data","type":"article-journal","volume":"80"},"uris":["http://www.mendeley.com/documents/?uuid=2a365c4b-06d6-4a8b-8d14-8996ec4bb396"]}],"mendeley":{"formattedCitation":"(Cui et al., 2023)","plainTextFormattedCitation":"(Cui et al., 2023)","previouslyFormattedCitation":"(Cui et al., 2023)"},"properties":{"noteIndex":0},"schema":"https://github.com/citation-style-language/schema/raw/master/csl-citation.json"}</w:instrText>
      </w:r>
      <w:r w:rsidRPr="00B7499B">
        <w:rPr>
          <w:rFonts w:asciiTheme="minorHAnsi" w:hAnsiTheme="minorHAnsi" w:cstheme="minorHAnsi"/>
          <w:lang w:val="id-ID"/>
        </w:rPr>
        <w:fldChar w:fldCharType="separate"/>
      </w:r>
      <w:r w:rsidRPr="00B7499B">
        <w:rPr>
          <w:rFonts w:asciiTheme="minorHAnsi" w:hAnsiTheme="minorHAnsi" w:cstheme="minorHAnsi"/>
          <w:noProof/>
          <w:lang w:val="id-ID"/>
        </w:rPr>
        <w:t>(Cui et al., 2023)</w:t>
      </w:r>
      <w:r w:rsidRPr="00B7499B">
        <w:rPr>
          <w:rFonts w:asciiTheme="minorHAnsi" w:hAnsiTheme="minorHAnsi" w:cstheme="minorHAnsi"/>
          <w:lang w:val="id-ID"/>
        </w:rPr>
        <w:fldChar w:fldCharType="end"/>
      </w:r>
      <w:r w:rsidRPr="00B7499B">
        <w:rPr>
          <w:rFonts w:asciiTheme="minorHAnsi" w:hAnsiTheme="minorHAnsi" w:cstheme="minorHAnsi"/>
          <w:lang w:val="id-ID"/>
        </w:rPr>
        <w:t xml:space="preserve">. In volatile market conditions, gold is an essential and effective hedging instrument to diversify investment portfolios and is considered a valid and reliable option </w:t>
      </w:r>
      <w:r w:rsidRPr="00B7499B">
        <w:rPr>
          <w:rFonts w:asciiTheme="minorHAnsi" w:hAnsiTheme="minorHAnsi" w:cstheme="minorHAnsi"/>
          <w:lang w:val="id-ID"/>
        </w:rPr>
        <w:fldChar w:fldCharType="begin" w:fldLock="1"/>
      </w:r>
      <w:r w:rsidRPr="00B7499B">
        <w:rPr>
          <w:rFonts w:asciiTheme="minorHAnsi" w:hAnsiTheme="minorHAnsi" w:cstheme="minorHAnsi"/>
          <w:lang w:val="id-ID"/>
        </w:rPr>
        <w:instrText>ADDIN CSL_CITATION {"citationItems":[{"id":"ITEM-1","itemData":{"DOI":"10.1016/j.resourpol.2022.102637","ISSN":"03014207","author":[{"dropping-particle":"","family":"Tuna","given":"Gülfen","non-dropping-particle":"","parse-names":false,"suffix":""},{"dropping-particle":"","family":"Tuna","given":"Vedat Ender","non-dropping-particle":"","parse-names":false,"suffix":""}],"container-title":"Resources Policy","id":"ITEM-1","issued":{"date-parts":[["2022","6"]]},"page":"102637-102644","title":"Are effects of COVID-19 pandemic on financial markets permanent or temporary? evidence from gold, oil and stock markets","type":"article-journal","volume":"76"},"uris":["http://www.mendeley.com/documents/?uuid=c4cd59a7-c78d-4130-8f3c-e2a5a4dfec57"]}],"mendeley":{"formattedCitation":"(Tuna &amp; Tuna, 2022)","plainTextFormattedCitation":"(Tuna &amp; Tuna, 2022)","previouslyFormattedCitation":"(Tuna &amp; Tuna, 2022)"},"properties":{"noteIndex":0},"schema":"https://github.com/citation-style-language/schema/raw/master/csl-citation.json"}</w:instrText>
      </w:r>
      <w:r w:rsidRPr="00B7499B">
        <w:rPr>
          <w:rFonts w:asciiTheme="minorHAnsi" w:hAnsiTheme="minorHAnsi" w:cstheme="minorHAnsi"/>
          <w:lang w:val="id-ID"/>
        </w:rPr>
        <w:fldChar w:fldCharType="separate"/>
      </w:r>
      <w:r w:rsidRPr="00B7499B">
        <w:rPr>
          <w:rFonts w:asciiTheme="minorHAnsi" w:hAnsiTheme="minorHAnsi" w:cstheme="minorHAnsi"/>
          <w:noProof/>
          <w:lang w:val="id-ID"/>
        </w:rPr>
        <w:t>(Tuna &amp; Tuna, 2022)</w:t>
      </w:r>
      <w:r w:rsidRPr="00B7499B">
        <w:rPr>
          <w:rFonts w:asciiTheme="minorHAnsi" w:hAnsiTheme="minorHAnsi" w:cstheme="minorHAnsi"/>
          <w:lang w:val="id-ID"/>
        </w:rPr>
        <w:fldChar w:fldCharType="end"/>
      </w:r>
      <w:r w:rsidRPr="00B7499B">
        <w:rPr>
          <w:rFonts w:asciiTheme="minorHAnsi" w:hAnsiTheme="minorHAnsi" w:cstheme="minorHAnsi"/>
          <w:lang w:val="id-ID"/>
        </w:rPr>
        <w:t xml:space="preserve">. However, emerging issues related to tensions between Russia and Ukraine have led to a rise in commodity markets, affecting gold prices </w:t>
      </w:r>
      <w:r w:rsidRPr="00B7499B">
        <w:rPr>
          <w:rFonts w:asciiTheme="minorHAnsi" w:hAnsiTheme="minorHAnsi" w:cstheme="minorHAnsi"/>
          <w:lang w:val="id-ID"/>
        </w:rPr>
        <w:fldChar w:fldCharType="begin" w:fldLock="1"/>
      </w:r>
      <w:r w:rsidRPr="00B7499B">
        <w:rPr>
          <w:rFonts w:asciiTheme="minorHAnsi" w:hAnsiTheme="minorHAnsi" w:cstheme="minorHAnsi"/>
          <w:lang w:val="id-ID"/>
        </w:rPr>
        <w:instrText>ADDIN CSL_CITATION {"citationItems":[{"id":"ITEM-1","itemData":{"DOI":"10.1016/j.frl.2022.103066","ISSN":"15446123","abstract":"We evaluate the transmission of returns and volatility in the universe of commodities around the war in Ukraine. The total volatility spillover increases from 35% to 85%, exceeding the level seen during the pandemic. The role of commodities changes in both return and volatility spillover systems. Crude oil becomes a net transmitter of return spillovers whereas wheat and soybeans become net receivers of return spillovers. Silver, gold, copper, platinum, aluminium, and sugar become net transmitters of volatility. Geopolitical risk Granger causes the spillover indices. High levels of return and volatility spillovers are associated with high levels of geopolitical risk.","author":[{"dropping-particle":"","family":"Wang","given":"Yihan","non-dropping-particle":"","parse-names":false,"suffix":""},{"dropping-particle":"","family":"Bouri","given":"Elie","non-dropping-particle":"","parse-names":false,"suffix":""},{"dropping-particle":"","family":"Fareed","given":"Zeeshan","non-dropping-particle":"","parse-names":false,"suffix":""},{"dropping-particle":"","family":"Dai","given":"Yuhui","non-dropping-particle":"","parse-names":false,"suffix":""}],"container-title":"Finance Research Letters","id":"ITEM-1","issued":{"date-parts":[["2022","10"]]},"page":"103066-103094","title":"Geopolitical risk and the systemic risk in the commodity markets under the war in Ukraine","type":"article-journal","volume":"49"},"uris":["http://www.mendeley.com/documents/?uuid=6eaeb233-5f76-4cec-a115-3189f53f18ea"]}],"mendeley":{"formattedCitation":"(Y. Wang et al., 2022)","manualFormatting":"(Wang et al., 2022)","plainTextFormattedCitation":"(Y. Wang et al., 2022)","previouslyFormattedCitation":"(Y. Wang et al., 2022)"},"properties":{"noteIndex":0},"schema":"https://github.com/citation-style-language/schema/raw/master/csl-citation.json"}</w:instrText>
      </w:r>
      <w:r w:rsidRPr="00B7499B">
        <w:rPr>
          <w:rFonts w:asciiTheme="minorHAnsi" w:hAnsiTheme="minorHAnsi" w:cstheme="minorHAnsi"/>
          <w:lang w:val="id-ID"/>
        </w:rPr>
        <w:fldChar w:fldCharType="separate"/>
      </w:r>
      <w:r w:rsidRPr="00B7499B">
        <w:rPr>
          <w:rFonts w:asciiTheme="minorHAnsi" w:hAnsiTheme="minorHAnsi" w:cstheme="minorHAnsi"/>
          <w:noProof/>
          <w:lang w:val="id-ID"/>
        </w:rPr>
        <w:t>(Wang et al., 2022)</w:t>
      </w:r>
      <w:r w:rsidRPr="00B7499B">
        <w:rPr>
          <w:rFonts w:asciiTheme="minorHAnsi" w:hAnsiTheme="minorHAnsi" w:cstheme="minorHAnsi"/>
          <w:lang w:val="id-ID"/>
        </w:rPr>
        <w:fldChar w:fldCharType="end"/>
      </w:r>
      <w:r w:rsidRPr="00B7499B">
        <w:rPr>
          <w:rFonts w:asciiTheme="minorHAnsi" w:hAnsiTheme="minorHAnsi" w:cstheme="minorHAnsi"/>
          <w:lang w:val="id-ID"/>
        </w:rPr>
        <w:t>.</w:t>
      </w:r>
    </w:p>
    <w:p w14:paraId="1AA94A02" w14:textId="61C3276B" w:rsidR="00B7499B" w:rsidRPr="00B7499B" w:rsidRDefault="00B7499B" w:rsidP="00B7499B">
      <w:pPr>
        <w:spacing w:after="0" w:line="240" w:lineRule="auto"/>
        <w:jc w:val="both"/>
        <w:rPr>
          <w:rFonts w:asciiTheme="minorHAnsi" w:hAnsiTheme="minorHAnsi" w:cstheme="minorHAnsi"/>
          <w:b/>
          <w:bCs/>
          <w:lang w:val="id-ID"/>
        </w:rPr>
      </w:pPr>
      <w:r w:rsidRPr="00B7499B">
        <w:rPr>
          <w:rFonts w:asciiTheme="minorHAnsi" w:hAnsiTheme="minorHAnsi" w:cstheme="minorHAnsi"/>
          <w:b/>
          <w:bCs/>
          <w:lang w:val="id-ID"/>
        </w:rPr>
        <w:t>US Dollar Index</w:t>
      </w:r>
    </w:p>
    <w:p w14:paraId="538D7050" w14:textId="146877EB" w:rsidR="00B7499B" w:rsidRDefault="00B7499B" w:rsidP="00B7499B">
      <w:pPr>
        <w:pStyle w:val="DaftarParagraf"/>
        <w:spacing w:after="240" w:line="240" w:lineRule="auto"/>
        <w:ind w:left="0" w:firstLine="284"/>
        <w:jc w:val="both"/>
        <w:rPr>
          <w:rFonts w:asciiTheme="minorHAnsi" w:hAnsiTheme="minorHAnsi" w:cstheme="minorHAnsi"/>
          <w:lang w:val="id-ID"/>
        </w:rPr>
      </w:pPr>
      <w:r w:rsidRPr="00B7499B">
        <w:rPr>
          <w:rFonts w:asciiTheme="minorHAnsi" w:hAnsiTheme="minorHAnsi" w:cstheme="minorHAnsi"/>
          <w:lang w:val="id-ID"/>
        </w:rPr>
        <w:t xml:space="preserve">The US Dollar Index is a statistical measure that measures the value of the US dollar against six currencies that serve as comprehensive indicators of changes in the US dollar exchange rate in the international foreign exchange market </w:t>
      </w:r>
      <w:r w:rsidRPr="00B7499B">
        <w:rPr>
          <w:rFonts w:asciiTheme="minorHAnsi" w:hAnsiTheme="minorHAnsi" w:cstheme="minorHAnsi"/>
          <w:lang w:val="id-ID"/>
        </w:rPr>
        <w:fldChar w:fldCharType="begin" w:fldLock="1"/>
      </w:r>
      <w:r w:rsidRPr="00B7499B">
        <w:rPr>
          <w:rFonts w:asciiTheme="minorHAnsi" w:hAnsiTheme="minorHAnsi" w:cstheme="minorHAnsi"/>
          <w:lang w:val="id-ID"/>
        </w:rPr>
        <w:instrText>ADDIN CSL_CITATION {"citationItems":[{"id":"ITEM-1","itemData":{"DOI":"10.56028/aemr.7.1.129.2023","ISSN":"2790-1661","abstract":"Dollar index, dollar interest rate, and dollar circulation are the three important indicators to study the change of the dollar exchange rate, and they have a close relationship among the three. The dollar interest rate is positively correlated with the dollar index. In general, the US interest rate falls and the dollar index weakens; the US interest rate rises and the dollar index prefers trends. While the dollar circulation shows a negative correlation with the DOLLAR index. If the dollar circulation increases and the dollar depreci, the DOLLAR index will be relatively reduced, which also means that a large amount of capital overflow to foreign countries. This paper will use the TVP-VAR model to explore the correlation between the DOLLAR index, dollar interest rate and dollar circulation from the perspective of empirical analysis, and analyze it based on the impulse response diagram, and finally make a summary of the empirical results, hoping to draw some scientific and valuable conclusions.","author":[{"dropping-particle":"","family":"Li","given":"Yuelin","non-dropping-particle":"","parse-names":false,"suffix":""}],"container-title":"Advances in Economics and Management Research","id":"ITEM-1","issue":"1","issued":{"date-parts":[["2023","7","28"]]},"page":"129-136","title":"The Dollar index, the correlation between the dollar circulation and the Dollar interest rate ——— Based on TVP-VAR, an empirical analysis of the modelr","type":"article-journal","volume":"7"},"uris":["http://www.mendeley.com/documents/?uuid=114ef40c-1696-4e8c-b990-41273eb8b24e"]}],"mendeley":{"formattedCitation":"(Li, 2023)","plainTextFormattedCitation":"(Li, 2023)","previouslyFormattedCitation":"(Li, 2023)"},"properties":{"noteIndex":0},"schema":"https://github.com/citation-style-language/schema/raw/master/csl-citation.json"}</w:instrText>
      </w:r>
      <w:r w:rsidRPr="00B7499B">
        <w:rPr>
          <w:rFonts w:asciiTheme="minorHAnsi" w:hAnsiTheme="minorHAnsi" w:cstheme="minorHAnsi"/>
          <w:lang w:val="id-ID"/>
        </w:rPr>
        <w:fldChar w:fldCharType="separate"/>
      </w:r>
      <w:r w:rsidRPr="00B7499B">
        <w:rPr>
          <w:rFonts w:asciiTheme="minorHAnsi" w:hAnsiTheme="minorHAnsi" w:cstheme="minorHAnsi"/>
          <w:noProof/>
          <w:lang w:val="id-ID"/>
        </w:rPr>
        <w:t>(Li, 2023)</w:t>
      </w:r>
      <w:r w:rsidRPr="00B7499B">
        <w:rPr>
          <w:rFonts w:asciiTheme="minorHAnsi" w:hAnsiTheme="minorHAnsi" w:cstheme="minorHAnsi"/>
          <w:lang w:val="id-ID"/>
        </w:rPr>
        <w:fldChar w:fldCharType="end"/>
      </w:r>
      <w:r w:rsidRPr="00B7499B">
        <w:rPr>
          <w:rFonts w:asciiTheme="minorHAnsi" w:hAnsiTheme="minorHAnsi" w:cstheme="minorHAnsi"/>
          <w:lang w:val="id-ID"/>
        </w:rPr>
        <w:t xml:space="preserve">. The six currencies include the Euro, Japanese Yen, Canadian Dollar, Pound Sterling, Swedish Krona, and Swiss Franch. </w:t>
      </w:r>
    </w:p>
    <w:p w14:paraId="7E8E48B9" w14:textId="4279BE7C" w:rsidR="00B7499B" w:rsidRPr="00B7499B" w:rsidRDefault="00B7499B" w:rsidP="00B7499B">
      <w:pPr>
        <w:spacing w:after="0" w:line="240" w:lineRule="auto"/>
        <w:jc w:val="both"/>
        <w:rPr>
          <w:rFonts w:asciiTheme="minorHAnsi" w:hAnsiTheme="minorHAnsi" w:cstheme="minorHAnsi"/>
          <w:lang w:val="id-ID"/>
        </w:rPr>
      </w:pPr>
      <w:r w:rsidRPr="00B7499B">
        <w:rPr>
          <w:rFonts w:asciiTheme="minorHAnsi" w:hAnsiTheme="minorHAnsi" w:cstheme="minorHAnsi"/>
          <w:b/>
          <w:bCs/>
          <w:lang w:val="id-ID"/>
        </w:rPr>
        <w:t xml:space="preserve">Gold Price and Stock Market Volatility </w:t>
      </w:r>
    </w:p>
    <w:p w14:paraId="038E7BED" w14:textId="30F596B8" w:rsidR="00B7499B" w:rsidRDefault="00B7499B" w:rsidP="00527B37">
      <w:pPr>
        <w:pStyle w:val="DaftarParagraf"/>
        <w:spacing w:line="240" w:lineRule="auto"/>
        <w:ind w:left="0" w:firstLine="284"/>
        <w:jc w:val="both"/>
        <w:rPr>
          <w:rFonts w:asciiTheme="minorHAnsi" w:hAnsiTheme="minorHAnsi" w:cstheme="minorHAnsi"/>
          <w:lang w:val="id-ID"/>
        </w:rPr>
      </w:pPr>
      <w:r w:rsidRPr="00B7499B">
        <w:rPr>
          <w:rFonts w:asciiTheme="minorHAnsi" w:hAnsiTheme="minorHAnsi" w:cstheme="minorHAnsi"/>
          <w:lang w:val="id-ID"/>
        </w:rPr>
        <w:t xml:space="preserve">Specifically, research on the correlation between stock and commodity markets during the financial crisis is particularly relevant as both market indices are fundamentally connected to the economy </w:t>
      </w:r>
      <w:r w:rsidRPr="00B7499B">
        <w:rPr>
          <w:rFonts w:asciiTheme="minorHAnsi" w:hAnsiTheme="minorHAnsi" w:cstheme="minorHAnsi"/>
          <w:lang w:val="id-ID"/>
        </w:rPr>
        <w:fldChar w:fldCharType="begin" w:fldLock="1"/>
      </w:r>
      <w:r w:rsidRPr="00B7499B">
        <w:rPr>
          <w:rFonts w:asciiTheme="minorHAnsi" w:hAnsiTheme="minorHAnsi" w:cstheme="minorHAnsi"/>
          <w:lang w:val="id-ID"/>
        </w:rPr>
        <w:instrText>ADDIN CSL_CITATION {"citationItems":[{"id":"ITEM-1","itemData":{"DOI":"10.11648/j.jfa.20190701.12","ISSN":"2330-7331","author":[{"dropping-particle":"","family":"Cao","given":"Wei","non-dropping-particle":"","parse-names":false,"suffix":""},{"dropping-particle":"","family":"He","given":"Tingting","non-dropping-particle":"","parse-names":false,"suffix":""}],"container-title":"Journal of Finance and Accounting","id":"ITEM-1","issue":"1","issued":{"date-parts":[["2019"]]},"page":"9-16","title":"Predictability of financial crisis via pair coupling of commodity market and stock market","type":"article-journal","volume":"7"},"uris":["http://www.mendeley.com/documents/?uuid=d2169e42-01ef-44f5-9056-2590aedd635c"]}],"mendeley":{"formattedCitation":"(W. Cao &amp; He, 2019)","manualFormatting":"(Cao &amp; He, 2019)","plainTextFormattedCitation":"(W. Cao &amp; He, 2019)","previouslyFormattedCitation":"(W. Cao &amp; He, 2019)"},"properties":{"noteIndex":0},"schema":"https://github.com/citation-style-language/schema/raw/master/csl-citation.json"}</w:instrText>
      </w:r>
      <w:r w:rsidRPr="00B7499B">
        <w:rPr>
          <w:rFonts w:asciiTheme="minorHAnsi" w:hAnsiTheme="minorHAnsi" w:cstheme="minorHAnsi"/>
          <w:lang w:val="id-ID"/>
        </w:rPr>
        <w:fldChar w:fldCharType="separate"/>
      </w:r>
      <w:r w:rsidRPr="00B7499B">
        <w:rPr>
          <w:rFonts w:asciiTheme="minorHAnsi" w:hAnsiTheme="minorHAnsi" w:cstheme="minorHAnsi"/>
          <w:noProof/>
          <w:lang w:val="id-ID"/>
        </w:rPr>
        <w:t>(Cao &amp; He, 2019)</w:t>
      </w:r>
      <w:r w:rsidRPr="00B7499B">
        <w:rPr>
          <w:rFonts w:asciiTheme="minorHAnsi" w:hAnsiTheme="minorHAnsi" w:cstheme="minorHAnsi"/>
          <w:lang w:val="id-ID"/>
        </w:rPr>
        <w:fldChar w:fldCharType="end"/>
      </w:r>
      <w:r w:rsidRPr="00B7499B">
        <w:rPr>
          <w:rFonts w:asciiTheme="minorHAnsi" w:hAnsiTheme="minorHAnsi" w:cstheme="minorHAnsi"/>
          <w:lang w:val="id-ID"/>
        </w:rPr>
        <w:t xml:space="preserve">. Allocating investments to the commodities market, especially gold, is a strategy to reduce overall portfolio risk. </w:t>
      </w:r>
      <w:r w:rsidRPr="00B7499B">
        <w:rPr>
          <w:rStyle w:val="y2iqfc"/>
          <w:rFonts w:asciiTheme="minorHAnsi" w:hAnsiTheme="minorHAnsi" w:cstheme="minorHAnsi"/>
        </w:rPr>
        <w:t>Gold is a highly liquid, low-risk currency and commodity, making it a popular hedging tool</w:t>
      </w:r>
      <w:r w:rsidRPr="00B7499B">
        <w:rPr>
          <w:rFonts w:asciiTheme="minorHAnsi" w:hAnsiTheme="minorHAnsi" w:cstheme="minorHAnsi"/>
          <w:lang w:val="id-ID"/>
        </w:rPr>
        <w:t xml:space="preserve"> </w:t>
      </w:r>
      <w:r w:rsidRPr="00B7499B">
        <w:rPr>
          <w:rFonts w:asciiTheme="minorHAnsi" w:hAnsiTheme="minorHAnsi" w:cstheme="minorHAnsi"/>
          <w:lang w:val="id-ID"/>
        </w:rPr>
        <w:fldChar w:fldCharType="begin" w:fldLock="1"/>
      </w:r>
      <w:r w:rsidRPr="00B7499B">
        <w:rPr>
          <w:rFonts w:asciiTheme="minorHAnsi" w:hAnsiTheme="minorHAnsi" w:cstheme="minorHAnsi"/>
          <w:lang w:val="id-ID"/>
        </w:rPr>
        <w:instrText>ADDIN CSL_CITATION {"citationItems":[{"id":"ITEM-1","itemData":{"DOI":"10.1016/j.jmse.2021.02.011","ISSN":"25895532","abstract":"Gold has multiple attributes and its price is affected by various factors in the market. This paper studies the dynamic relationship between the gold price returns and its affecting factors. Then we use the STL-ETS, neural network and Bayesian structural time series model to predict the gold price returns, and compare their performance with the benchmark models. The results show that the shocks of crude oil returns and VIX have the positive effect on gold price returns, the shocks of the US dollar index have the negative effect on gold price returns. And the fluctuation of gold price returns mainly depends on crude oil price returns shocks. STL-ETS model can accurately fit the fluctuation trend of the gold price returns and improve prediction accuracy.","author":[{"dropping-particle":"","family":"Chai","given":"Jian","non-dropping-particle":"","parse-names":false,"suffix":""},{"dropping-particle":"","family":"Zhao","given":"Chenyu","non-dropping-particle":"","parse-names":false,"suffix":""},{"dropping-particle":"","family":"Hu","given":"Yi","non-dropping-particle":"","parse-names":false,"suffix":""},{"dropping-particle":"","family":"Zhang","given":"Zhe George","non-dropping-particle":"","parse-names":false,"suffix":""}],"container-title":"Journal of Management Science and Engineering","id":"ITEM-1","issue":"2","issued":{"date-parts":[["2021"]]},"page":"135-145","title":"Structural analysis and forecast of gold price returns","type":"article-journal","volume":"6"},"uris":["http://www.mendeley.com/documents/?uuid=6a9da49b-71ce-46f6-b622-d2e919b541d3"]}],"mendeley":{"formattedCitation":"(Chai et al., 2021)","plainTextFormattedCitation":"(Chai et al., 2021)","previouslyFormattedCitation":"(Chai et al., 2021)"},"properties":{"noteIndex":0},"schema":"https://github.com/citation-style-language/schema/raw/master/csl-citation.json"}</w:instrText>
      </w:r>
      <w:r w:rsidRPr="00B7499B">
        <w:rPr>
          <w:rFonts w:asciiTheme="minorHAnsi" w:hAnsiTheme="minorHAnsi" w:cstheme="minorHAnsi"/>
          <w:lang w:val="id-ID"/>
        </w:rPr>
        <w:fldChar w:fldCharType="separate"/>
      </w:r>
      <w:r w:rsidRPr="00B7499B">
        <w:rPr>
          <w:rFonts w:asciiTheme="minorHAnsi" w:hAnsiTheme="minorHAnsi" w:cstheme="minorHAnsi"/>
          <w:noProof/>
          <w:lang w:val="id-ID"/>
        </w:rPr>
        <w:t>(Chai et al., 2021)</w:t>
      </w:r>
      <w:r w:rsidRPr="00B7499B">
        <w:rPr>
          <w:rFonts w:asciiTheme="minorHAnsi" w:hAnsiTheme="minorHAnsi" w:cstheme="minorHAnsi"/>
          <w:lang w:val="id-ID"/>
        </w:rPr>
        <w:fldChar w:fldCharType="end"/>
      </w:r>
      <w:r w:rsidRPr="00B7499B">
        <w:rPr>
          <w:rFonts w:asciiTheme="minorHAnsi" w:hAnsiTheme="minorHAnsi" w:cstheme="minorHAnsi"/>
          <w:lang w:val="id-ID"/>
        </w:rPr>
        <w:t xml:space="preserve">. Therefore, investors will flock to the commodity market when the stock market becomes risky. </w:t>
      </w:r>
      <w:r w:rsidRPr="00B7499B">
        <w:rPr>
          <w:rFonts w:asciiTheme="minorHAnsi" w:hAnsiTheme="minorHAnsi" w:cstheme="minorHAnsi"/>
          <w:lang w:val="id-ID"/>
        </w:rPr>
        <w:fldChar w:fldCharType="begin" w:fldLock="1"/>
      </w:r>
      <w:r w:rsidRPr="00B7499B">
        <w:rPr>
          <w:rFonts w:asciiTheme="minorHAnsi" w:hAnsiTheme="minorHAnsi" w:cstheme="minorHAnsi"/>
          <w:lang w:val="id-ID"/>
        </w:rPr>
        <w:instrText>ADDIN CSL_CITATION {"citationItems":[{"id":"ITEM-1","itemData":{"DOI":"10.2478/mmcks-2023-0016","ISSN":"20698887","abstract":"The study aims to investigate capital market volatility during crises, exploring the relationships between three key financial indicators: oil prices, the VIX index, and gold prices, using monthly data covering the period from January 2013 to May 2023, based on the Granger causality approach and the impulse response function testing empirically the existence of the long-run relationship using Johansen multivariate approach and the estimation of the VAR/VECM model. By analysing their interdependencies, the research sheds light on how these indicators respond to economic turbulence. The study employs robust econometric methods to investigate causal relationships and predictive patterns, providing valuable insights for investors, policymakers, and analysts navigating uncertain financial landscapes. The findings reveal nuanced dynamics, such as the momentum in oil prices, the inverse relationship between oil prices and the VIX index, and a significant Granger causality relationship running from the VIX index to oil and gold prices. Furthermore, based on the impulse response patterns, the shock in the VIX index caused a notable oil price decrease in the second quarter after the shock, followed by oscillations. Gold prices exhibit a minor initial decline after the VIX shock, with no lasting effects.","author":[{"dropping-particle":"","family":"Hapau","given":"Razvan Gabriel","non-dropping-particle":"","parse-names":false,"suffix":""}],"container-title":"Management and Marketing","id":"ITEM-1","issue":"3","issued":{"date-parts":[["2023"]]},"page":"290-314","title":"Capital market volatility during crises: oil price insights, VIX index, and gold price analysis","type":"article-journal","volume":"18"},"uris":["http://www.mendeley.com/documents/?uuid=1e5d9fd8-cb55-49e1-83fa-76d7d6ebd28e"]}],"mendeley":{"formattedCitation":"(Hapau, 2023)","manualFormatting":"Hapau (2023)","plainTextFormattedCitation":"(Hapau, 2023)","previouslyFormattedCitation":"(Hapau, 2023)"},"properties":{"noteIndex":0},"schema":"https://github.com/citation-style-language/schema/raw/master/csl-citation.json"}</w:instrText>
      </w:r>
      <w:r w:rsidRPr="00B7499B">
        <w:rPr>
          <w:rFonts w:asciiTheme="minorHAnsi" w:hAnsiTheme="minorHAnsi" w:cstheme="minorHAnsi"/>
          <w:lang w:val="id-ID"/>
        </w:rPr>
        <w:fldChar w:fldCharType="separate"/>
      </w:r>
      <w:r w:rsidRPr="00B7499B">
        <w:rPr>
          <w:rFonts w:asciiTheme="minorHAnsi" w:hAnsiTheme="minorHAnsi" w:cstheme="minorHAnsi"/>
          <w:noProof/>
          <w:lang w:val="id-ID"/>
        </w:rPr>
        <w:t>Hapau (2023)</w:t>
      </w:r>
      <w:r w:rsidRPr="00B7499B">
        <w:rPr>
          <w:rFonts w:asciiTheme="minorHAnsi" w:hAnsiTheme="minorHAnsi" w:cstheme="minorHAnsi"/>
          <w:lang w:val="id-ID"/>
        </w:rPr>
        <w:fldChar w:fldCharType="end"/>
      </w:r>
      <w:r w:rsidRPr="00B7499B">
        <w:rPr>
          <w:rFonts w:asciiTheme="minorHAnsi" w:hAnsiTheme="minorHAnsi" w:cstheme="minorHAnsi"/>
          <w:lang w:val="id-ID"/>
        </w:rPr>
        <w:t xml:space="preserve"> suggests a positive relationship between gold and stocks due to the geopolitical crisis. Research by </w:t>
      </w:r>
      <w:r w:rsidRPr="00B7499B">
        <w:rPr>
          <w:rFonts w:asciiTheme="minorHAnsi" w:hAnsiTheme="minorHAnsi" w:cstheme="minorHAnsi"/>
          <w:lang w:val="id-ID"/>
        </w:rPr>
        <w:fldChar w:fldCharType="begin" w:fldLock="1"/>
      </w:r>
      <w:r w:rsidRPr="00B7499B">
        <w:rPr>
          <w:rFonts w:asciiTheme="minorHAnsi" w:hAnsiTheme="minorHAnsi" w:cstheme="minorHAnsi"/>
          <w:lang w:val="id-ID"/>
        </w:rPr>
        <w:instrText>ADDIN CSL_CITATION {"citationItems":[{"id":"ITEM-1","itemData":{"DOI":"10.1016/j.iref.2023.11.005","ISSN":"10590560","author":[{"dropping-particle":"","family":"Wang","given":"Jiashun","non-dropping-particle":"","parse-names":false,"suffix":""},{"dropping-particle":"","family":"Wang","given":"Jiqian","non-dropping-particle":"","parse-names":false,"suffix":""},{"dropping-particle":"","family":"Ma","given":"Feng","non-dropping-particle":"","parse-names":false,"suffix":""}],"container-title":"International Review of Economics &amp; Finance","id":"ITEM-1","issued":{"date-parts":[["2024"]]},"page":"62-71","publisher":"Elsevier Inc.","title":"International commodity market and stock volatility predictability: evidence from G7 countries","type":"article-journal","volume":"90"},"uris":["http://www.mendeley.com/documents/?uuid=c66815ed-bbbd-4353-ba10-e1933cbf21aa"]}],"mendeley":{"formattedCitation":"(J. Wang et al., 2024)","manualFormatting":"Wang et al. (2024)","plainTextFormattedCitation":"(J. Wang et al., 2024)","previouslyFormattedCitation":"(J. Wang et al., 2024)"},"properties":{"noteIndex":0},"schema":"https://github.com/citation-style-language/schema/raw/master/csl-citation.json"}</w:instrText>
      </w:r>
      <w:r w:rsidRPr="00B7499B">
        <w:rPr>
          <w:rFonts w:asciiTheme="minorHAnsi" w:hAnsiTheme="minorHAnsi" w:cstheme="minorHAnsi"/>
          <w:lang w:val="id-ID"/>
        </w:rPr>
        <w:fldChar w:fldCharType="separate"/>
      </w:r>
      <w:r w:rsidRPr="00B7499B">
        <w:rPr>
          <w:rFonts w:asciiTheme="minorHAnsi" w:hAnsiTheme="minorHAnsi" w:cstheme="minorHAnsi"/>
          <w:noProof/>
          <w:lang w:val="id-ID"/>
        </w:rPr>
        <w:t>Wang et al. (2024)</w:t>
      </w:r>
      <w:r w:rsidRPr="00B7499B">
        <w:rPr>
          <w:rFonts w:asciiTheme="minorHAnsi" w:hAnsiTheme="minorHAnsi" w:cstheme="minorHAnsi"/>
          <w:lang w:val="id-ID"/>
        </w:rPr>
        <w:fldChar w:fldCharType="end"/>
      </w:r>
      <w:r w:rsidRPr="00B7499B">
        <w:rPr>
          <w:rFonts w:asciiTheme="minorHAnsi" w:hAnsiTheme="minorHAnsi" w:cstheme="minorHAnsi"/>
          <w:lang w:val="id-ID"/>
        </w:rPr>
        <w:t xml:space="preserve"> found that gold prices have a relationship with stock volatility in G7 countries. To reinforce this, </w:t>
      </w:r>
      <w:r w:rsidRPr="00B7499B">
        <w:rPr>
          <w:rFonts w:asciiTheme="minorHAnsi" w:hAnsiTheme="minorHAnsi" w:cstheme="minorHAnsi"/>
          <w:shd w:val="clear" w:color="auto" w:fill="FFFFFF"/>
          <w:lang w:val="id-ID"/>
        </w:rPr>
        <w:fldChar w:fldCharType="begin" w:fldLock="1"/>
      </w:r>
      <w:r w:rsidRPr="00B7499B">
        <w:rPr>
          <w:rFonts w:asciiTheme="minorHAnsi" w:hAnsiTheme="minorHAnsi" w:cstheme="minorHAnsi"/>
          <w:shd w:val="clear" w:color="auto" w:fill="FFFFFF"/>
          <w:lang w:val="id-ID"/>
        </w:rPr>
        <w:instrText>ADDIN CSL_CITATION {"citationItems":[{"id":"ITEM-1","itemData":{"DOI":"10.3390/math8010120","ISSN":"22277390","abstract":"This study aims to investigate the causality and dependence structure of gold shocks and Asian emerging stock markets. The positive and negative shocks of gold prices are quantified, and Granger causality-based Vector autoregressive and Copula approaches are employed to measure the causality and contagion effect, respectively, between the positive and negative gold shocks and Asian emerging stock markets' volatilities. In addition, the nonlinear link between gold and stock markets is of concern and this motivates us to propose a Smooth Transition Dynamic Copula that allows for the structural change in time-varying dependence between gold shocks and Asian stock markets' volatilities. Several Copula families are also considered, and the best-fit Copula model is used to explain the correlation or contagion effects. The findings of the study show that there is some significant causality between gold shocks and Asian stock markets' volatilities in some parts of the sample period. We also observe a stronger correlation during the global financial crisis when compared to the pre-and post-crisis periods. In addition, the tail dependence is found between Indian stock and negative gold shock and between Korean stock and negative gold shock, which indicated the existence of the risk contagion effects between gold and these two stock markets.","author":[{"dropping-particle":"","family":"Yamaka","given":"Woraphon","non-dropping-particle":"","parse-names":false,"suffix":""},{"dropping-particle":"","family":"Maneejuk","given":"Paravee","non-dropping-particle":"","parse-names":false,"suffix":""}],"container-title":"Mathematics","id":"ITEM-1","issue":"1","issued":{"date-parts":[["2020"]]},"page":"120-146","title":"Analyzing the causality and dependence between gold shocks and asian emerging stock markets: a smooth transition copula approach","type":"article-journal","volume":"8"},"uris":["http://www.mendeley.com/documents/?uuid=4c518e79-5800-47fa-926f-1a0a02cb9f1a"]}],"mendeley":{"formattedCitation":"(Yamaka &amp; Maneejuk, 2020)","manualFormatting":"Yamaka dan Maneejuk (2020)","plainTextFormattedCitation":"(Yamaka &amp; Maneejuk, 2020)","previouslyFormattedCitation":"(Yamaka &amp; Maneejuk, 2020)"},"properties":{"noteIndex":0},"schema":"https://github.com/citation-style-language/schema/raw/master/csl-citation.json"}</w:instrText>
      </w:r>
      <w:r w:rsidRPr="00B7499B">
        <w:rPr>
          <w:rFonts w:asciiTheme="minorHAnsi" w:hAnsiTheme="minorHAnsi" w:cstheme="minorHAnsi"/>
          <w:shd w:val="clear" w:color="auto" w:fill="FFFFFF"/>
          <w:lang w:val="id-ID"/>
        </w:rPr>
        <w:fldChar w:fldCharType="separate"/>
      </w:r>
      <w:r w:rsidRPr="00B7499B">
        <w:rPr>
          <w:rFonts w:asciiTheme="minorHAnsi" w:hAnsiTheme="minorHAnsi" w:cstheme="minorHAnsi"/>
          <w:noProof/>
          <w:shd w:val="clear" w:color="auto" w:fill="FFFFFF"/>
          <w:lang w:val="id-ID"/>
        </w:rPr>
        <w:t>Yamaka dan Maneejuk (2020)</w:t>
      </w:r>
      <w:r w:rsidRPr="00B7499B">
        <w:rPr>
          <w:rFonts w:asciiTheme="minorHAnsi" w:hAnsiTheme="minorHAnsi" w:cstheme="minorHAnsi"/>
          <w:shd w:val="clear" w:color="auto" w:fill="FFFFFF"/>
          <w:lang w:val="id-ID"/>
        </w:rPr>
        <w:fldChar w:fldCharType="end"/>
      </w:r>
      <w:r w:rsidRPr="00B7499B">
        <w:rPr>
          <w:rFonts w:asciiTheme="minorHAnsi" w:hAnsiTheme="minorHAnsi" w:cstheme="minorHAnsi"/>
          <w:shd w:val="clear" w:color="auto" w:fill="FFFFFF"/>
          <w:lang w:val="id-ID"/>
        </w:rPr>
        <w:t xml:space="preserve"> mentioned that the stock price volatility of several developing Asian countries, such as China, India, Indonesia, Korea, Saudi Arabia, Qatar, Thailand, and Vietnam, positively impacts gold prices. Thus, it can be concluded that an increase in volatility in the stock market will likely increase gold prices. </w:t>
      </w:r>
    </w:p>
    <w:p w14:paraId="78E034AC" w14:textId="1B4A1182" w:rsidR="00B7499B" w:rsidRPr="00B7499B" w:rsidRDefault="00B7499B" w:rsidP="00B7499B">
      <w:pPr>
        <w:tabs>
          <w:tab w:val="left" w:pos="540"/>
          <w:tab w:val="left" w:pos="1170"/>
        </w:tabs>
        <w:spacing w:after="0" w:line="240" w:lineRule="auto"/>
        <w:jc w:val="both"/>
        <w:rPr>
          <w:rFonts w:asciiTheme="minorHAnsi" w:hAnsiTheme="minorHAnsi" w:cstheme="minorHAnsi"/>
          <w:lang w:val="id-ID"/>
        </w:rPr>
      </w:pPr>
      <w:r w:rsidRPr="00B7499B">
        <w:rPr>
          <w:rFonts w:asciiTheme="minorHAnsi" w:hAnsiTheme="minorHAnsi" w:cstheme="minorHAnsi"/>
          <w:b/>
          <w:bCs/>
          <w:lang w:val="id-ID"/>
        </w:rPr>
        <w:t>US Dollar Index and Stock Market Volatility</w:t>
      </w:r>
    </w:p>
    <w:p w14:paraId="2EE1987A" w14:textId="37A3521E" w:rsidR="00AB6FD2" w:rsidRDefault="00B7499B" w:rsidP="00527B37">
      <w:pPr>
        <w:pStyle w:val="DaftarParagraf"/>
        <w:spacing w:after="240" w:line="240" w:lineRule="auto"/>
        <w:ind w:left="0" w:firstLine="284"/>
        <w:jc w:val="both"/>
        <w:rPr>
          <w:rFonts w:asciiTheme="minorHAnsi" w:hAnsiTheme="minorHAnsi" w:cstheme="minorHAnsi"/>
          <w:lang w:val="id-ID"/>
        </w:rPr>
      </w:pPr>
      <w:r w:rsidRPr="00B7499B">
        <w:rPr>
          <w:rFonts w:asciiTheme="minorHAnsi" w:hAnsiTheme="minorHAnsi" w:cstheme="minorHAnsi"/>
          <w:lang w:val="id-ID"/>
        </w:rPr>
        <w:t xml:space="preserve">The US dollar is the world's reserve currency that facilitates world trade </w:t>
      </w:r>
      <w:r w:rsidRPr="00B7499B">
        <w:rPr>
          <w:rFonts w:asciiTheme="minorHAnsi" w:hAnsiTheme="minorHAnsi" w:cstheme="minorHAnsi"/>
          <w:lang w:val="id-ID"/>
        </w:rPr>
        <w:fldChar w:fldCharType="begin" w:fldLock="1"/>
      </w:r>
      <w:r w:rsidRPr="00B7499B">
        <w:rPr>
          <w:rFonts w:asciiTheme="minorHAnsi" w:hAnsiTheme="minorHAnsi" w:cstheme="minorHAnsi"/>
          <w:lang w:val="id-ID"/>
        </w:rPr>
        <w:instrText>ADDIN CSL_CITATION {"citationItems":[{"id":"ITEM-1","itemData":{"DOI":"10.2478/picbe-2023-0027","abstract":"The aim of this study is to compare and contrast the volatility of different asset classes namely Bitcoin, gold and crude oil against the US dollar, using the symmetric GARCH (1,1) model. Furthermore, this study examines which of the three assets provide the lowest volatility and identifies if the univariate GARCH (1,1) model can suitably forecast the volatility of the foreign exchange market, commodity market and cryptocurrency market. More specifically, this study uses only estimates from a symmetric GARCH model for the XAU/USD, WTI/USD and BTC/USD financial assets. Although the literature on the volatility of different assets is extensive, it neglects to detect the severe economic recession that is approaching. Considering that powerful nations purchased substantial quantities of gold in order to back their national currency, supremacy of the US dollar is under significant attack. Experts in international relations have claimed that it is essential to have a single, extremely influential national economy to exhibit stability and operate smoothly. Specifically, the international monetary system functioned under the theory of hegemonic stability. Given the fact that gold still remains the safe haven asset during periods of financial and economic distress, central banks are purchasing gold at a rapid pace with Russia and China leading the way. Furthermore, the demand for precious metals has also increased while the US dollar is struggling to keep its supremacy as BRICS reserve currency is seeking to replace it in the future. The daily data encompassing the necessary information for February 2012 - February 2020 is acquired from “Investing.com”, reaching 7193 observations. This study will enrich the literature associated with volatility forecasting of different asset classes during financial and economic turmoil while also raising awareness of the economic threats that could follow.","author":[{"dropping-particle":"","family":"Darie","given":"Flavius Cosmin","non-dropping-particle":"","parse-names":false,"suffix":""},{"dropping-particle":"","family":"Miron","given":"Alexandra Dorina","non-dropping-particle":"","parse-names":false,"suffix":""}],"container-title":"Proceedings of the International Conference on Business Excellence","id":"ITEM-1","issue":"1","issued":{"date-parts":[["2023"]]},"page":"254-265","title":"Bitcoin, gold and crude oil versus the US Dollar – a GARCH volatility analysis","type":"article-journal","volume":"17"},"uris":["http://www.mendeley.com/documents/?uuid=61bbba80-ae75-4005-8d07-75c198bdbae4"]}],"mendeley":{"formattedCitation":"(Darie &amp; Miron, 2023)","plainTextFormattedCitation":"(Darie &amp; Miron, 2023)","previouslyFormattedCitation":"(Darie &amp; Miron, 2023)"},"properties":{"noteIndex":0},"schema":"https://github.com/citation-style-language/schema/raw/master/csl-citation.json"}</w:instrText>
      </w:r>
      <w:r w:rsidRPr="00B7499B">
        <w:rPr>
          <w:rFonts w:asciiTheme="minorHAnsi" w:hAnsiTheme="minorHAnsi" w:cstheme="minorHAnsi"/>
          <w:lang w:val="id-ID"/>
        </w:rPr>
        <w:fldChar w:fldCharType="separate"/>
      </w:r>
      <w:r w:rsidRPr="00B7499B">
        <w:rPr>
          <w:rFonts w:asciiTheme="minorHAnsi" w:hAnsiTheme="minorHAnsi" w:cstheme="minorHAnsi"/>
          <w:noProof/>
          <w:lang w:val="id-ID"/>
        </w:rPr>
        <w:t>(Darie &amp; Miron, 2023)</w:t>
      </w:r>
      <w:r w:rsidRPr="00B7499B">
        <w:rPr>
          <w:rFonts w:asciiTheme="minorHAnsi" w:hAnsiTheme="minorHAnsi" w:cstheme="minorHAnsi"/>
          <w:lang w:val="id-ID"/>
        </w:rPr>
        <w:fldChar w:fldCharType="end"/>
      </w:r>
      <w:r w:rsidRPr="00B7499B">
        <w:rPr>
          <w:rFonts w:asciiTheme="minorHAnsi" w:hAnsiTheme="minorHAnsi" w:cstheme="minorHAnsi"/>
          <w:lang w:val="id-ID"/>
        </w:rPr>
        <w:t xml:space="preserve">. Investors interested in investing in dollars tend to monitor movements in the value of the US dollar by utilizing the US Dollar Index. The US Dollar Index is used to efficiently and accurately forecast the value of financial indicators so that maximum profit can be achieved </w:t>
      </w:r>
      <w:r w:rsidRPr="00B7499B">
        <w:rPr>
          <w:rFonts w:asciiTheme="minorHAnsi" w:hAnsiTheme="minorHAnsi" w:cstheme="minorHAnsi"/>
          <w:lang w:val="id-ID"/>
        </w:rPr>
        <w:fldChar w:fldCharType="begin" w:fldLock="1"/>
      </w:r>
      <w:r w:rsidRPr="00B7499B">
        <w:rPr>
          <w:rFonts w:asciiTheme="minorHAnsi" w:hAnsiTheme="minorHAnsi" w:cstheme="minorHAnsi"/>
          <w:lang w:val="id-ID"/>
        </w:rPr>
        <w:instrText>ADDIN CSL_CITATION {"citationItems":[{"id":"ITEM-1","itemData":{"DOI":"10.21533/pen.v10i2.2820","ISSN":"23034521","abstract":"The US dollar index is one of the most important measures to compare the value of the US dollar against a basket of foreign currencies. The strategic importance of this index lies in avoiding risks and fluctuations in the basket of major global currencies. It is known that the process of accurate prediction must take place after understanding the nature of the data of the phenomenon under study, and accordingly we can employ the most appropriate models to obtain the best predictive values. In this paper, we made a comparison between two models from the hybrid wavelet transform models, namely Wavelet-ARIMA and Wavelet-ES, by applying to data representing the weekly rates of the last price of the US dollar index from 2011 to 2022, in order to get the best predictive values for this indicator. The results of the comparison criteria AIC, RMSE and MAPE indicated the preference of the hybrid Wavelet-ARIMA model, which was used to predict the weekly rates of the index (USDX). These results indicated that there would be no significant changes or fluctuations during the next sixteen weeks, the weekly average of the index price will be ($96), the lowest predictive value of the index will be ($95.24), which will be recorded in the fourteenth week, and that the fifteenth week will record the highest predictive value of the index, as it will amount to ($96.31).","author":[{"dropping-particle":"","family":"Tahir","given":"Ahmed Shaker Mohammed","non-dropping-particle":"","parse-names":false,"suffix":""},{"dropping-particle":"","family":"Jassim","given":"Firas Monther","non-dropping-particle":"","parse-names":false,"suffix":""}],"container-title":"Periodicals of Engineering and Natural Sciences","id":"ITEM-1","issue":"2","issued":{"date-parts":[["2022"]]},"page":"219-230","title":"Comparison of the two hybrid models, Wavelet-ARIMA and Wavelet-ES, to predict the prices of the US Dollar index","type":"article-journal","volume":"10"},"uris":["http://www.mendeley.com/documents/?uuid=9d1b6084-6476-4ec3-85ea-badebf61b4fa"]}],"mendeley":{"formattedCitation":"(Tahir &amp; Jassim, 2022)","plainTextFormattedCitation":"(Tahir &amp; Jassim, 2022)","previouslyFormattedCitation":"(Tahir &amp; Jassim, 2022)"},"properties":{"noteIndex":0},"schema":"https://github.com/citation-style-language/schema/raw/master/csl-citation.json"}</w:instrText>
      </w:r>
      <w:r w:rsidRPr="00B7499B">
        <w:rPr>
          <w:rFonts w:asciiTheme="minorHAnsi" w:hAnsiTheme="minorHAnsi" w:cstheme="minorHAnsi"/>
          <w:lang w:val="id-ID"/>
        </w:rPr>
        <w:fldChar w:fldCharType="separate"/>
      </w:r>
      <w:r w:rsidRPr="00B7499B">
        <w:rPr>
          <w:rFonts w:asciiTheme="minorHAnsi" w:hAnsiTheme="minorHAnsi" w:cstheme="minorHAnsi"/>
          <w:noProof/>
          <w:lang w:val="id-ID"/>
        </w:rPr>
        <w:t>(Tahir &amp; Jassim, 2022)</w:t>
      </w:r>
      <w:r w:rsidRPr="00B7499B">
        <w:rPr>
          <w:rFonts w:asciiTheme="minorHAnsi" w:hAnsiTheme="minorHAnsi" w:cstheme="minorHAnsi"/>
          <w:lang w:val="id-ID"/>
        </w:rPr>
        <w:fldChar w:fldCharType="end"/>
      </w:r>
      <w:r w:rsidRPr="00B7499B">
        <w:rPr>
          <w:rFonts w:asciiTheme="minorHAnsi" w:hAnsiTheme="minorHAnsi" w:cstheme="minorHAnsi"/>
          <w:lang w:val="id-ID"/>
        </w:rPr>
        <w:t xml:space="preserve">. According to </w:t>
      </w:r>
      <w:r w:rsidRPr="00B7499B">
        <w:rPr>
          <w:rFonts w:asciiTheme="minorHAnsi" w:hAnsiTheme="minorHAnsi" w:cstheme="minorHAnsi"/>
          <w:lang w:val="id-ID"/>
        </w:rPr>
        <w:fldChar w:fldCharType="begin" w:fldLock="1"/>
      </w:r>
      <w:r w:rsidRPr="00B7499B">
        <w:rPr>
          <w:rFonts w:asciiTheme="minorHAnsi" w:hAnsiTheme="minorHAnsi" w:cstheme="minorHAnsi"/>
          <w:lang w:val="id-ID"/>
        </w:rPr>
        <w:instrText>ADDIN CSL_CITATION {"citationItems":[{"id":"ITEM-1","itemData":{"author":[{"dropping-particle":"","family":"Erek","given":"Mustafa Salim","non-dropping-particle":"","parse-names":false,"suffix":""}],"container-title":"Research Gate","id":"ITEM-1","issued":{"date-parts":[["2021"]]},"page":"191-201","title":"Examining US dollar Index ( DXY ) movements by examining US Dollar Index ( DXY ) movements by Monte Carlo simulation","type":"article-journal"},"uris":["http://www.mendeley.com/documents/?uuid=607f57cb-6c20-4659-b668-24205b077184"]}],"mendeley":{"formattedCitation":"(Erek, 2021)","manualFormatting":"Erek (2021)","plainTextFormattedCitation":"(Erek, 2021)","previouslyFormattedCitation":"(Erek, 2021)"},"properties":{"noteIndex":0},"schema":"https://github.com/citation-style-language/schema/raw/master/csl-citation.json"}</w:instrText>
      </w:r>
      <w:r w:rsidRPr="00B7499B">
        <w:rPr>
          <w:rFonts w:asciiTheme="minorHAnsi" w:hAnsiTheme="minorHAnsi" w:cstheme="minorHAnsi"/>
          <w:lang w:val="id-ID"/>
        </w:rPr>
        <w:fldChar w:fldCharType="separate"/>
      </w:r>
      <w:r w:rsidRPr="00B7499B">
        <w:rPr>
          <w:rFonts w:asciiTheme="minorHAnsi" w:hAnsiTheme="minorHAnsi" w:cstheme="minorHAnsi"/>
          <w:noProof/>
          <w:lang w:val="id-ID"/>
        </w:rPr>
        <w:t>Erek (2021)</w:t>
      </w:r>
      <w:r w:rsidRPr="00B7499B">
        <w:rPr>
          <w:rFonts w:asciiTheme="minorHAnsi" w:hAnsiTheme="minorHAnsi" w:cstheme="minorHAnsi"/>
          <w:lang w:val="id-ID"/>
        </w:rPr>
        <w:fldChar w:fldCharType="end"/>
      </w:r>
      <w:r w:rsidRPr="00B7499B">
        <w:rPr>
          <w:rFonts w:asciiTheme="minorHAnsi" w:hAnsiTheme="minorHAnsi" w:cstheme="minorHAnsi"/>
        </w:rPr>
        <w:t>,</w:t>
      </w:r>
      <w:r w:rsidRPr="00B7499B">
        <w:rPr>
          <w:rFonts w:asciiTheme="minorHAnsi" w:hAnsiTheme="minorHAnsi" w:cstheme="minorHAnsi"/>
          <w:lang w:val="id-ID"/>
        </w:rPr>
        <w:t xml:space="preserve"> there is a positive correlation between the value of the US Dollar Index and the level of stock market volatility. In line with this research, </w:t>
      </w:r>
      <w:r w:rsidRPr="00B7499B">
        <w:rPr>
          <w:rFonts w:asciiTheme="minorHAnsi" w:hAnsiTheme="minorHAnsi" w:cstheme="minorHAnsi"/>
          <w:color w:val="1F1F1F"/>
          <w:lang w:val="id-ID"/>
        </w:rPr>
        <w:fldChar w:fldCharType="begin" w:fldLock="1"/>
      </w:r>
      <w:r w:rsidRPr="00B7499B">
        <w:rPr>
          <w:rFonts w:asciiTheme="minorHAnsi" w:hAnsiTheme="minorHAnsi" w:cstheme="minorHAnsi"/>
          <w:color w:val="1F1F1F"/>
          <w:lang w:val="id-ID"/>
        </w:rPr>
        <w:instrText>ADDIN CSL_CITATION {"citationItems":[{"id":"ITEM-1","itemData":{"DOI":"10.1016/j.eap.2022.12.010","ISSN":"03135926","abstract":"This paper examines frequency dynamic spillovers in return and volatility and the hedging ability of Green Bonds, gold, silver, oil, the US dollar index, and volatility index against downside US stock prices before and during the COVID-19 pandemic outbreak and for the short and long run. To do so, we use the Diebold and Yilmaz (2014), the TVP-VAR model, and the frequency spillover index by Baruník and Křehlík (2018). We show that the short-term volatility spillovers dominate their long-term counterparts. Green Bond is net transmitters of spillovers in the system at the short term and net receivers at the long term. S&amp;P500 and silver (USDX and oil) are net transmitters (receivers) of short- and long-term spillovers. Gold and VIX are net receivers of short-term spillovers and net transmitters of long-term spillovers. COVID-19 crisis has more effects on the short-term spillover, which reaches its highest level early 2020. COVID-19 and time horizons lead the direction and the magnitude of spillovers. The Quantile-on-Quantile regression analysis shows significant nonlinear relationships between markets under study. More interestingly, we show that green bonds and gold are safe haven assets for US equity investors during COVID-19. On the other hand, a mixed portfolio offers higher diversification benefits. Finally, hedging effectiveness is dependent on COVID-19 and time horizon.","author":[{"dropping-particle":"","family":"Mensi","given":"Walid","non-dropping-particle":"","parse-names":false,"suffix":""},{"dropping-particle":"","family":"Vo","given":"Xuan Vinh","non-dropping-particle":"","parse-names":false,"suffix":""},{"dropping-particle":"","family":"Ko","given":"Hee Un","non-dropping-particle":"","parse-names":false,"suffix":""},{"dropping-particle":"","family":"Kang","given":"Sang Hoon","non-dropping-particle":"","parse-names":false,"suffix":""}],"container-title":"Economic Analysis and Policy","id":"ITEM-1","issued":{"date-parts":[["2023"]]},"page":"558-580","publisher":"Elsevier B.V.","title":"Frequency spillovers between green bonds, global factors and stock market before and during COVID-19 crisis","type":"article-journal","volume":"77"},"uris":["http://www.mendeley.com/documents/?uuid=8578ee2b-2040-4319-8623-697952d53029"]}],"mendeley":{"formattedCitation":"(Mensi et al., 2023)","manualFormatting":"Mensi et al. (2023)","plainTextFormattedCitation":"(Mensi et al., 2023)","previouslyFormattedCitation":"(Mensi et al., 2023)"},"properties":{"noteIndex":0},"schema":"https://github.com/citation-style-language/schema/raw/master/csl-citation.json"}</w:instrText>
      </w:r>
      <w:r w:rsidRPr="00B7499B">
        <w:rPr>
          <w:rFonts w:asciiTheme="minorHAnsi" w:hAnsiTheme="minorHAnsi" w:cstheme="minorHAnsi"/>
          <w:color w:val="1F1F1F"/>
          <w:lang w:val="id-ID"/>
        </w:rPr>
        <w:fldChar w:fldCharType="separate"/>
      </w:r>
      <w:r w:rsidRPr="00B7499B">
        <w:rPr>
          <w:rFonts w:asciiTheme="minorHAnsi" w:hAnsiTheme="minorHAnsi" w:cstheme="minorHAnsi"/>
          <w:noProof/>
          <w:color w:val="1F1F1F"/>
          <w:lang w:val="id-ID"/>
        </w:rPr>
        <w:t>Mensi et al. (2023)</w:t>
      </w:r>
      <w:r w:rsidRPr="00B7499B">
        <w:rPr>
          <w:rFonts w:asciiTheme="minorHAnsi" w:hAnsiTheme="minorHAnsi" w:cstheme="minorHAnsi"/>
          <w:color w:val="1F1F1F"/>
          <w:lang w:val="id-ID"/>
        </w:rPr>
        <w:fldChar w:fldCharType="end"/>
      </w:r>
      <w:r w:rsidRPr="00B7499B">
        <w:rPr>
          <w:rFonts w:asciiTheme="minorHAnsi" w:hAnsiTheme="minorHAnsi" w:cstheme="minorHAnsi"/>
          <w:color w:val="1F1F1F"/>
          <w:lang w:val="id-ID"/>
        </w:rPr>
        <w:t xml:space="preserve"> </w:t>
      </w:r>
      <w:r w:rsidRPr="00B7499B">
        <w:rPr>
          <w:rFonts w:asciiTheme="minorHAnsi" w:hAnsiTheme="minorHAnsi" w:cstheme="minorHAnsi"/>
          <w:color w:val="1F1F1F"/>
        </w:rPr>
        <w:t>and</w:t>
      </w:r>
      <w:r w:rsidRPr="00B7499B">
        <w:rPr>
          <w:rFonts w:asciiTheme="minorHAnsi" w:hAnsiTheme="minorHAnsi" w:cstheme="minorHAnsi"/>
          <w:color w:val="1F1F1F"/>
          <w:lang w:val="id-ID"/>
        </w:rPr>
        <w:t xml:space="preserve"> </w:t>
      </w:r>
      <w:r w:rsidRPr="00B7499B">
        <w:rPr>
          <w:rFonts w:asciiTheme="minorHAnsi" w:hAnsiTheme="minorHAnsi" w:cstheme="minorHAnsi"/>
          <w:lang w:val="id-ID"/>
        </w:rPr>
        <w:fldChar w:fldCharType="begin" w:fldLock="1"/>
      </w:r>
      <w:r w:rsidRPr="00B7499B">
        <w:rPr>
          <w:rFonts w:asciiTheme="minorHAnsi" w:hAnsiTheme="minorHAnsi" w:cstheme="minorHAnsi"/>
          <w:lang w:val="id-ID"/>
        </w:rPr>
        <w:instrText>ADDIN CSL_CITATION {"citationItems":[{"id":"ITEM-1","itemData":{"DOI":"10.47260/amae/1246","abstract":"Abstract This study investigates the impacts of the Standard &amp; Poor’s (S&amp;P) 500 Index, the NASDAQ Volatility Index (VXN), the spot prices of gold and silver, and the U.S. Dollar Index (DXY) on the CBOE Volatility Index (VIX). Specifically, the proposed arbitrage pricing theory (APT) model, programmed by Python, performs multi-factor regression analysis that analyzes the degree of impact measured by the beta coefficient of systematic risks on each factor. Our samples include daily transaction data from 2007 to 2018, divided into three periods to assess the VIX’s impact for each sub-period. The three periods are entitled as the “Global Financial Crisis Period” (2007–2009), the “European Debt Crisis Period” (2010–2012), and the “Follow-up Period” (2013–2018). Empirical results show that the major factors are the S&amp;P 500 index and the VXN, with the DXY being a minor factor. Moreover, both gold and silver spot prices have a significant impact on the VIX. Keywords: VIX, Global financial crisis, European debt crisis, Systematic risk, Arbitrage pricing theory, Multi-factor regression model, Schwarz's inequality, Triangle inequality.","author":[{"dropping-particle":"","family":"Lian","given":"Yu-Min","non-dropping-particle":"","parse-names":false,"suffix":""},{"dropping-particle":"","family":"Jhong","given":"Yu-Jhih","non-dropping-particle":"","parse-names":false,"suffix":""},{"dropping-particle":"","family":"Wang","given":"Po-Hsuan","non-dropping-particle":"","parse-names":false,"suffix":""},{"dropping-particle":"","family":"Chen","given":"Wei-Ming","non-dropping-particle":"","parse-names":false,"suffix":""}],"container-title":"Advances in Management and Applied Economics","id":"ITEM-1","issue":"4","issued":{"date-parts":[["2022"]]},"page":"109-118","title":"An empirical examination of VIX market fluctuations","type":"article-journal","volume":"12"},"uris":["http://www.mendeley.com/documents/?uuid=ba74f140-a724-421e-bfd3-22e7ff260343"]}],"mendeley":{"formattedCitation":"(Lian et al., 2022)","manualFormatting":"Lian et al. (2022)","plainTextFormattedCitation":"(Lian et al., 2022)","previouslyFormattedCitation":"(Lian et al., 2022)"},"properties":{"noteIndex":0},"schema":"https://github.com/citation-style-language/schema/raw/master/csl-citation.json"}</w:instrText>
      </w:r>
      <w:r w:rsidRPr="00B7499B">
        <w:rPr>
          <w:rFonts w:asciiTheme="minorHAnsi" w:hAnsiTheme="minorHAnsi" w:cstheme="minorHAnsi"/>
          <w:lang w:val="id-ID"/>
        </w:rPr>
        <w:fldChar w:fldCharType="separate"/>
      </w:r>
      <w:r w:rsidRPr="00B7499B">
        <w:rPr>
          <w:rFonts w:asciiTheme="minorHAnsi" w:hAnsiTheme="minorHAnsi" w:cstheme="minorHAnsi"/>
          <w:noProof/>
          <w:lang w:val="id-ID"/>
        </w:rPr>
        <w:t>Lian et al. (2022)</w:t>
      </w:r>
      <w:r w:rsidRPr="00B7499B">
        <w:rPr>
          <w:rFonts w:asciiTheme="minorHAnsi" w:hAnsiTheme="minorHAnsi" w:cstheme="minorHAnsi"/>
          <w:lang w:val="id-ID"/>
        </w:rPr>
        <w:fldChar w:fldCharType="end"/>
      </w:r>
      <w:r w:rsidRPr="00B7499B">
        <w:rPr>
          <w:rFonts w:asciiTheme="minorHAnsi" w:hAnsiTheme="minorHAnsi" w:cstheme="minorHAnsi"/>
          <w:lang w:val="id-ID"/>
        </w:rPr>
        <w:t xml:space="preserve"> suggested that stock market volatility positively correlates with the US Dollar Index. So, it can be said that when stock market volatility increases, the US Dollar Index also tends to increase and vice versa. </w:t>
      </w:r>
    </w:p>
    <w:p w14:paraId="73880720" w14:textId="77777777" w:rsidR="00527B37" w:rsidRPr="00B7499B" w:rsidRDefault="00527B37" w:rsidP="00527B37">
      <w:pPr>
        <w:pStyle w:val="DaftarParagraf"/>
        <w:spacing w:after="240" w:line="240" w:lineRule="auto"/>
        <w:ind w:left="0" w:firstLine="284"/>
        <w:jc w:val="both"/>
        <w:rPr>
          <w:rFonts w:asciiTheme="minorHAnsi" w:hAnsiTheme="minorHAnsi" w:cstheme="minorHAnsi"/>
          <w:bCs/>
        </w:rPr>
      </w:pPr>
    </w:p>
    <w:p w14:paraId="7EBCB15E" w14:textId="07AD5C8F" w:rsidR="00CF6DEB" w:rsidRPr="003A5D3C" w:rsidRDefault="00CF6DEB" w:rsidP="00CF6DEB">
      <w:pPr>
        <w:pStyle w:val="DaftarParagraf"/>
        <w:numPr>
          <w:ilvl w:val="0"/>
          <w:numId w:val="3"/>
        </w:numPr>
        <w:spacing w:line="240" w:lineRule="auto"/>
        <w:ind w:left="284" w:hanging="284"/>
        <w:jc w:val="both"/>
        <w:rPr>
          <w:rFonts w:asciiTheme="minorHAnsi" w:hAnsiTheme="minorHAnsi" w:cstheme="minorHAnsi"/>
          <w:b/>
        </w:rPr>
      </w:pPr>
      <w:r w:rsidRPr="003A5D3C">
        <w:rPr>
          <w:rFonts w:asciiTheme="minorHAnsi" w:hAnsiTheme="minorHAnsi" w:cstheme="minorHAnsi"/>
          <w:b/>
          <w:bCs/>
          <w:lang w:val="id-ID"/>
        </w:rPr>
        <w:t>METHODOLOGY</w:t>
      </w:r>
      <w:r w:rsidRPr="003A5D3C">
        <w:rPr>
          <w:rFonts w:asciiTheme="minorHAnsi" w:hAnsiTheme="minorHAnsi" w:cstheme="minorHAnsi"/>
          <w:b/>
        </w:rPr>
        <w:t xml:space="preserve"> </w:t>
      </w:r>
    </w:p>
    <w:p w14:paraId="14EA4F32" w14:textId="77777777" w:rsidR="00CF6DEB" w:rsidRPr="003A5D3C" w:rsidRDefault="00CF6DEB" w:rsidP="003A5D3C">
      <w:pPr>
        <w:spacing w:after="0"/>
        <w:rPr>
          <w:b/>
          <w:bCs/>
          <w:lang w:val="id-ID"/>
        </w:rPr>
      </w:pPr>
      <w:r w:rsidRPr="003A5D3C">
        <w:rPr>
          <w:b/>
          <w:bCs/>
          <w:lang w:val="id-ID"/>
        </w:rPr>
        <w:t>Type and Source of Data</w:t>
      </w:r>
    </w:p>
    <w:p w14:paraId="558C67E8" w14:textId="77986BD7" w:rsidR="003A5D3C" w:rsidRDefault="00CF6DEB" w:rsidP="003A5D3C">
      <w:pPr>
        <w:pStyle w:val="DaftarParagraf"/>
        <w:spacing w:line="240" w:lineRule="auto"/>
        <w:ind w:left="0" w:firstLine="284"/>
        <w:jc w:val="both"/>
        <w:rPr>
          <w:rFonts w:asciiTheme="minorHAnsi" w:hAnsiTheme="minorHAnsi" w:cstheme="minorHAnsi"/>
          <w:lang w:val="id-ID"/>
        </w:rPr>
      </w:pPr>
      <w:r w:rsidRPr="003A5D3C">
        <w:rPr>
          <w:rFonts w:asciiTheme="minorHAnsi" w:hAnsiTheme="minorHAnsi" w:cstheme="minorHAnsi"/>
          <w:lang w:val="id-ID"/>
        </w:rPr>
        <w:t xml:space="preserve">The data that is the focus of this research includes daily data from gold prices, the US Dollar Index, and indices on ASEAN countries and three other countries namely China, South Korea, and Japan. The research data can be accessed through the website </w:t>
      </w:r>
      <w:hyperlink r:id="rId22" w:history="1">
        <w:r w:rsidRPr="003A5D3C">
          <w:rPr>
            <w:rStyle w:val="Hyperlink"/>
            <w:rFonts w:asciiTheme="minorHAnsi" w:hAnsiTheme="minorHAnsi" w:cstheme="minorHAnsi"/>
          </w:rPr>
          <w:t>www.investing.com</w:t>
        </w:r>
      </w:hyperlink>
      <w:r w:rsidRPr="003A5D3C">
        <w:rPr>
          <w:rFonts w:asciiTheme="minorHAnsi" w:hAnsiTheme="minorHAnsi" w:cstheme="minorHAnsi"/>
        </w:rPr>
        <w:t xml:space="preserve"> </w:t>
      </w:r>
      <w:r w:rsidRPr="003A5D3C">
        <w:rPr>
          <w:rFonts w:asciiTheme="minorHAnsi" w:hAnsiTheme="minorHAnsi" w:cstheme="minorHAnsi"/>
          <w:lang w:val="id-ID"/>
        </w:rPr>
        <w:t>and related exchange sites. Data collection was carried out from 2021 to 2024 during the geopolitical crisis. These geopolitical crises cover the period before the Ukraine-Russia war, during the Ukraine-Russia war, and the Hamas-Israel crisis.</w:t>
      </w:r>
    </w:p>
    <w:p w14:paraId="49544187" w14:textId="415784BF" w:rsidR="00CF6DEB" w:rsidRPr="003A5D3C" w:rsidRDefault="00CF6DEB" w:rsidP="003A5D3C">
      <w:pPr>
        <w:spacing w:after="0" w:line="240" w:lineRule="auto"/>
        <w:jc w:val="both"/>
        <w:rPr>
          <w:rFonts w:asciiTheme="minorHAnsi" w:hAnsiTheme="minorHAnsi" w:cstheme="minorHAnsi"/>
          <w:b/>
          <w:bCs/>
          <w:lang w:val="id-ID"/>
        </w:rPr>
      </w:pPr>
      <w:r w:rsidRPr="003A5D3C">
        <w:rPr>
          <w:rFonts w:asciiTheme="minorHAnsi" w:hAnsiTheme="minorHAnsi" w:cstheme="minorHAnsi"/>
          <w:b/>
          <w:bCs/>
          <w:lang w:val="id-ID"/>
        </w:rPr>
        <w:t>Definition of Operational Variables</w:t>
      </w:r>
    </w:p>
    <w:p w14:paraId="4062ACCA" w14:textId="47A98F0D" w:rsidR="00CF6DEB" w:rsidRPr="003A5D3C" w:rsidRDefault="00CF6DEB" w:rsidP="003A5D3C">
      <w:pPr>
        <w:pStyle w:val="DaftarParagraf"/>
        <w:spacing w:after="0" w:line="240" w:lineRule="auto"/>
        <w:ind w:left="0" w:firstLine="284"/>
        <w:jc w:val="both"/>
        <w:rPr>
          <w:rFonts w:asciiTheme="minorHAnsi" w:hAnsiTheme="minorHAnsi" w:cstheme="minorHAnsi"/>
          <w:b/>
          <w:bCs/>
          <w:lang w:val="id-ID"/>
        </w:rPr>
      </w:pPr>
      <w:r w:rsidRPr="003A5D3C">
        <w:rPr>
          <w:rFonts w:asciiTheme="minorHAnsi" w:hAnsiTheme="minorHAnsi" w:cstheme="minorHAnsi"/>
          <w:lang w:val="id-ID"/>
        </w:rPr>
        <w:t>In this research, there are several independent variables and dependent variables.</w:t>
      </w:r>
      <w:r w:rsidR="003A5D3C">
        <w:rPr>
          <w:rFonts w:asciiTheme="minorHAnsi" w:hAnsiTheme="minorHAnsi" w:cstheme="minorHAnsi"/>
          <w:lang w:val="en-US"/>
        </w:rPr>
        <w:t xml:space="preserve"> </w:t>
      </w:r>
      <w:r w:rsidRPr="003A5D3C">
        <w:rPr>
          <w:rFonts w:asciiTheme="minorHAnsi" w:hAnsiTheme="minorHAnsi" w:cstheme="minorHAnsi"/>
          <w:lang w:val="id-ID"/>
        </w:rPr>
        <w:t xml:space="preserve">The independent variables used are the volatility of PSEi, LSX, JKSE, KLSE, STI, SETI, VN 30, Nikkei, KOSPI, and SSEC. Meanwhile, the dependent variables are the price of gold and the US Dollar Index. The stock market volatility is represented by the conditional variance of the stock market returns. While in determining the stock return rate to calculate volatility, the following formula is used: </w:t>
      </w:r>
    </w:p>
    <w:p w14:paraId="248B8592" w14:textId="77777777" w:rsidR="00CF6DEB" w:rsidRPr="003A5D3C" w:rsidRDefault="00000000" w:rsidP="003A5D3C">
      <w:pPr>
        <w:pStyle w:val="DaftarParagraf"/>
        <w:spacing w:after="0" w:line="240" w:lineRule="auto"/>
        <w:ind w:left="0"/>
        <w:jc w:val="both"/>
        <w:rPr>
          <w:rFonts w:asciiTheme="minorHAnsi" w:eastAsiaTheme="minorEastAsia" w:hAnsiTheme="minorHAnsi" w:cstheme="minorHAnsi"/>
          <w:lang w:val="id-ID"/>
        </w:rPr>
      </w:pPr>
      <m:oMathPara>
        <m:oMath>
          <m:sSub>
            <m:sSubPr>
              <m:ctrlPr>
                <w:rPr>
                  <w:rFonts w:ascii="Cambria Math" w:hAnsi="Cambria Math" w:cstheme="minorHAnsi"/>
                  <w:i/>
                  <w:lang w:val="id-ID"/>
                </w:rPr>
              </m:ctrlPr>
            </m:sSubPr>
            <m:e>
              <m:r>
                <w:rPr>
                  <w:rFonts w:ascii="Cambria Math" w:hAnsi="Cambria Math" w:cstheme="minorHAnsi"/>
                  <w:lang w:val="id-ID"/>
                </w:rPr>
                <m:t>R</m:t>
              </m:r>
            </m:e>
            <m:sub>
              <m:sSub>
                <m:sSubPr>
                  <m:ctrlPr>
                    <w:rPr>
                      <w:rFonts w:ascii="Cambria Math" w:hAnsi="Cambria Math" w:cstheme="minorHAnsi"/>
                      <w:i/>
                      <w:lang w:val="id-ID"/>
                    </w:rPr>
                  </m:ctrlPr>
                </m:sSubPr>
                <m:e>
                  <m:r>
                    <w:rPr>
                      <w:rFonts w:ascii="Cambria Math" w:hAnsi="Cambria Math" w:cstheme="minorHAnsi"/>
                      <w:lang w:val="id-ID"/>
                    </w:rPr>
                    <m:t>m</m:t>
                  </m:r>
                </m:e>
                <m:sub>
                  <m:r>
                    <w:rPr>
                      <w:rFonts w:ascii="Cambria Math" w:hAnsi="Cambria Math" w:cstheme="minorHAnsi"/>
                      <w:lang w:val="id-ID"/>
                    </w:rPr>
                    <m:t>(it)</m:t>
                  </m:r>
                </m:sub>
              </m:sSub>
            </m:sub>
          </m:sSub>
          <m:r>
            <w:rPr>
              <w:rFonts w:ascii="Cambria Math" w:hAnsi="Cambria Math" w:cstheme="minorHAnsi"/>
              <w:lang w:val="id-ID"/>
            </w:rPr>
            <m:t>=</m:t>
          </m:r>
          <m:d>
            <m:dPr>
              <m:begChr m:val="["/>
              <m:endChr m:val="]"/>
              <m:ctrlPr>
                <w:rPr>
                  <w:rFonts w:ascii="Cambria Math" w:hAnsi="Cambria Math" w:cstheme="minorHAnsi"/>
                  <w:i/>
                  <w:lang w:val="id-ID"/>
                </w:rPr>
              </m:ctrlPr>
            </m:dPr>
            <m:e>
              <m:f>
                <m:fPr>
                  <m:ctrlPr>
                    <w:rPr>
                      <w:rFonts w:ascii="Cambria Math" w:hAnsi="Cambria Math" w:cstheme="minorHAnsi"/>
                      <w:i/>
                      <w:lang w:val="id-ID"/>
                    </w:rPr>
                  </m:ctrlPr>
                </m:fPr>
                <m:num>
                  <m:sSub>
                    <m:sSubPr>
                      <m:ctrlPr>
                        <w:rPr>
                          <w:rFonts w:ascii="Cambria Math" w:hAnsi="Cambria Math" w:cstheme="minorHAnsi"/>
                          <w:i/>
                          <w:lang w:val="id-ID"/>
                        </w:rPr>
                      </m:ctrlPr>
                    </m:sSubPr>
                    <m:e>
                      <m:r>
                        <w:rPr>
                          <w:rFonts w:ascii="Cambria Math" w:hAnsi="Cambria Math" w:cstheme="minorHAnsi"/>
                          <w:lang w:val="id-ID"/>
                        </w:rPr>
                        <m:t>m</m:t>
                      </m:r>
                    </m:e>
                    <m:sub>
                      <m:d>
                        <m:dPr>
                          <m:ctrlPr>
                            <w:rPr>
                              <w:rFonts w:ascii="Cambria Math" w:hAnsi="Cambria Math" w:cstheme="minorHAnsi"/>
                              <w:i/>
                              <w:lang w:val="id-ID"/>
                            </w:rPr>
                          </m:ctrlPr>
                        </m:dPr>
                        <m:e>
                          <m:r>
                            <w:rPr>
                              <w:rFonts w:ascii="Cambria Math" w:hAnsi="Cambria Math" w:cstheme="minorHAnsi"/>
                              <w:lang w:val="id-ID"/>
                            </w:rPr>
                            <m:t>t</m:t>
                          </m:r>
                        </m:e>
                      </m:d>
                    </m:sub>
                  </m:sSub>
                  <m:r>
                    <w:rPr>
                      <w:rFonts w:ascii="Cambria Math" w:hAnsi="Cambria Math" w:cstheme="minorHAnsi"/>
                      <w:lang w:val="id-ID"/>
                    </w:rPr>
                    <m:t>-</m:t>
                  </m:r>
                  <m:sSub>
                    <m:sSubPr>
                      <m:ctrlPr>
                        <w:rPr>
                          <w:rFonts w:ascii="Cambria Math" w:hAnsi="Cambria Math" w:cstheme="minorHAnsi"/>
                          <w:i/>
                          <w:lang w:val="id-ID"/>
                        </w:rPr>
                      </m:ctrlPr>
                    </m:sSubPr>
                    <m:e>
                      <m:r>
                        <w:rPr>
                          <w:rFonts w:ascii="Cambria Math" w:hAnsi="Cambria Math" w:cstheme="minorHAnsi"/>
                          <w:lang w:val="id-ID"/>
                        </w:rPr>
                        <m:t>m</m:t>
                      </m:r>
                    </m:e>
                    <m:sub>
                      <m:r>
                        <w:rPr>
                          <w:rFonts w:ascii="Cambria Math" w:hAnsi="Cambria Math" w:cstheme="minorHAnsi"/>
                          <w:lang w:val="id-ID"/>
                        </w:rPr>
                        <m:t>(t-1)</m:t>
                      </m:r>
                    </m:sub>
                  </m:sSub>
                </m:num>
                <m:den>
                  <m:sSub>
                    <m:sSubPr>
                      <m:ctrlPr>
                        <w:rPr>
                          <w:rFonts w:ascii="Cambria Math" w:hAnsi="Cambria Math" w:cstheme="minorHAnsi"/>
                          <w:i/>
                          <w:lang w:val="id-ID"/>
                        </w:rPr>
                      </m:ctrlPr>
                    </m:sSubPr>
                    <m:e>
                      <m:r>
                        <w:rPr>
                          <w:rFonts w:ascii="Cambria Math" w:hAnsi="Cambria Math" w:cstheme="minorHAnsi"/>
                          <w:lang w:val="id-ID"/>
                        </w:rPr>
                        <m:t>m</m:t>
                      </m:r>
                    </m:e>
                    <m:sub>
                      <m:r>
                        <w:rPr>
                          <w:rFonts w:ascii="Cambria Math" w:hAnsi="Cambria Math" w:cstheme="minorHAnsi"/>
                          <w:lang w:val="id-ID"/>
                        </w:rPr>
                        <m:t>(t-1)</m:t>
                      </m:r>
                    </m:sub>
                  </m:sSub>
                </m:den>
              </m:f>
            </m:e>
          </m:d>
        </m:oMath>
      </m:oMathPara>
    </w:p>
    <w:p w14:paraId="178FF0C2" w14:textId="77777777" w:rsidR="00CF6DEB" w:rsidRPr="003A5D3C" w:rsidRDefault="00CF6DEB" w:rsidP="003A5D3C">
      <w:pPr>
        <w:tabs>
          <w:tab w:val="left" w:pos="1260"/>
        </w:tabs>
        <w:spacing w:after="0" w:line="240" w:lineRule="auto"/>
        <w:jc w:val="both"/>
        <w:rPr>
          <w:rFonts w:asciiTheme="minorHAnsi" w:hAnsiTheme="minorHAnsi" w:cstheme="minorHAnsi"/>
          <w:lang w:val="id-ID"/>
        </w:rPr>
      </w:pPr>
      <w:r w:rsidRPr="003A5D3C">
        <w:rPr>
          <w:rFonts w:asciiTheme="minorHAnsi" w:hAnsiTheme="minorHAnsi" w:cstheme="minorHAnsi"/>
          <w:lang w:val="id-ID"/>
        </w:rPr>
        <w:t>Keterangan</w:t>
      </w:r>
      <w:r w:rsidRPr="003A5D3C">
        <w:rPr>
          <w:rFonts w:asciiTheme="minorHAnsi" w:hAnsiTheme="minorHAnsi" w:cstheme="minorHAnsi"/>
          <w:lang w:val="id-ID"/>
        </w:rPr>
        <w:tab/>
        <w:t xml:space="preserve">: </w:t>
      </w:r>
    </w:p>
    <w:p w14:paraId="0813F73B" w14:textId="77777777" w:rsidR="00CF6DEB" w:rsidRPr="003A5D3C" w:rsidRDefault="00000000" w:rsidP="003A5D3C">
      <w:pPr>
        <w:tabs>
          <w:tab w:val="left" w:pos="1260"/>
        </w:tabs>
        <w:spacing w:after="0" w:line="240" w:lineRule="auto"/>
        <w:jc w:val="both"/>
        <w:rPr>
          <w:rFonts w:asciiTheme="minorHAnsi" w:eastAsiaTheme="minorEastAsia" w:hAnsiTheme="minorHAnsi" w:cstheme="minorHAnsi"/>
          <w:lang w:val="id-ID"/>
        </w:rPr>
      </w:pPr>
      <m:oMath>
        <m:sSub>
          <m:sSubPr>
            <m:ctrlPr>
              <w:rPr>
                <w:rFonts w:ascii="Cambria Math" w:hAnsi="Cambria Math" w:cstheme="minorHAnsi"/>
                <w:i/>
                <w:lang w:val="id-ID"/>
              </w:rPr>
            </m:ctrlPr>
          </m:sSubPr>
          <m:e>
            <m:r>
              <w:rPr>
                <w:rFonts w:ascii="Cambria Math" w:hAnsi="Cambria Math" w:cstheme="minorHAnsi"/>
                <w:lang w:val="id-ID"/>
              </w:rPr>
              <m:t>R</m:t>
            </m:r>
          </m:e>
          <m:sub>
            <m:r>
              <w:rPr>
                <w:rFonts w:ascii="Cambria Math" w:hAnsi="Cambria Math" w:cstheme="minorHAnsi"/>
                <w:lang w:val="id-ID"/>
              </w:rPr>
              <m:t>m</m:t>
            </m:r>
          </m:sub>
        </m:sSub>
      </m:oMath>
      <w:r w:rsidR="00CF6DEB" w:rsidRPr="003A5D3C">
        <w:rPr>
          <w:rFonts w:asciiTheme="minorHAnsi" w:eastAsiaTheme="minorEastAsia" w:hAnsiTheme="minorHAnsi" w:cstheme="minorHAnsi"/>
          <w:lang w:val="id-ID"/>
        </w:rPr>
        <w:tab/>
        <w:t>:</w:t>
      </w:r>
      <w:r w:rsidR="00CF6DEB" w:rsidRPr="003A5D3C">
        <w:rPr>
          <w:rFonts w:asciiTheme="minorHAnsi" w:eastAsiaTheme="minorEastAsia" w:hAnsiTheme="minorHAnsi" w:cstheme="minorHAnsi"/>
          <w:i/>
          <w:iCs/>
          <w:color w:val="FF0000"/>
          <w:lang w:val="id-ID"/>
        </w:rPr>
        <w:t xml:space="preserve"> </w:t>
      </w:r>
      <w:r w:rsidR="00CF6DEB" w:rsidRPr="003A5D3C">
        <w:rPr>
          <w:rFonts w:asciiTheme="minorHAnsi" w:eastAsiaTheme="minorEastAsia" w:hAnsiTheme="minorHAnsi" w:cstheme="minorHAnsi"/>
          <w:lang w:val="id-ID"/>
        </w:rPr>
        <w:t>Stock Market Return</w:t>
      </w:r>
    </w:p>
    <w:p w14:paraId="0100411E" w14:textId="77777777" w:rsidR="00CF6DEB" w:rsidRPr="003A5D3C" w:rsidRDefault="00000000" w:rsidP="003A5D3C">
      <w:pPr>
        <w:tabs>
          <w:tab w:val="left" w:pos="1260"/>
        </w:tabs>
        <w:spacing w:after="0" w:line="240" w:lineRule="auto"/>
        <w:jc w:val="both"/>
        <w:rPr>
          <w:rFonts w:asciiTheme="minorHAnsi" w:eastAsiaTheme="minorEastAsia" w:hAnsiTheme="minorHAnsi" w:cstheme="minorHAnsi"/>
          <w:lang w:val="id-ID"/>
        </w:rPr>
      </w:pPr>
      <m:oMath>
        <m:sSub>
          <m:sSubPr>
            <m:ctrlPr>
              <w:rPr>
                <w:rFonts w:ascii="Cambria Math" w:hAnsi="Cambria Math" w:cstheme="minorHAnsi"/>
                <w:i/>
                <w:lang w:val="id-ID"/>
              </w:rPr>
            </m:ctrlPr>
          </m:sSubPr>
          <m:e>
            <m:r>
              <w:rPr>
                <w:rFonts w:ascii="Cambria Math" w:hAnsi="Cambria Math" w:cstheme="minorHAnsi"/>
                <w:lang w:val="id-ID"/>
              </w:rPr>
              <m:t>m</m:t>
            </m:r>
          </m:e>
          <m:sub>
            <m:r>
              <w:rPr>
                <w:rFonts w:ascii="Cambria Math" w:hAnsi="Cambria Math" w:cstheme="minorHAnsi"/>
                <w:lang w:val="id-ID"/>
              </w:rPr>
              <m:t>(t)</m:t>
            </m:r>
          </m:sub>
        </m:sSub>
      </m:oMath>
      <w:r w:rsidR="00CF6DEB" w:rsidRPr="003A5D3C">
        <w:rPr>
          <w:rFonts w:asciiTheme="minorHAnsi" w:eastAsiaTheme="minorEastAsia" w:hAnsiTheme="minorHAnsi" w:cstheme="minorHAnsi"/>
          <w:lang w:val="id-ID"/>
        </w:rPr>
        <w:tab/>
        <w:t xml:space="preserve">: Closing Stock Index </w:t>
      </w:r>
      <m:oMath>
        <m:sSub>
          <m:sSubPr>
            <m:ctrlPr>
              <w:rPr>
                <w:rFonts w:ascii="Cambria Math" w:eastAsiaTheme="minorEastAsia" w:hAnsi="Cambria Math" w:cstheme="minorHAnsi"/>
                <w:i/>
                <w:lang w:val="id-ID"/>
              </w:rPr>
            </m:ctrlPr>
          </m:sSubPr>
          <m:e>
            <m:r>
              <w:rPr>
                <w:rFonts w:ascii="Cambria Math" w:eastAsiaTheme="minorEastAsia" w:hAnsi="Cambria Math" w:cstheme="minorHAnsi"/>
                <w:lang w:val="id-ID"/>
              </w:rPr>
              <m:t>Day</m:t>
            </m:r>
          </m:e>
          <m:sub>
            <m:r>
              <w:rPr>
                <w:rFonts w:ascii="Cambria Math" w:eastAsiaTheme="minorEastAsia" w:hAnsi="Cambria Math" w:cstheme="minorHAnsi"/>
                <w:lang w:val="id-ID"/>
              </w:rPr>
              <m:t>(t)</m:t>
            </m:r>
          </m:sub>
        </m:sSub>
      </m:oMath>
    </w:p>
    <w:p w14:paraId="01CED599" w14:textId="77777777" w:rsidR="00CF6DEB" w:rsidRPr="003A5D3C" w:rsidRDefault="00000000" w:rsidP="003A5D3C">
      <w:pPr>
        <w:tabs>
          <w:tab w:val="left" w:pos="1260"/>
        </w:tabs>
        <w:spacing w:after="0" w:line="240" w:lineRule="auto"/>
        <w:jc w:val="both"/>
        <w:rPr>
          <w:rFonts w:asciiTheme="minorHAnsi" w:eastAsiaTheme="minorEastAsia" w:hAnsiTheme="minorHAnsi" w:cstheme="minorHAnsi"/>
          <w:lang w:val="id-ID"/>
        </w:rPr>
      </w:pPr>
      <m:oMath>
        <m:sSub>
          <m:sSubPr>
            <m:ctrlPr>
              <w:rPr>
                <w:rFonts w:ascii="Cambria Math" w:hAnsi="Cambria Math" w:cstheme="minorHAnsi"/>
                <w:i/>
                <w:lang w:val="id-ID"/>
              </w:rPr>
            </m:ctrlPr>
          </m:sSubPr>
          <m:e>
            <m:r>
              <w:rPr>
                <w:rFonts w:ascii="Cambria Math" w:hAnsi="Cambria Math" w:cstheme="minorHAnsi"/>
                <w:lang w:val="id-ID"/>
              </w:rPr>
              <m:t>m</m:t>
            </m:r>
          </m:e>
          <m:sub>
            <m:r>
              <w:rPr>
                <w:rFonts w:ascii="Cambria Math" w:hAnsi="Cambria Math" w:cstheme="minorHAnsi"/>
                <w:lang w:val="id-ID"/>
              </w:rPr>
              <m:t>(t-1)</m:t>
            </m:r>
          </m:sub>
        </m:sSub>
      </m:oMath>
      <w:r w:rsidR="00CF6DEB" w:rsidRPr="003A5D3C">
        <w:rPr>
          <w:rFonts w:asciiTheme="minorHAnsi" w:eastAsiaTheme="minorEastAsia" w:hAnsiTheme="minorHAnsi" w:cstheme="minorHAnsi"/>
          <w:lang w:val="id-ID"/>
        </w:rPr>
        <w:tab/>
        <w:t xml:space="preserve">: Closing Stock Index </w:t>
      </w:r>
      <m:oMath>
        <m:sSub>
          <m:sSubPr>
            <m:ctrlPr>
              <w:rPr>
                <w:rFonts w:ascii="Cambria Math" w:eastAsiaTheme="minorEastAsia" w:hAnsi="Cambria Math" w:cstheme="minorHAnsi"/>
                <w:i/>
                <w:lang w:val="id-ID"/>
              </w:rPr>
            </m:ctrlPr>
          </m:sSubPr>
          <m:e>
            <m:r>
              <w:rPr>
                <w:rFonts w:ascii="Cambria Math" w:eastAsiaTheme="minorEastAsia" w:hAnsi="Cambria Math" w:cstheme="minorHAnsi"/>
                <w:lang w:val="id-ID"/>
              </w:rPr>
              <m:t>Day</m:t>
            </m:r>
          </m:e>
          <m:sub>
            <m:r>
              <w:rPr>
                <w:rFonts w:ascii="Cambria Math" w:eastAsiaTheme="minorEastAsia" w:hAnsi="Cambria Math" w:cstheme="minorHAnsi"/>
                <w:lang w:val="id-ID"/>
              </w:rPr>
              <m:t>(t-1)</m:t>
            </m:r>
          </m:sub>
        </m:sSub>
      </m:oMath>
    </w:p>
    <w:p w14:paraId="76E4FCD0" w14:textId="77777777" w:rsidR="00CF6DEB" w:rsidRPr="003A5D3C" w:rsidRDefault="00CF6DEB" w:rsidP="003A5D3C">
      <w:pPr>
        <w:tabs>
          <w:tab w:val="left" w:pos="1260"/>
        </w:tabs>
        <w:spacing w:after="0" w:line="240" w:lineRule="auto"/>
        <w:jc w:val="both"/>
        <w:rPr>
          <w:rFonts w:asciiTheme="minorHAnsi" w:eastAsiaTheme="minorEastAsia" w:hAnsiTheme="minorHAnsi" w:cstheme="minorHAnsi"/>
          <w:lang w:val="id-ID"/>
        </w:rPr>
      </w:pPr>
      <m:oMath>
        <m:r>
          <w:rPr>
            <w:rFonts w:ascii="Cambria Math" w:eastAsiaTheme="minorEastAsia" w:hAnsi="Cambria Math" w:cstheme="minorHAnsi"/>
            <w:lang w:val="id-ID"/>
          </w:rPr>
          <m:t>i</m:t>
        </m:r>
      </m:oMath>
      <w:r w:rsidRPr="003A5D3C">
        <w:rPr>
          <w:rFonts w:asciiTheme="minorHAnsi" w:eastAsiaTheme="minorEastAsia" w:hAnsiTheme="minorHAnsi" w:cstheme="minorHAnsi"/>
          <w:lang w:val="id-ID"/>
        </w:rPr>
        <w:tab/>
        <w:t>: The i-th exchange</w:t>
      </w:r>
    </w:p>
    <w:p w14:paraId="37826533" w14:textId="77777777" w:rsidR="003A5D3C" w:rsidRDefault="00CF6DEB" w:rsidP="003A5D3C">
      <w:pPr>
        <w:tabs>
          <w:tab w:val="left" w:pos="1260"/>
        </w:tabs>
        <w:spacing w:line="240" w:lineRule="auto"/>
        <w:jc w:val="both"/>
        <w:rPr>
          <w:rFonts w:asciiTheme="minorHAnsi" w:hAnsiTheme="minorHAnsi" w:cstheme="minorHAnsi"/>
          <w:lang w:val="id-ID"/>
        </w:rPr>
      </w:pPr>
      <w:r w:rsidRPr="003A5D3C">
        <w:rPr>
          <w:rFonts w:asciiTheme="minorHAnsi" w:eastAsiaTheme="minorEastAsia" w:hAnsiTheme="minorHAnsi" w:cstheme="minorHAnsi"/>
          <w:lang w:val="id-ID"/>
        </w:rPr>
        <w:t>t</w:t>
      </w:r>
      <w:r w:rsidRPr="003A5D3C">
        <w:rPr>
          <w:rFonts w:asciiTheme="minorHAnsi" w:eastAsiaTheme="minorEastAsia" w:hAnsiTheme="minorHAnsi" w:cstheme="minorHAnsi"/>
          <w:lang w:val="id-ID"/>
        </w:rPr>
        <w:tab/>
        <w:t xml:space="preserve">: </w:t>
      </w:r>
      <m:oMath>
        <m:sSub>
          <m:sSubPr>
            <m:ctrlPr>
              <w:rPr>
                <w:rFonts w:ascii="Cambria Math" w:eastAsiaTheme="minorEastAsia" w:hAnsi="Cambria Math" w:cstheme="minorHAnsi"/>
                <w:i/>
                <w:lang w:val="id-ID"/>
              </w:rPr>
            </m:ctrlPr>
          </m:sSubPr>
          <m:e>
            <m:r>
              <w:rPr>
                <w:rFonts w:ascii="Cambria Math" w:eastAsiaTheme="minorEastAsia" w:hAnsi="Cambria Math" w:cstheme="minorHAnsi"/>
                <w:lang w:val="id-ID"/>
              </w:rPr>
              <m:t>Period</m:t>
            </m:r>
          </m:e>
          <m:sub>
            <m:r>
              <w:rPr>
                <w:rFonts w:ascii="Cambria Math" w:eastAsiaTheme="minorEastAsia" w:hAnsi="Cambria Math" w:cstheme="minorHAnsi"/>
                <w:lang w:val="id-ID"/>
              </w:rPr>
              <m:t>t</m:t>
            </m:r>
          </m:sub>
        </m:sSub>
      </m:oMath>
      <w:r w:rsidRPr="003A5D3C">
        <w:rPr>
          <w:rFonts w:asciiTheme="minorHAnsi" w:hAnsiTheme="minorHAnsi" w:cstheme="minorHAnsi"/>
          <w:lang w:val="id-ID"/>
        </w:rPr>
        <w:t xml:space="preserve"> </w:t>
      </w:r>
    </w:p>
    <w:p w14:paraId="70D16E8F" w14:textId="13DA447F" w:rsidR="00CF6DEB" w:rsidRPr="003A5D3C" w:rsidRDefault="00CF6DEB" w:rsidP="003A5D3C">
      <w:pPr>
        <w:tabs>
          <w:tab w:val="left" w:pos="1260"/>
        </w:tabs>
        <w:spacing w:after="0" w:line="240" w:lineRule="auto"/>
        <w:jc w:val="both"/>
        <w:rPr>
          <w:rFonts w:asciiTheme="minorHAnsi" w:eastAsiaTheme="minorEastAsia" w:hAnsiTheme="minorHAnsi" w:cstheme="minorHAnsi"/>
          <w:lang w:val="id-ID"/>
        </w:rPr>
      </w:pPr>
      <w:r w:rsidRPr="003A5D3C">
        <w:rPr>
          <w:rFonts w:asciiTheme="minorHAnsi" w:hAnsiTheme="minorHAnsi" w:cstheme="minorHAnsi"/>
          <w:b/>
          <w:bCs/>
          <w:lang w:val="id-ID"/>
        </w:rPr>
        <w:t>Analysis Technique</w:t>
      </w:r>
    </w:p>
    <w:p w14:paraId="2D8B656D" w14:textId="174115C8" w:rsidR="00CF6DEB" w:rsidRPr="003A5D3C" w:rsidRDefault="00CF6DEB" w:rsidP="003A5D3C">
      <w:pPr>
        <w:pStyle w:val="DaftarParagraf"/>
        <w:spacing w:after="0" w:line="240" w:lineRule="auto"/>
        <w:ind w:left="0" w:firstLine="284"/>
        <w:jc w:val="both"/>
        <w:rPr>
          <w:rFonts w:asciiTheme="minorHAnsi" w:hAnsiTheme="minorHAnsi" w:cstheme="minorHAnsi"/>
          <w:lang w:val="id-ID"/>
        </w:rPr>
      </w:pPr>
      <w:r w:rsidRPr="003A5D3C">
        <w:rPr>
          <w:rFonts w:asciiTheme="minorHAnsi" w:hAnsiTheme="minorHAnsi" w:cstheme="minorHAnsi"/>
          <w:lang w:val="id-ID"/>
        </w:rPr>
        <w:t>The data in this study was processed using the GARCH analysis technique.</w:t>
      </w:r>
      <w:r w:rsidR="003A5D3C">
        <w:rPr>
          <w:rFonts w:asciiTheme="minorHAnsi" w:hAnsiTheme="minorHAnsi" w:cstheme="minorHAnsi"/>
          <w:lang w:val="en-US"/>
        </w:rPr>
        <w:t xml:space="preserve"> </w:t>
      </w:r>
      <w:r w:rsidRPr="003A5D3C">
        <w:rPr>
          <w:rFonts w:asciiTheme="minorHAnsi" w:hAnsiTheme="minorHAnsi" w:cstheme="minorHAnsi"/>
          <w:lang w:val="id-ID"/>
        </w:rPr>
        <w:t xml:space="preserve">Before GARCH testing, a stationary test using Augmented Dickey-Fuller and a normality test using Jarque-Bera value are conducted.  </w:t>
      </w:r>
      <w:r w:rsidRPr="003A5D3C">
        <w:rPr>
          <w:rFonts w:asciiTheme="minorHAnsi" w:hAnsiTheme="minorHAnsi" w:cstheme="minorHAnsi"/>
          <w:lang w:val="id-ID"/>
        </w:rPr>
        <w:fldChar w:fldCharType="begin" w:fldLock="1"/>
      </w:r>
      <w:r w:rsidRPr="003A5D3C">
        <w:rPr>
          <w:rFonts w:asciiTheme="minorHAnsi" w:hAnsiTheme="minorHAnsi" w:cstheme="minorHAnsi"/>
          <w:lang w:val="id-ID"/>
        </w:rPr>
        <w:instrText>ADDIN CSL_CITATION {"citationItems":[{"id":"ITEM-1","itemData":{"DOI":"10.3390/jrfm16010050","ISSN":"19118074","abstract":"Across the globe, COVID-19 has disrupted the financial markets, making them more volatile. Thus, this paper examines the market volatility and asymmetric behavior of Bitcoin, EUR, S&amp;P 500 index, Gold, Crude Oil, and Sugar during the COVID-19 pandemic. We applied the GARCH (1, 1), GJR-GARCH (1, 1), and EGARCH (1, 1) econometric models on the daily time series returns data ranging from 27 November 2018 to 15 June 2021. The empirical findings show a high level of volatility persistence in all the financial markets during the COVID-19 pandemic. Moreover, the Crude Oil and S&amp;P 500 index shows significant positive asymmetric behavior during the pandemic. Apart from this, the results also reveal that EGARCH is the most appropriate model to capture the volatilities of the financial markets before the COVID-19 pandemic, whereas during the COVID-19 period and for the whole period, each GARCH family evenly models the volatile behavior of the six financial markets. This study provides financial investors and policymakers with useful insight into adopting effective strategies for constructing portfolios during crises in the future.","author":[{"dropping-particle":"","family":"Khan","given":"Maaz","non-dropping-particle":"","parse-names":false,"suffix":""},{"dropping-particle":"","family":"Kayani","given":"Umar Nawaz","non-dropping-particle":"","parse-names":false,"suffix":""},{"dropping-particle":"","family":"Khan","given":"Mrestyal","non-dropping-particle":"","parse-names":false,"suffix":""},{"dropping-particle":"","family":"Mughal","given":"Khurrum Shahzad","non-dropping-particle":"","parse-names":false,"suffix":""},{"dropping-particle":"","family":"Haseeb","given":"Mohammad","non-dropping-particle":"","parse-names":false,"suffix":""}],"container-title":"Journal of Risk and Financial Management","id":"ITEM-1","issue":"1","issued":{"date-parts":[["2023"]]},"page":"50-69","title":"COVID-19 pandemic &amp; financial market volatility; evidence from GARCH models","type":"article-journal","volume":"16"},"uris":["http://www.mendeley.com/documents/?uuid=8981ab77-413a-4401-b418-7059e734e171"]}],"mendeley":{"formattedCitation":"(Khan et al., 2023)","manualFormatting":"Khan et al. (2023)","plainTextFormattedCitation":"(Khan et al., 2023)","previouslyFormattedCitation":"(Khan et al., 2023)"},"properties":{"noteIndex":0},"schema":"https://github.com/citation-style-language/schema/raw/master/csl-citation.json"}</w:instrText>
      </w:r>
      <w:r w:rsidRPr="003A5D3C">
        <w:rPr>
          <w:rFonts w:asciiTheme="minorHAnsi" w:hAnsiTheme="minorHAnsi" w:cstheme="minorHAnsi"/>
          <w:lang w:val="id-ID"/>
        </w:rPr>
        <w:fldChar w:fldCharType="separate"/>
      </w:r>
      <w:r w:rsidRPr="003A5D3C">
        <w:rPr>
          <w:rFonts w:asciiTheme="minorHAnsi" w:hAnsiTheme="minorHAnsi" w:cstheme="minorHAnsi"/>
          <w:noProof/>
          <w:lang w:val="id-ID"/>
        </w:rPr>
        <w:t>Khan et al. (2023)</w:t>
      </w:r>
      <w:r w:rsidRPr="003A5D3C">
        <w:rPr>
          <w:rFonts w:asciiTheme="minorHAnsi" w:hAnsiTheme="minorHAnsi" w:cstheme="minorHAnsi"/>
          <w:lang w:val="id-ID"/>
        </w:rPr>
        <w:fldChar w:fldCharType="end"/>
      </w:r>
      <w:r w:rsidRPr="003A5D3C">
        <w:rPr>
          <w:rFonts w:asciiTheme="minorHAnsi" w:hAnsiTheme="minorHAnsi" w:cstheme="minorHAnsi"/>
          <w:lang w:val="id-ID"/>
        </w:rPr>
        <w:t xml:space="preserve"> stated that GARCH </w:t>
      </w:r>
      <w:r w:rsidRPr="003A5D3C">
        <w:rPr>
          <w:rFonts w:asciiTheme="minorHAnsi" w:hAnsiTheme="minorHAnsi" w:cstheme="minorHAnsi"/>
        </w:rPr>
        <w:t>can</w:t>
      </w:r>
      <w:r w:rsidRPr="003A5D3C">
        <w:rPr>
          <w:rFonts w:asciiTheme="minorHAnsi" w:hAnsiTheme="minorHAnsi" w:cstheme="minorHAnsi"/>
          <w:lang w:val="id-ID"/>
        </w:rPr>
        <w:t xml:space="preserve"> account for changes in volatility dynamically. GARCH</w:t>
      </w:r>
      <w:r w:rsidRPr="003A5D3C">
        <w:rPr>
          <w:rFonts w:asciiTheme="minorHAnsi" w:hAnsiTheme="minorHAnsi" w:cstheme="minorHAnsi"/>
        </w:rPr>
        <w:t xml:space="preserve"> </w:t>
      </w:r>
      <w:r w:rsidRPr="003A5D3C">
        <w:rPr>
          <w:rFonts w:asciiTheme="minorHAnsi" w:hAnsiTheme="minorHAnsi" w:cstheme="minorHAnsi"/>
          <w:lang w:val="id-ID"/>
        </w:rPr>
        <w:t xml:space="preserve">can estimate future volatility values based on historical volatility through the concept of autoregression and describe volatility probabilities through the concept of heteroscedasticity. </w:t>
      </w:r>
      <w:r w:rsidRPr="003A5D3C">
        <w:rPr>
          <w:rFonts w:asciiTheme="minorHAnsi" w:hAnsiTheme="minorHAnsi" w:cstheme="minorHAnsi"/>
          <w:lang w:val="id-ID"/>
        </w:rPr>
        <w:fldChar w:fldCharType="begin" w:fldLock="1"/>
      </w:r>
      <w:r w:rsidRPr="003A5D3C">
        <w:rPr>
          <w:rFonts w:asciiTheme="minorHAnsi" w:hAnsiTheme="minorHAnsi" w:cstheme="minorHAnsi"/>
          <w:lang w:val="id-ID"/>
        </w:rPr>
        <w:instrText>ADDIN CSL_CITATION {"citationItems":[{"id":"ITEM-1","itemData":{"DOI":"10.1155/2020/5386402","ISSN":"15635147","abstract":"The trucking sector is an essential part of the logistic system in China, carrying more than 80% of its goods. The complexity of the trucking market leads to tremendous uncertainty in the market volatility. Hence, in this highly competitive and vital market, trend forecasting is extremely difficult owing to the volatility of the freight rate. Consequently, there is interest in accurately forecasting the freight volatility for truck transportation. In this study, to represent the degree of variation of a freight rate series in the trucking sector over time, we first introduce truck rate volatility (TRV). This investigation utilizes the generalized autoregressive conditional heteroskedasticity (GARCH) family of methods to estimate the dynamic time-varying TRV using the real trucking industry transaction data obtained from an online freight exchange (OFEX) platform. It explores the ability of forecasting with and without reestimation at each step of the conventional GARCH models, a neural network exponential GARCH (NN-EGARCH) model, and a traditional forecasting technique, the autoregressive integrated moving average (ARIMA) approach. The empirical results from the southwest China trucking data indicate that the asymmetric GARCH-type models capture the characteristics of the TRV better than those with Gaussian distributions and that the leverage effects are observed in the TRV. Furthermore, the NN-EGARCH performs better in in-sample forecasting than other methods, whereas ARIMA performs similarly in out-of-sample TRV forecasting with reestimation. However, the Diebold-Mariano test indicates the better forecasting ability of ARIMA than the NN-EGARCH in the out-of-sample periods. The findings of this study can benefit truckers and shippers to capture the tendency change of the market to conduct their business plan, increase their look-to-buy rate, and avoid market risk.","author":[{"dropping-particle":"","family":"Xiao","given":"Wei","non-dropping-particle":"","parse-names":false,"suffix":""},{"dropping-particle":"","family":"Gan","given":"Mi","non-dropping-particle":"","parse-names":false,"suffix":""},{"dropping-particle":"","family":"Liu","given":"Hongling","non-dropping-particle":"","parse-names":false,"suffix":""},{"dropping-particle":"","family":"Liu","given":"Xiaobo","non-dropping-particle":"","parse-names":false,"suffix":""}],"container-title":"Mathematical Problems in Engineering","id":"ITEM-1","issued":{"date-parts":[["2020"]]},"page":"1-15","title":"Modeling and prediction of the volatility of the freight rate in the roadway freight market of China","type":"article-journal","volume":"2020"},"uris":["http://www.mendeley.com/documents/?uuid=3967c804-049f-4509-9a52-649bb0be69de"]}],"mendeley":{"formattedCitation":"(Xiao et al., 2020)","plainTextFormattedCitation":"(Xiao et al., 2020)","previouslyFormattedCitation":"(Xiao et al., 2020)"},"properties":{"noteIndex":0},"schema":"https://github.com/citation-style-language/schema/raw/master/csl-citation.json"}</w:instrText>
      </w:r>
      <w:r w:rsidRPr="003A5D3C">
        <w:rPr>
          <w:rFonts w:asciiTheme="minorHAnsi" w:hAnsiTheme="minorHAnsi" w:cstheme="minorHAnsi"/>
          <w:lang w:val="id-ID"/>
        </w:rPr>
        <w:fldChar w:fldCharType="separate"/>
      </w:r>
      <w:r w:rsidRPr="003A5D3C">
        <w:rPr>
          <w:rFonts w:asciiTheme="minorHAnsi" w:hAnsiTheme="minorHAnsi" w:cstheme="minorHAnsi"/>
          <w:noProof/>
          <w:lang w:val="id-ID"/>
        </w:rPr>
        <w:t>(Xiao et al., 2020)</w:t>
      </w:r>
      <w:r w:rsidRPr="003A5D3C">
        <w:rPr>
          <w:rFonts w:asciiTheme="minorHAnsi" w:hAnsiTheme="minorHAnsi" w:cstheme="minorHAnsi"/>
          <w:lang w:val="id-ID"/>
        </w:rPr>
        <w:fldChar w:fldCharType="end"/>
      </w:r>
      <w:r w:rsidRPr="003A5D3C">
        <w:rPr>
          <w:rFonts w:asciiTheme="minorHAnsi" w:hAnsiTheme="minorHAnsi" w:cstheme="minorHAnsi"/>
          <w:lang w:val="id-ID"/>
        </w:rPr>
        <w:t>. The respective stock market volatility can be calculated using the following equation:</w:t>
      </w:r>
    </w:p>
    <w:p w14:paraId="57BEDBA4" w14:textId="77777777" w:rsidR="00CF6DEB" w:rsidRPr="003A5D3C" w:rsidRDefault="00000000" w:rsidP="003A5D3C">
      <w:pPr>
        <w:spacing w:before="30" w:after="0" w:line="240" w:lineRule="auto"/>
        <w:jc w:val="both"/>
        <w:rPr>
          <w:rFonts w:asciiTheme="minorHAnsi" w:eastAsia="Times New Roman" w:hAnsiTheme="minorHAnsi" w:cstheme="minorHAnsi"/>
          <w:bCs/>
          <w:color w:val="000000"/>
          <w:lang w:val="id-ID"/>
        </w:rPr>
      </w:pPr>
      <m:oMathPara>
        <m:oMath>
          <m:sSub>
            <m:sSubPr>
              <m:ctrlPr>
                <w:rPr>
                  <w:rFonts w:ascii="Cambria Math" w:eastAsia="Times New Roman" w:hAnsi="Cambria Math" w:cstheme="minorHAnsi"/>
                  <w:bCs/>
                  <w:i/>
                  <w:color w:val="000000"/>
                  <w:lang w:val="id-ID"/>
                </w:rPr>
              </m:ctrlPr>
            </m:sSubPr>
            <m:e>
              <m:r>
                <w:rPr>
                  <w:rFonts w:ascii="Cambria Math" w:eastAsia="Times New Roman" w:hAnsi="Cambria Math" w:cstheme="minorHAnsi"/>
                  <w:color w:val="000000"/>
                  <w:lang w:val="id-ID"/>
                </w:rPr>
                <m:t>h</m:t>
              </m:r>
            </m:e>
            <m:sub>
              <m:r>
                <w:rPr>
                  <w:rFonts w:ascii="Cambria Math" w:eastAsia="Times New Roman" w:hAnsi="Cambria Math" w:cstheme="minorHAnsi"/>
                  <w:color w:val="000000"/>
                  <w:lang w:val="id-ID"/>
                </w:rPr>
                <m:t>t</m:t>
              </m:r>
            </m:sub>
          </m:sSub>
          <m:r>
            <w:rPr>
              <w:rFonts w:ascii="Cambria Math" w:eastAsia="Times New Roman" w:hAnsi="Cambria Math" w:cstheme="minorHAnsi"/>
              <w:color w:val="000000"/>
              <w:lang w:val="id-ID"/>
            </w:rPr>
            <m:t>=</m:t>
          </m:r>
          <m:sSub>
            <m:sSubPr>
              <m:ctrlPr>
                <w:rPr>
                  <w:rFonts w:ascii="Cambria Math" w:eastAsia="Times New Roman" w:hAnsi="Cambria Math" w:cstheme="minorHAnsi"/>
                  <w:bCs/>
                  <w:i/>
                  <w:color w:val="000000"/>
                  <w:lang w:val="id-ID"/>
                </w:rPr>
              </m:ctrlPr>
            </m:sSubPr>
            <m:e>
              <m:r>
                <w:rPr>
                  <w:rFonts w:ascii="Cambria Math" w:eastAsia="Times New Roman" w:hAnsi="Cambria Math" w:cstheme="minorHAnsi"/>
                  <w:color w:val="000000"/>
                  <w:lang w:val="id-ID"/>
                </w:rPr>
                <m:t>α</m:t>
              </m:r>
            </m:e>
            <m:sub>
              <m:r>
                <w:rPr>
                  <w:rFonts w:ascii="Cambria Math" w:eastAsia="Times New Roman" w:hAnsi="Cambria Math" w:cstheme="minorHAnsi"/>
                  <w:color w:val="000000"/>
                  <w:lang w:val="id-ID"/>
                </w:rPr>
                <m:t>0</m:t>
              </m:r>
            </m:sub>
          </m:sSub>
          <m:r>
            <w:rPr>
              <w:rFonts w:ascii="Cambria Math" w:eastAsia="Times New Roman" w:hAnsi="Cambria Math" w:cstheme="minorHAnsi"/>
              <w:color w:val="000000"/>
              <w:lang w:val="id-ID"/>
            </w:rPr>
            <m:t>+</m:t>
          </m:r>
          <m:nary>
            <m:naryPr>
              <m:chr m:val="∑"/>
              <m:limLoc m:val="undOvr"/>
              <m:ctrlPr>
                <w:rPr>
                  <w:rFonts w:ascii="Cambria Math" w:eastAsia="Times New Roman" w:hAnsi="Cambria Math" w:cstheme="minorHAnsi"/>
                  <w:bCs/>
                  <w:i/>
                  <w:color w:val="000000"/>
                  <w:lang w:val="id-ID"/>
                </w:rPr>
              </m:ctrlPr>
            </m:naryPr>
            <m:sub>
              <m:r>
                <w:rPr>
                  <w:rFonts w:ascii="Cambria Math" w:eastAsia="Times New Roman" w:hAnsi="Cambria Math" w:cstheme="minorHAnsi"/>
                  <w:color w:val="000000"/>
                  <w:lang w:val="id-ID"/>
                </w:rPr>
                <m:t>i=1</m:t>
              </m:r>
            </m:sub>
            <m:sup>
              <m:r>
                <w:rPr>
                  <w:rFonts w:ascii="Cambria Math" w:eastAsia="Times New Roman" w:hAnsi="Cambria Math" w:cstheme="minorHAnsi"/>
                  <w:color w:val="000000"/>
                  <w:lang w:val="id-ID"/>
                </w:rPr>
                <m:t>q</m:t>
              </m:r>
            </m:sup>
            <m:e>
              <m:sSub>
                <m:sSubPr>
                  <m:ctrlPr>
                    <w:rPr>
                      <w:rFonts w:ascii="Cambria Math" w:eastAsia="Times New Roman" w:hAnsi="Cambria Math" w:cstheme="minorHAnsi"/>
                      <w:bCs/>
                      <w:i/>
                      <w:color w:val="000000"/>
                      <w:lang w:val="id-ID"/>
                    </w:rPr>
                  </m:ctrlPr>
                </m:sSubPr>
                <m:e>
                  <m:r>
                    <w:rPr>
                      <w:rFonts w:ascii="Cambria Math" w:eastAsia="Times New Roman" w:hAnsi="Cambria Math" w:cstheme="minorHAnsi"/>
                      <w:color w:val="000000"/>
                      <w:lang w:val="id-ID"/>
                    </w:rPr>
                    <m:t>α</m:t>
                  </m:r>
                </m:e>
                <m:sub>
                  <m:r>
                    <w:rPr>
                      <w:rFonts w:ascii="Cambria Math" w:eastAsia="Times New Roman" w:hAnsi="Cambria Math" w:cstheme="minorHAnsi"/>
                      <w:color w:val="000000"/>
                      <w:lang w:val="id-ID"/>
                    </w:rPr>
                    <m:t>i</m:t>
                  </m:r>
                </m:sub>
              </m:sSub>
              <m:sSubSup>
                <m:sSubSupPr>
                  <m:ctrlPr>
                    <w:rPr>
                      <w:rFonts w:ascii="Cambria Math" w:eastAsia="Times New Roman" w:hAnsi="Cambria Math" w:cstheme="minorHAnsi"/>
                      <w:bCs/>
                      <w:i/>
                      <w:color w:val="000000"/>
                      <w:lang w:val="id-ID"/>
                    </w:rPr>
                  </m:ctrlPr>
                </m:sSubSupPr>
                <m:e>
                  <m:r>
                    <w:rPr>
                      <w:rFonts w:ascii="Cambria Math" w:eastAsia="Times New Roman" w:hAnsi="Cambria Math" w:cstheme="minorHAnsi"/>
                      <w:color w:val="000000"/>
                      <w:lang w:val="id-ID"/>
                    </w:rPr>
                    <m:t>e</m:t>
                  </m:r>
                </m:e>
                <m:sub>
                  <m:r>
                    <w:rPr>
                      <w:rFonts w:ascii="Cambria Math" w:eastAsia="Times New Roman" w:hAnsi="Cambria Math" w:cstheme="minorHAnsi"/>
                      <w:color w:val="000000"/>
                      <w:lang w:val="id-ID"/>
                    </w:rPr>
                    <m:t>t-1</m:t>
                  </m:r>
                </m:sub>
                <m:sup>
                  <m:r>
                    <w:rPr>
                      <w:rFonts w:ascii="Cambria Math" w:eastAsia="Times New Roman" w:hAnsi="Cambria Math" w:cstheme="minorHAnsi"/>
                      <w:color w:val="000000"/>
                      <w:lang w:val="id-ID"/>
                    </w:rPr>
                    <m:t>2</m:t>
                  </m:r>
                </m:sup>
              </m:sSubSup>
            </m:e>
          </m:nary>
          <m:r>
            <w:rPr>
              <w:rFonts w:ascii="Cambria Math" w:eastAsia="Times New Roman" w:hAnsi="Cambria Math" w:cstheme="minorHAnsi"/>
              <w:color w:val="000000"/>
              <w:lang w:val="id-ID"/>
            </w:rPr>
            <m:t>+</m:t>
          </m:r>
          <m:nary>
            <m:naryPr>
              <m:chr m:val="∑"/>
              <m:limLoc m:val="undOvr"/>
              <m:ctrlPr>
                <w:rPr>
                  <w:rFonts w:ascii="Cambria Math" w:eastAsia="Times New Roman" w:hAnsi="Cambria Math" w:cstheme="minorHAnsi"/>
                  <w:bCs/>
                  <w:i/>
                  <w:color w:val="000000"/>
                  <w:lang w:val="id-ID"/>
                </w:rPr>
              </m:ctrlPr>
            </m:naryPr>
            <m:sub>
              <m:r>
                <w:rPr>
                  <w:rFonts w:ascii="Cambria Math" w:eastAsia="Times New Roman" w:hAnsi="Cambria Math" w:cstheme="minorHAnsi"/>
                  <w:color w:val="000000"/>
                  <w:lang w:val="id-ID"/>
                </w:rPr>
                <m:t>j=i</m:t>
              </m:r>
            </m:sub>
            <m:sup>
              <m:r>
                <w:rPr>
                  <w:rFonts w:ascii="Cambria Math" w:eastAsia="Times New Roman" w:hAnsi="Cambria Math" w:cstheme="minorHAnsi"/>
                  <w:color w:val="000000"/>
                  <w:lang w:val="id-ID"/>
                </w:rPr>
                <m:t>p</m:t>
              </m:r>
            </m:sup>
            <m:e>
              <m:sSub>
                <m:sSubPr>
                  <m:ctrlPr>
                    <w:rPr>
                      <w:rFonts w:ascii="Cambria Math" w:eastAsia="Times New Roman" w:hAnsi="Cambria Math" w:cstheme="minorHAnsi"/>
                      <w:bCs/>
                      <w:i/>
                      <w:color w:val="000000"/>
                      <w:lang w:val="id-ID"/>
                    </w:rPr>
                  </m:ctrlPr>
                </m:sSubPr>
                <m:e>
                  <m:r>
                    <w:rPr>
                      <w:rFonts w:ascii="Cambria Math" w:eastAsia="Times New Roman" w:hAnsi="Cambria Math" w:cstheme="minorHAnsi"/>
                      <w:color w:val="000000"/>
                      <w:lang w:val="id-ID"/>
                    </w:rPr>
                    <m:t>β</m:t>
                  </m:r>
                </m:e>
                <m:sub>
                  <m:r>
                    <w:rPr>
                      <w:rFonts w:ascii="Cambria Math" w:eastAsia="Times New Roman" w:hAnsi="Cambria Math" w:cstheme="minorHAnsi"/>
                      <w:color w:val="000000"/>
                      <w:lang w:val="id-ID"/>
                    </w:rPr>
                    <m:t>j</m:t>
                  </m:r>
                </m:sub>
              </m:sSub>
              <m:sSubSup>
                <m:sSubSupPr>
                  <m:ctrlPr>
                    <w:rPr>
                      <w:rFonts w:ascii="Cambria Math" w:eastAsia="Times New Roman" w:hAnsi="Cambria Math" w:cstheme="minorHAnsi"/>
                      <w:bCs/>
                      <w:i/>
                      <w:color w:val="000000"/>
                      <w:lang w:val="id-ID"/>
                    </w:rPr>
                  </m:ctrlPr>
                </m:sSubSupPr>
                <m:e>
                  <m:r>
                    <w:rPr>
                      <w:rFonts w:ascii="Cambria Math" w:eastAsia="Times New Roman" w:hAnsi="Cambria Math" w:cstheme="minorHAnsi"/>
                      <w:color w:val="000000"/>
                      <w:lang w:val="id-ID"/>
                    </w:rPr>
                    <m:t>σ</m:t>
                  </m:r>
                </m:e>
                <m:sub>
                  <m:r>
                    <w:rPr>
                      <w:rFonts w:ascii="Cambria Math" w:eastAsia="Times New Roman" w:hAnsi="Cambria Math" w:cstheme="minorHAnsi"/>
                      <w:color w:val="000000"/>
                      <w:lang w:val="id-ID"/>
                    </w:rPr>
                    <m:t>t-j</m:t>
                  </m:r>
                </m:sub>
                <m:sup>
                  <m:r>
                    <w:rPr>
                      <w:rFonts w:ascii="Cambria Math" w:eastAsia="Times New Roman" w:hAnsi="Cambria Math" w:cstheme="minorHAnsi"/>
                      <w:color w:val="000000"/>
                      <w:lang w:val="id-ID"/>
                    </w:rPr>
                    <m:t>2</m:t>
                  </m:r>
                </m:sup>
              </m:sSubSup>
            </m:e>
          </m:nary>
        </m:oMath>
      </m:oMathPara>
    </w:p>
    <w:p w14:paraId="4FFD02A3" w14:textId="77777777" w:rsidR="00CF6DEB" w:rsidRPr="003A5D3C" w:rsidRDefault="00CF6DEB" w:rsidP="003A5D3C">
      <w:pPr>
        <w:tabs>
          <w:tab w:val="left" w:pos="1260"/>
        </w:tabs>
        <w:spacing w:after="0" w:line="240" w:lineRule="auto"/>
        <w:jc w:val="both"/>
        <w:rPr>
          <w:rFonts w:asciiTheme="minorHAnsi" w:hAnsiTheme="minorHAnsi" w:cstheme="minorHAnsi"/>
          <w:lang w:val="id-ID"/>
        </w:rPr>
      </w:pPr>
      <w:r w:rsidRPr="003A5D3C">
        <w:rPr>
          <w:rFonts w:asciiTheme="minorHAnsi" w:hAnsiTheme="minorHAnsi" w:cstheme="minorHAnsi"/>
        </w:rPr>
        <w:t>Where</w:t>
      </w:r>
      <w:r w:rsidRPr="003A5D3C">
        <w:rPr>
          <w:rFonts w:asciiTheme="minorHAnsi" w:hAnsiTheme="minorHAnsi" w:cstheme="minorHAnsi"/>
          <w:lang w:val="id-ID"/>
        </w:rPr>
        <w:tab/>
        <w:t xml:space="preserve">: </w:t>
      </w:r>
    </w:p>
    <w:p w14:paraId="385AFBCF" w14:textId="77777777" w:rsidR="00CF6DEB" w:rsidRPr="003A5D3C" w:rsidRDefault="00000000" w:rsidP="003A5D3C">
      <w:pPr>
        <w:tabs>
          <w:tab w:val="left" w:pos="1260"/>
        </w:tabs>
        <w:spacing w:after="0" w:line="240" w:lineRule="auto"/>
        <w:jc w:val="both"/>
        <w:rPr>
          <w:rFonts w:asciiTheme="minorHAnsi" w:hAnsiTheme="minorHAnsi" w:cstheme="minorHAnsi"/>
          <w:lang w:val="id-ID"/>
        </w:rPr>
      </w:pPr>
      <m:oMath>
        <m:sSub>
          <m:sSubPr>
            <m:ctrlPr>
              <w:rPr>
                <w:rFonts w:ascii="Cambria Math" w:eastAsia="Times New Roman" w:hAnsi="Cambria Math" w:cstheme="minorHAnsi"/>
                <w:bCs/>
                <w:i/>
                <w:color w:val="000000"/>
                <w:lang w:val="id-ID"/>
              </w:rPr>
            </m:ctrlPr>
          </m:sSubPr>
          <m:e>
            <m:r>
              <w:rPr>
                <w:rFonts w:ascii="Cambria Math" w:eastAsia="Times New Roman" w:hAnsi="Cambria Math" w:cstheme="minorHAnsi"/>
                <w:color w:val="000000"/>
                <w:lang w:val="id-ID"/>
              </w:rPr>
              <m:t>h</m:t>
            </m:r>
          </m:e>
          <m:sub>
            <m:r>
              <w:rPr>
                <w:rFonts w:ascii="Cambria Math" w:eastAsia="Times New Roman" w:hAnsi="Cambria Math" w:cstheme="minorHAnsi"/>
                <w:color w:val="000000"/>
                <w:lang w:val="id-ID"/>
              </w:rPr>
              <m:t>t</m:t>
            </m:r>
          </m:sub>
        </m:sSub>
      </m:oMath>
      <w:r w:rsidR="00CF6DEB" w:rsidRPr="003A5D3C">
        <w:rPr>
          <w:rFonts w:asciiTheme="minorHAnsi" w:eastAsiaTheme="minorEastAsia" w:hAnsiTheme="minorHAnsi" w:cstheme="minorHAnsi"/>
          <w:bCs/>
          <w:color w:val="000000"/>
          <w:lang w:val="id-ID"/>
        </w:rPr>
        <w:tab/>
        <w:t>: Volatility</w:t>
      </w:r>
    </w:p>
    <w:p w14:paraId="157B10D0" w14:textId="77777777" w:rsidR="00CF6DEB" w:rsidRPr="003A5D3C" w:rsidRDefault="00000000" w:rsidP="003A5D3C">
      <w:pPr>
        <w:tabs>
          <w:tab w:val="left" w:pos="1080"/>
          <w:tab w:val="left" w:pos="1260"/>
        </w:tabs>
        <w:spacing w:after="0" w:line="240" w:lineRule="auto"/>
        <w:jc w:val="both"/>
        <w:rPr>
          <w:rFonts w:asciiTheme="minorHAnsi" w:hAnsiTheme="minorHAnsi" w:cstheme="minorHAnsi"/>
          <w:lang w:val="id-ID"/>
        </w:rPr>
      </w:pPr>
      <m:oMath>
        <m:sSub>
          <m:sSubPr>
            <m:ctrlPr>
              <w:rPr>
                <w:rFonts w:ascii="Cambria Math" w:eastAsia="Times New Roman" w:hAnsi="Cambria Math" w:cstheme="minorHAnsi"/>
                <w:bCs/>
                <w:i/>
                <w:color w:val="000000"/>
                <w:lang w:val="id-ID"/>
              </w:rPr>
            </m:ctrlPr>
          </m:sSubPr>
          <m:e>
            <m:r>
              <w:rPr>
                <w:rFonts w:ascii="Cambria Math" w:eastAsia="Times New Roman" w:hAnsi="Cambria Math" w:cstheme="minorHAnsi"/>
                <w:color w:val="000000"/>
                <w:lang w:val="id-ID"/>
              </w:rPr>
              <m:t>α</m:t>
            </m:r>
          </m:e>
          <m:sub>
            <m:r>
              <w:rPr>
                <w:rFonts w:ascii="Cambria Math" w:eastAsia="Times New Roman" w:hAnsi="Cambria Math" w:cstheme="minorHAnsi"/>
                <w:color w:val="000000"/>
                <w:lang w:val="id-ID"/>
              </w:rPr>
              <m:t>i</m:t>
            </m:r>
          </m:sub>
        </m:sSub>
        <m:sSubSup>
          <m:sSubSupPr>
            <m:ctrlPr>
              <w:rPr>
                <w:rFonts w:ascii="Cambria Math" w:eastAsia="Times New Roman" w:hAnsi="Cambria Math" w:cstheme="minorHAnsi"/>
                <w:bCs/>
                <w:i/>
                <w:color w:val="000000"/>
                <w:lang w:val="id-ID"/>
              </w:rPr>
            </m:ctrlPr>
          </m:sSubSupPr>
          <m:e>
            <m:r>
              <w:rPr>
                <w:rFonts w:ascii="Cambria Math" w:eastAsia="Times New Roman" w:hAnsi="Cambria Math" w:cstheme="minorHAnsi"/>
                <w:color w:val="000000"/>
                <w:lang w:val="id-ID"/>
              </w:rPr>
              <m:t>e</m:t>
            </m:r>
          </m:e>
          <m:sub>
            <m:r>
              <w:rPr>
                <w:rFonts w:ascii="Cambria Math" w:eastAsia="Times New Roman" w:hAnsi="Cambria Math" w:cstheme="minorHAnsi"/>
                <w:color w:val="000000"/>
                <w:lang w:val="id-ID"/>
              </w:rPr>
              <m:t>t-1</m:t>
            </m:r>
          </m:sub>
          <m:sup>
            <m:r>
              <w:rPr>
                <w:rFonts w:ascii="Cambria Math" w:eastAsia="Times New Roman" w:hAnsi="Cambria Math" w:cstheme="minorHAnsi"/>
                <w:color w:val="000000"/>
                <w:lang w:val="id-ID"/>
              </w:rPr>
              <m:t>2</m:t>
            </m:r>
          </m:sup>
        </m:sSubSup>
      </m:oMath>
      <w:r w:rsidR="00CF6DEB" w:rsidRPr="003A5D3C">
        <w:rPr>
          <w:rFonts w:asciiTheme="minorHAnsi" w:eastAsiaTheme="minorEastAsia" w:hAnsiTheme="minorHAnsi" w:cstheme="minorHAnsi"/>
          <w:bCs/>
          <w:color w:val="000000"/>
          <w:lang w:val="id-ID"/>
        </w:rPr>
        <w:t xml:space="preserve"> </w:t>
      </w:r>
      <w:r w:rsidR="00CF6DEB" w:rsidRPr="003A5D3C">
        <w:rPr>
          <w:rFonts w:asciiTheme="minorHAnsi" w:eastAsiaTheme="minorEastAsia" w:hAnsiTheme="minorHAnsi" w:cstheme="minorHAnsi"/>
          <w:bCs/>
          <w:color w:val="000000"/>
          <w:lang w:val="id-ID"/>
        </w:rPr>
        <w:tab/>
      </w:r>
      <w:r w:rsidR="00CF6DEB" w:rsidRPr="003A5D3C">
        <w:rPr>
          <w:rFonts w:asciiTheme="minorHAnsi" w:eastAsiaTheme="minorEastAsia" w:hAnsiTheme="minorHAnsi" w:cstheme="minorHAnsi"/>
          <w:bCs/>
          <w:color w:val="000000"/>
          <w:lang w:val="id-ID"/>
        </w:rPr>
        <w:tab/>
        <w:t xml:space="preserve">: Volatility of </w:t>
      </w:r>
      <w:r w:rsidR="00CF6DEB" w:rsidRPr="003A5D3C">
        <w:rPr>
          <w:rFonts w:asciiTheme="minorHAnsi" w:eastAsiaTheme="minorEastAsia" w:hAnsiTheme="minorHAnsi" w:cstheme="minorHAnsi"/>
          <w:bCs/>
          <w:color w:val="000000"/>
        </w:rPr>
        <w:t>ARCH</w:t>
      </w:r>
      <w:r w:rsidR="00CF6DEB" w:rsidRPr="003A5D3C">
        <w:rPr>
          <w:rFonts w:asciiTheme="minorHAnsi" w:eastAsiaTheme="minorEastAsia" w:hAnsiTheme="minorHAnsi" w:cstheme="minorHAnsi"/>
          <w:bCs/>
          <w:color w:val="000000"/>
          <w:lang w:val="id-ID"/>
        </w:rPr>
        <w:t xml:space="preserve"> component</w:t>
      </w:r>
    </w:p>
    <w:p w14:paraId="2D40C285" w14:textId="77777777" w:rsidR="00CF6DEB" w:rsidRPr="003A5D3C" w:rsidRDefault="00000000" w:rsidP="003A5D3C">
      <w:pPr>
        <w:tabs>
          <w:tab w:val="left" w:pos="1080"/>
          <w:tab w:val="left" w:pos="1260"/>
        </w:tabs>
        <w:spacing w:line="240" w:lineRule="auto"/>
        <w:jc w:val="both"/>
        <w:rPr>
          <w:rFonts w:asciiTheme="minorHAnsi" w:hAnsiTheme="minorHAnsi" w:cstheme="minorHAnsi"/>
          <w:lang w:val="id-ID"/>
        </w:rPr>
      </w:pPr>
      <m:oMath>
        <m:sSub>
          <m:sSubPr>
            <m:ctrlPr>
              <w:rPr>
                <w:rFonts w:ascii="Cambria Math" w:eastAsia="Times New Roman" w:hAnsi="Cambria Math" w:cstheme="minorHAnsi"/>
                <w:bCs/>
                <w:i/>
                <w:color w:val="000000"/>
                <w:lang w:val="id-ID"/>
              </w:rPr>
            </m:ctrlPr>
          </m:sSubPr>
          <m:e>
            <m:r>
              <w:rPr>
                <w:rFonts w:ascii="Cambria Math" w:eastAsia="Times New Roman" w:hAnsi="Cambria Math" w:cstheme="minorHAnsi"/>
                <w:color w:val="000000"/>
                <w:lang w:val="id-ID"/>
              </w:rPr>
              <m:t>β</m:t>
            </m:r>
          </m:e>
          <m:sub>
            <m:r>
              <w:rPr>
                <w:rFonts w:ascii="Cambria Math" w:eastAsia="Times New Roman" w:hAnsi="Cambria Math" w:cstheme="minorHAnsi"/>
                <w:color w:val="000000"/>
                <w:lang w:val="id-ID"/>
              </w:rPr>
              <m:t>j</m:t>
            </m:r>
          </m:sub>
        </m:sSub>
        <m:sSubSup>
          <m:sSubSupPr>
            <m:ctrlPr>
              <w:rPr>
                <w:rFonts w:ascii="Cambria Math" w:eastAsia="Times New Roman" w:hAnsi="Cambria Math" w:cstheme="minorHAnsi"/>
                <w:bCs/>
                <w:i/>
                <w:color w:val="000000"/>
                <w:lang w:val="id-ID"/>
              </w:rPr>
            </m:ctrlPr>
          </m:sSubSupPr>
          <m:e>
            <m:r>
              <w:rPr>
                <w:rFonts w:ascii="Cambria Math" w:eastAsia="Times New Roman" w:hAnsi="Cambria Math" w:cstheme="minorHAnsi"/>
                <w:color w:val="000000"/>
                <w:lang w:val="id-ID"/>
              </w:rPr>
              <m:t>σ</m:t>
            </m:r>
          </m:e>
          <m:sub>
            <m:r>
              <w:rPr>
                <w:rFonts w:ascii="Cambria Math" w:eastAsia="Times New Roman" w:hAnsi="Cambria Math" w:cstheme="minorHAnsi"/>
                <w:color w:val="000000"/>
                <w:lang w:val="id-ID"/>
              </w:rPr>
              <m:t>t-j</m:t>
            </m:r>
          </m:sub>
          <m:sup>
            <m:r>
              <w:rPr>
                <w:rFonts w:ascii="Cambria Math" w:eastAsia="Times New Roman" w:hAnsi="Cambria Math" w:cstheme="minorHAnsi"/>
                <w:color w:val="000000"/>
                <w:lang w:val="id-ID"/>
              </w:rPr>
              <m:t>2</m:t>
            </m:r>
          </m:sup>
        </m:sSubSup>
      </m:oMath>
      <w:r w:rsidR="00CF6DEB" w:rsidRPr="003A5D3C">
        <w:rPr>
          <w:rFonts w:asciiTheme="minorHAnsi" w:eastAsiaTheme="minorEastAsia" w:hAnsiTheme="minorHAnsi" w:cstheme="minorHAnsi"/>
          <w:bCs/>
          <w:color w:val="000000"/>
          <w:lang w:val="id-ID"/>
        </w:rPr>
        <w:t xml:space="preserve"> </w:t>
      </w:r>
      <w:r w:rsidR="00CF6DEB" w:rsidRPr="003A5D3C">
        <w:rPr>
          <w:rFonts w:asciiTheme="minorHAnsi" w:eastAsiaTheme="minorEastAsia" w:hAnsiTheme="minorHAnsi" w:cstheme="minorHAnsi"/>
          <w:bCs/>
          <w:color w:val="000000"/>
          <w:lang w:val="id-ID"/>
        </w:rPr>
        <w:tab/>
      </w:r>
      <w:r w:rsidR="00CF6DEB" w:rsidRPr="003A5D3C">
        <w:rPr>
          <w:rFonts w:asciiTheme="minorHAnsi" w:eastAsiaTheme="minorEastAsia" w:hAnsiTheme="minorHAnsi" w:cstheme="minorHAnsi"/>
          <w:bCs/>
          <w:color w:val="000000"/>
          <w:lang w:val="id-ID"/>
        </w:rPr>
        <w:tab/>
        <w:t xml:space="preserve">: Volatility of </w:t>
      </w:r>
      <w:r w:rsidR="00CF6DEB" w:rsidRPr="003A5D3C">
        <w:rPr>
          <w:rFonts w:asciiTheme="minorHAnsi" w:eastAsiaTheme="minorEastAsia" w:hAnsiTheme="minorHAnsi" w:cstheme="minorHAnsi"/>
          <w:bCs/>
          <w:color w:val="000000"/>
        </w:rPr>
        <w:t>GARCH</w:t>
      </w:r>
      <w:r w:rsidR="00CF6DEB" w:rsidRPr="003A5D3C">
        <w:rPr>
          <w:rFonts w:asciiTheme="minorHAnsi" w:eastAsiaTheme="minorEastAsia" w:hAnsiTheme="minorHAnsi" w:cstheme="minorHAnsi"/>
          <w:bCs/>
          <w:color w:val="000000"/>
          <w:lang w:val="id-ID"/>
        </w:rPr>
        <w:t xml:space="preserve"> component</w:t>
      </w:r>
    </w:p>
    <w:p w14:paraId="287342AF" w14:textId="77777777" w:rsidR="00CF6DEB" w:rsidRPr="003A5D3C" w:rsidRDefault="00CF6DEB" w:rsidP="003A5D3C">
      <w:pPr>
        <w:spacing w:after="0" w:line="240" w:lineRule="auto"/>
        <w:ind w:firstLine="284"/>
        <w:jc w:val="both"/>
        <w:rPr>
          <w:rFonts w:asciiTheme="minorHAnsi" w:hAnsiTheme="minorHAnsi" w:cstheme="minorHAnsi"/>
          <w:lang w:val="id-ID"/>
        </w:rPr>
      </w:pPr>
      <w:r w:rsidRPr="003A5D3C">
        <w:rPr>
          <w:rFonts w:asciiTheme="minorHAnsi" w:hAnsiTheme="minorHAnsi" w:cstheme="minorHAnsi"/>
          <w:lang w:val="id-ID"/>
        </w:rPr>
        <w:t>Since this study has several dependent variables, the GARCH model equation used is as follows:</w:t>
      </w:r>
    </w:p>
    <w:p w14:paraId="68D1E94C" w14:textId="77777777" w:rsidR="00CF6DEB" w:rsidRPr="003A5D3C" w:rsidRDefault="00000000" w:rsidP="003A5D3C">
      <w:pPr>
        <w:spacing w:after="0" w:line="240" w:lineRule="auto"/>
        <w:ind w:left="720"/>
        <w:jc w:val="both"/>
        <w:rPr>
          <w:rFonts w:asciiTheme="minorHAnsi" w:eastAsiaTheme="minorEastAsia" w:hAnsiTheme="minorHAnsi" w:cstheme="minorHAnsi"/>
          <w:lang w:val="id-ID"/>
        </w:rPr>
      </w:pPr>
      <m:oMathPara>
        <m:oMath>
          <m:sSub>
            <m:sSubPr>
              <m:ctrlPr>
                <w:rPr>
                  <w:rFonts w:ascii="Cambria Math" w:hAnsi="Cambria Math" w:cstheme="minorHAnsi"/>
                  <w:i/>
                  <w:lang w:val="id-ID"/>
                </w:rPr>
              </m:ctrlPr>
            </m:sSubPr>
            <m:e>
              <m:r>
                <w:rPr>
                  <w:rFonts w:ascii="Cambria Math" w:hAnsi="Cambria Math" w:cstheme="minorHAnsi"/>
                  <w:lang w:val="id-ID"/>
                </w:rPr>
                <m:t>R</m:t>
              </m:r>
            </m:e>
            <m:sub>
              <m:sSub>
                <m:sSubPr>
                  <m:ctrlPr>
                    <w:rPr>
                      <w:rFonts w:ascii="Cambria Math" w:hAnsi="Cambria Math" w:cstheme="minorHAnsi"/>
                      <w:i/>
                      <w:lang w:val="id-ID"/>
                    </w:rPr>
                  </m:ctrlPr>
                </m:sSubPr>
                <m:e>
                  <m:r>
                    <w:rPr>
                      <w:rFonts w:ascii="Cambria Math" w:hAnsi="Cambria Math" w:cstheme="minorHAnsi"/>
                      <w:lang w:val="id-ID"/>
                    </w:rPr>
                    <m:t>Gold</m:t>
                  </m:r>
                </m:e>
                <m:sub>
                  <m:r>
                    <w:rPr>
                      <w:rFonts w:ascii="Cambria Math" w:hAnsi="Cambria Math" w:cstheme="minorHAnsi"/>
                      <w:lang w:val="id-ID"/>
                    </w:rPr>
                    <m:t>t</m:t>
                  </m:r>
                </m:sub>
              </m:sSub>
            </m:sub>
          </m:sSub>
          <m:r>
            <w:rPr>
              <w:rFonts w:ascii="Cambria Math" w:hAnsi="Cambria Math" w:cstheme="minorHAnsi"/>
              <w:lang w:val="id-ID"/>
            </w:rPr>
            <m:t>=</m:t>
          </m:r>
          <m:sSub>
            <m:sSubPr>
              <m:ctrlPr>
                <w:rPr>
                  <w:rFonts w:ascii="Cambria Math" w:hAnsi="Cambria Math" w:cstheme="minorHAnsi"/>
                  <w:i/>
                  <w:lang w:val="id-ID"/>
                </w:rPr>
              </m:ctrlPr>
            </m:sSubPr>
            <m:e>
              <m:r>
                <w:rPr>
                  <w:rFonts w:ascii="Cambria Math" w:hAnsi="Cambria Math" w:cstheme="minorHAnsi"/>
                  <w:lang w:val="id-ID"/>
                </w:rPr>
                <m:t>β</m:t>
              </m:r>
            </m:e>
            <m:sub>
              <m:r>
                <w:rPr>
                  <w:rFonts w:ascii="Cambria Math" w:hAnsi="Cambria Math" w:cstheme="minorHAnsi"/>
                  <w:lang w:val="id-ID"/>
                </w:rPr>
                <m:t>0</m:t>
              </m:r>
            </m:sub>
          </m:sSub>
          <m:r>
            <w:rPr>
              <w:rFonts w:ascii="Cambria Math" w:hAnsi="Cambria Math" w:cstheme="minorHAnsi"/>
              <w:lang w:val="id-ID"/>
            </w:rPr>
            <m:t>+</m:t>
          </m:r>
          <m:sSub>
            <m:sSubPr>
              <m:ctrlPr>
                <w:rPr>
                  <w:rFonts w:ascii="Cambria Math" w:hAnsi="Cambria Math" w:cstheme="minorHAnsi"/>
                  <w:i/>
                  <w:lang w:val="id-ID"/>
                </w:rPr>
              </m:ctrlPr>
            </m:sSubPr>
            <m:e>
              <m:sSub>
                <m:sSubPr>
                  <m:ctrlPr>
                    <w:rPr>
                      <w:rFonts w:ascii="Cambria Math" w:hAnsi="Cambria Math" w:cstheme="minorHAnsi"/>
                      <w:i/>
                      <w:lang w:val="id-ID"/>
                    </w:rPr>
                  </m:ctrlPr>
                </m:sSubPr>
                <m:e>
                  <m:r>
                    <w:rPr>
                      <w:rFonts w:ascii="Cambria Math" w:hAnsi="Cambria Math" w:cstheme="minorHAnsi"/>
                      <w:lang w:val="id-ID"/>
                    </w:rPr>
                    <m:t>β</m:t>
                  </m:r>
                </m:e>
                <m:sub>
                  <m:r>
                    <w:rPr>
                      <w:rFonts w:ascii="Cambria Math" w:hAnsi="Cambria Math" w:cstheme="minorHAnsi"/>
                      <w:lang w:val="id-ID"/>
                    </w:rPr>
                    <m:t>1</m:t>
                  </m:r>
                </m:sub>
              </m:sSub>
              <m:r>
                <w:rPr>
                  <w:rFonts w:ascii="Cambria Math" w:hAnsi="Cambria Math" w:cstheme="minorHAnsi"/>
                  <w:lang w:val="id-ID"/>
                </w:rPr>
                <m:t>h</m:t>
              </m:r>
            </m:e>
            <m:sub>
              <m:sSub>
                <m:sSubPr>
                  <m:ctrlPr>
                    <w:rPr>
                      <w:rFonts w:ascii="Cambria Math" w:hAnsi="Cambria Math" w:cstheme="minorHAnsi"/>
                      <w:i/>
                      <w:lang w:val="id-ID"/>
                    </w:rPr>
                  </m:ctrlPr>
                </m:sSubPr>
                <m:e>
                  <m:r>
                    <w:rPr>
                      <w:rFonts w:ascii="Cambria Math" w:hAnsi="Cambria Math" w:cstheme="minorHAnsi"/>
                      <w:lang w:val="id-ID"/>
                    </w:rPr>
                    <m:t>m</m:t>
                  </m:r>
                </m:e>
                <m:sub>
                  <m:r>
                    <w:rPr>
                      <w:rFonts w:ascii="Cambria Math" w:hAnsi="Cambria Math" w:cstheme="minorHAnsi"/>
                      <w:lang w:val="id-ID"/>
                    </w:rPr>
                    <m:t>it</m:t>
                  </m:r>
                </m:sub>
              </m:sSub>
            </m:sub>
          </m:sSub>
          <m:r>
            <w:rPr>
              <w:rFonts w:ascii="Cambria Math" w:hAnsi="Cambria Math" w:cstheme="minorHAnsi"/>
              <w:lang w:val="id-ID"/>
            </w:rPr>
            <m:t>+</m:t>
          </m:r>
          <m:sSubSup>
            <m:sSubSupPr>
              <m:ctrlPr>
                <w:rPr>
                  <w:rFonts w:ascii="Cambria Math" w:hAnsi="Cambria Math" w:cstheme="minorHAnsi"/>
                  <w:i/>
                  <w:lang w:val="id-ID"/>
                </w:rPr>
              </m:ctrlPr>
            </m:sSubSupPr>
            <m:e>
              <m:r>
                <w:rPr>
                  <w:rFonts w:ascii="Cambria Math" w:hAnsi="Cambria Math" w:cstheme="minorHAnsi"/>
                  <w:lang w:val="id-ID"/>
                </w:rPr>
                <m:t>σ</m:t>
              </m:r>
            </m:e>
            <m:sub>
              <m:r>
                <w:rPr>
                  <w:rFonts w:ascii="Cambria Math" w:hAnsi="Cambria Math" w:cstheme="minorHAnsi"/>
                  <w:lang w:val="id-ID"/>
                </w:rPr>
                <m:t>t</m:t>
              </m:r>
            </m:sub>
            <m:sup>
              <m:r>
                <w:rPr>
                  <w:rFonts w:ascii="Cambria Math" w:hAnsi="Cambria Math" w:cstheme="minorHAnsi"/>
                  <w:lang w:val="id-ID"/>
                </w:rPr>
                <m:t>2</m:t>
              </m:r>
            </m:sup>
          </m:sSubSup>
          <m:r>
            <w:rPr>
              <w:rFonts w:ascii="Cambria Math" w:hAnsi="Cambria Math" w:cstheme="minorHAnsi"/>
              <w:lang w:val="id-ID"/>
            </w:rPr>
            <m:t>+</m:t>
          </m:r>
          <m:sSub>
            <m:sSubPr>
              <m:ctrlPr>
                <w:rPr>
                  <w:rFonts w:ascii="Cambria Math" w:hAnsi="Cambria Math" w:cstheme="minorHAnsi"/>
                  <w:i/>
                  <w:lang w:val="id-ID"/>
                </w:rPr>
              </m:ctrlPr>
            </m:sSubPr>
            <m:e>
              <m:r>
                <w:rPr>
                  <w:rFonts w:ascii="Cambria Math" w:hAnsi="Cambria Math" w:cstheme="minorHAnsi"/>
                  <w:lang w:val="id-ID"/>
                </w:rPr>
                <m:t>ε</m:t>
              </m:r>
            </m:e>
            <m:sub>
              <m:r>
                <w:rPr>
                  <w:rFonts w:ascii="Cambria Math" w:hAnsi="Cambria Math" w:cstheme="minorHAnsi"/>
                  <w:lang w:val="id-ID"/>
                </w:rPr>
                <m:t>t</m:t>
              </m:r>
            </m:sub>
          </m:sSub>
        </m:oMath>
      </m:oMathPara>
    </w:p>
    <w:p w14:paraId="57EFEB83" w14:textId="77777777" w:rsidR="00CF6DEB" w:rsidRPr="003A5D3C" w:rsidRDefault="00000000" w:rsidP="003A5D3C">
      <w:pPr>
        <w:spacing w:after="0" w:line="240" w:lineRule="auto"/>
        <w:ind w:left="720"/>
        <w:jc w:val="both"/>
        <w:rPr>
          <w:rFonts w:asciiTheme="minorHAnsi" w:eastAsiaTheme="minorEastAsia" w:hAnsiTheme="minorHAnsi" w:cstheme="minorHAnsi"/>
          <w:lang w:val="id-ID"/>
        </w:rPr>
      </w:pPr>
      <m:oMathPara>
        <m:oMath>
          <m:sSub>
            <m:sSubPr>
              <m:ctrlPr>
                <w:rPr>
                  <w:rFonts w:ascii="Cambria Math" w:hAnsi="Cambria Math" w:cstheme="minorHAnsi"/>
                  <w:i/>
                  <w:lang w:val="id-ID"/>
                </w:rPr>
              </m:ctrlPr>
            </m:sSubPr>
            <m:e>
              <m:r>
                <w:rPr>
                  <w:rFonts w:ascii="Cambria Math" w:hAnsi="Cambria Math" w:cstheme="minorHAnsi"/>
                  <w:lang w:val="id-ID"/>
                </w:rPr>
                <m:t>R</m:t>
              </m:r>
            </m:e>
            <m:sub>
              <m:sSub>
                <m:sSubPr>
                  <m:ctrlPr>
                    <w:rPr>
                      <w:rFonts w:ascii="Cambria Math" w:hAnsi="Cambria Math" w:cstheme="minorHAnsi"/>
                      <w:i/>
                      <w:lang w:val="id-ID"/>
                    </w:rPr>
                  </m:ctrlPr>
                </m:sSubPr>
                <m:e>
                  <m:r>
                    <w:rPr>
                      <w:rFonts w:ascii="Cambria Math" w:hAnsi="Cambria Math" w:cstheme="minorHAnsi"/>
                      <w:lang w:val="id-ID"/>
                    </w:rPr>
                    <m:t>DXY</m:t>
                  </m:r>
                </m:e>
                <m:sub>
                  <m:r>
                    <w:rPr>
                      <w:rFonts w:ascii="Cambria Math" w:hAnsi="Cambria Math" w:cstheme="minorHAnsi"/>
                      <w:lang w:val="id-ID"/>
                    </w:rPr>
                    <m:t>t</m:t>
                  </m:r>
                </m:sub>
              </m:sSub>
            </m:sub>
          </m:sSub>
          <m:r>
            <w:rPr>
              <w:rFonts w:ascii="Cambria Math" w:hAnsi="Cambria Math" w:cstheme="minorHAnsi"/>
              <w:lang w:val="id-ID"/>
            </w:rPr>
            <m:t>=</m:t>
          </m:r>
          <m:sSub>
            <m:sSubPr>
              <m:ctrlPr>
                <w:rPr>
                  <w:rFonts w:ascii="Cambria Math" w:hAnsi="Cambria Math" w:cstheme="minorHAnsi"/>
                  <w:i/>
                  <w:lang w:val="id-ID"/>
                </w:rPr>
              </m:ctrlPr>
            </m:sSubPr>
            <m:e>
              <m:r>
                <w:rPr>
                  <w:rFonts w:ascii="Cambria Math" w:hAnsi="Cambria Math" w:cstheme="minorHAnsi"/>
                  <w:lang w:val="id-ID"/>
                </w:rPr>
                <m:t>β</m:t>
              </m:r>
            </m:e>
            <m:sub>
              <m:r>
                <w:rPr>
                  <w:rFonts w:ascii="Cambria Math" w:hAnsi="Cambria Math" w:cstheme="minorHAnsi"/>
                  <w:lang w:val="id-ID"/>
                </w:rPr>
                <m:t>0</m:t>
              </m:r>
            </m:sub>
          </m:sSub>
          <m:r>
            <w:rPr>
              <w:rFonts w:ascii="Cambria Math" w:hAnsi="Cambria Math" w:cstheme="minorHAnsi"/>
              <w:lang w:val="id-ID"/>
            </w:rPr>
            <m:t>+</m:t>
          </m:r>
          <m:sSub>
            <m:sSubPr>
              <m:ctrlPr>
                <w:rPr>
                  <w:rFonts w:ascii="Cambria Math" w:hAnsi="Cambria Math" w:cstheme="minorHAnsi"/>
                  <w:i/>
                  <w:lang w:val="id-ID"/>
                </w:rPr>
              </m:ctrlPr>
            </m:sSubPr>
            <m:e>
              <m:sSub>
                <m:sSubPr>
                  <m:ctrlPr>
                    <w:rPr>
                      <w:rFonts w:ascii="Cambria Math" w:hAnsi="Cambria Math" w:cstheme="minorHAnsi"/>
                      <w:i/>
                      <w:lang w:val="id-ID"/>
                    </w:rPr>
                  </m:ctrlPr>
                </m:sSubPr>
                <m:e>
                  <m:r>
                    <w:rPr>
                      <w:rFonts w:ascii="Cambria Math" w:hAnsi="Cambria Math" w:cstheme="minorHAnsi"/>
                      <w:lang w:val="id-ID"/>
                    </w:rPr>
                    <m:t>β</m:t>
                  </m:r>
                </m:e>
                <m:sub>
                  <m:r>
                    <w:rPr>
                      <w:rFonts w:ascii="Cambria Math" w:hAnsi="Cambria Math" w:cstheme="minorHAnsi"/>
                      <w:lang w:val="id-ID"/>
                    </w:rPr>
                    <m:t>1</m:t>
                  </m:r>
                </m:sub>
              </m:sSub>
              <m:r>
                <w:rPr>
                  <w:rFonts w:ascii="Cambria Math" w:hAnsi="Cambria Math" w:cstheme="minorHAnsi"/>
                  <w:lang w:val="id-ID"/>
                </w:rPr>
                <m:t>h</m:t>
              </m:r>
            </m:e>
            <m:sub>
              <m:sSub>
                <m:sSubPr>
                  <m:ctrlPr>
                    <w:rPr>
                      <w:rFonts w:ascii="Cambria Math" w:hAnsi="Cambria Math" w:cstheme="minorHAnsi"/>
                      <w:i/>
                      <w:lang w:val="id-ID"/>
                    </w:rPr>
                  </m:ctrlPr>
                </m:sSubPr>
                <m:e>
                  <m:r>
                    <w:rPr>
                      <w:rFonts w:ascii="Cambria Math" w:hAnsi="Cambria Math" w:cstheme="minorHAnsi"/>
                      <w:lang w:val="id-ID"/>
                    </w:rPr>
                    <m:t>m</m:t>
                  </m:r>
                </m:e>
                <m:sub>
                  <m:r>
                    <w:rPr>
                      <w:rFonts w:ascii="Cambria Math" w:hAnsi="Cambria Math" w:cstheme="minorHAnsi"/>
                      <w:lang w:val="id-ID"/>
                    </w:rPr>
                    <m:t>it</m:t>
                  </m:r>
                </m:sub>
              </m:sSub>
            </m:sub>
          </m:sSub>
          <m:r>
            <w:rPr>
              <w:rFonts w:ascii="Cambria Math" w:hAnsi="Cambria Math" w:cstheme="minorHAnsi"/>
              <w:lang w:val="id-ID"/>
            </w:rPr>
            <m:t>+</m:t>
          </m:r>
          <m:sSubSup>
            <m:sSubSupPr>
              <m:ctrlPr>
                <w:rPr>
                  <w:rFonts w:ascii="Cambria Math" w:hAnsi="Cambria Math" w:cstheme="minorHAnsi"/>
                  <w:i/>
                  <w:lang w:val="id-ID"/>
                </w:rPr>
              </m:ctrlPr>
            </m:sSubSupPr>
            <m:e>
              <m:r>
                <w:rPr>
                  <w:rFonts w:ascii="Cambria Math" w:hAnsi="Cambria Math" w:cstheme="minorHAnsi"/>
                  <w:lang w:val="id-ID"/>
                </w:rPr>
                <m:t>σ</m:t>
              </m:r>
            </m:e>
            <m:sub>
              <m:r>
                <w:rPr>
                  <w:rFonts w:ascii="Cambria Math" w:hAnsi="Cambria Math" w:cstheme="minorHAnsi"/>
                  <w:lang w:val="id-ID"/>
                </w:rPr>
                <m:t>t</m:t>
              </m:r>
            </m:sub>
            <m:sup>
              <m:r>
                <w:rPr>
                  <w:rFonts w:ascii="Cambria Math" w:hAnsi="Cambria Math" w:cstheme="minorHAnsi"/>
                  <w:lang w:val="id-ID"/>
                </w:rPr>
                <m:t>2</m:t>
              </m:r>
            </m:sup>
          </m:sSubSup>
          <m:r>
            <w:rPr>
              <w:rFonts w:ascii="Cambria Math" w:hAnsi="Cambria Math" w:cstheme="minorHAnsi"/>
              <w:lang w:val="id-ID"/>
            </w:rPr>
            <m:t>+</m:t>
          </m:r>
          <m:sSub>
            <m:sSubPr>
              <m:ctrlPr>
                <w:rPr>
                  <w:rFonts w:ascii="Cambria Math" w:hAnsi="Cambria Math" w:cstheme="minorHAnsi"/>
                  <w:i/>
                  <w:lang w:val="id-ID"/>
                </w:rPr>
              </m:ctrlPr>
            </m:sSubPr>
            <m:e>
              <m:r>
                <w:rPr>
                  <w:rFonts w:ascii="Cambria Math" w:hAnsi="Cambria Math" w:cstheme="minorHAnsi"/>
                  <w:lang w:val="id-ID"/>
                </w:rPr>
                <m:t>ε</m:t>
              </m:r>
            </m:e>
            <m:sub>
              <m:r>
                <w:rPr>
                  <w:rFonts w:ascii="Cambria Math" w:hAnsi="Cambria Math" w:cstheme="minorHAnsi"/>
                  <w:lang w:val="id-ID"/>
                </w:rPr>
                <m:t>t</m:t>
              </m:r>
            </m:sub>
          </m:sSub>
        </m:oMath>
      </m:oMathPara>
    </w:p>
    <w:p w14:paraId="2A2AF7CD" w14:textId="77777777" w:rsidR="00CF6DEB" w:rsidRPr="003A5D3C" w:rsidRDefault="00CF6DEB" w:rsidP="003A5D3C">
      <w:pPr>
        <w:tabs>
          <w:tab w:val="left" w:pos="1260"/>
        </w:tabs>
        <w:spacing w:after="0" w:line="240" w:lineRule="auto"/>
        <w:jc w:val="both"/>
        <w:rPr>
          <w:rFonts w:asciiTheme="minorHAnsi" w:eastAsiaTheme="minorEastAsia" w:hAnsiTheme="minorHAnsi" w:cstheme="minorHAnsi"/>
          <w:lang w:val="id-ID"/>
        </w:rPr>
      </w:pPr>
      <w:r w:rsidRPr="003A5D3C">
        <w:rPr>
          <w:rFonts w:asciiTheme="minorHAnsi" w:eastAsiaTheme="minorEastAsia" w:hAnsiTheme="minorHAnsi" w:cstheme="minorHAnsi"/>
        </w:rPr>
        <w:t>Where</w:t>
      </w:r>
      <w:r w:rsidRPr="003A5D3C">
        <w:rPr>
          <w:rFonts w:asciiTheme="minorHAnsi" w:eastAsiaTheme="minorEastAsia" w:hAnsiTheme="minorHAnsi" w:cstheme="minorHAnsi"/>
          <w:lang w:val="id-ID"/>
        </w:rPr>
        <w:tab/>
        <w:t>:</w:t>
      </w:r>
    </w:p>
    <w:p w14:paraId="4D714CF0" w14:textId="77777777" w:rsidR="00CF6DEB" w:rsidRPr="003A5D3C" w:rsidRDefault="00000000" w:rsidP="003A5D3C">
      <w:pPr>
        <w:tabs>
          <w:tab w:val="left" w:pos="1080"/>
          <w:tab w:val="left" w:pos="1260"/>
        </w:tabs>
        <w:spacing w:after="0" w:line="240" w:lineRule="auto"/>
        <w:jc w:val="both"/>
        <w:rPr>
          <w:rFonts w:asciiTheme="minorHAnsi" w:eastAsiaTheme="minorEastAsia" w:hAnsiTheme="minorHAnsi" w:cstheme="minorHAnsi"/>
          <w:lang w:val="id-ID"/>
        </w:rPr>
      </w:pPr>
      <m:oMath>
        <m:sSub>
          <m:sSubPr>
            <m:ctrlPr>
              <w:rPr>
                <w:rFonts w:ascii="Cambria Math" w:hAnsi="Cambria Math" w:cstheme="minorHAnsi"/>
                <w:i/>
                <w:lang w:val="id-ID"/>
              </w:rPr>
            </m:ctrlPr>
          </m:sSubPr>
          <m:e>
            <m:r>
              <w:rPr>
                <w:rFonts w:ascii="Cambria Math" w:hAnsi="Cambria Math" w:cstheme="minorHAnsi"/>
                <w:lang w:val="id-ID"/>
              </w:rPr>
              <m:t>R</m:t>
            </m:r>
          </m:e>
          <m:sub>
            <m:sSub>
              <m:sSubPr>
                <m:ctrlPr>
                  <w:rPr>
                    <w:rFonts w:ascii="Cambria Math" w:hAnsi="Cambria Math" w:cstheme="minorHAnsi"/>
                    <w:i/>
                    <w:lang w:val="id-ID"/>
                  </w:rPr>
                </m:ctrlPr>
              </m:sSubPr>
              <m:e>
                <m:r>
                  <w:rPr>
                    <w:rFonts w:ascii="Cambria Math" w:hAnsi="Cambria Math" w:cstheme="minorHAnsi"/>
                    <w:lang w:val="id-ID"/>
                  </w:rPr>
                  <m:t>Gold</m:t>
                </m:r>
              </m:e>
              <m:sub>
                <m:r>
                  <w:rPr>
                    <w:rFonts w:ascii="Cambria Math" w:hAnsi="Cambria Math" w:cstheme="minorHAnsi"/>
                    <w:lang w:val="id-ID"/>
                  </w:rPr>
                  <m:t>t</m:t>
                </m:r>
              </m:sub>
            </m:sSub>
          </m:sub>
        </m:sSub>
      </m:oMath>
      <w:r w:rsidR="00CF6DEB" w:rsidRPr="003A5D3C">
        <w:rPr>
          <w:rFonts w:asciiTheme="minorHAnsi" w:eastAsiaTheme="minorEastAsia" w:hAnsiTheme="minorHAnsi" w:cstheme="minorHAnsi"/>
          <w:lang w:val="id-ID"/>
        </w:rPr>
        <w:tab/>
      </w:r>
      <w:r w:rsidR="00CF6DEB" w:rsidRPr="003A5D3C">
        <w:rPr>
          <w:rFonts w:asciiTheme="minorHAnsi" w:eastAsiaTheme="minorEastAsia" w:hAnsiTheme="minorHAnsi" w:cstheme="minorHAnsi"/>
          <w:lang w:val="id-ID"/>
        </w:rPr>
        <w:tab/>
        <w:t>: Gold Price Return in period t</w:t>
      </w:r>
    </w:p>
    <w:p w14:paraId="0EA16862" w14:textId="77777777" w:rsidR="00CF6DEB" w:rsidRPr="003A5D3C" w:rsidRDefault="00000000" w:rsidP="003A5D3C">
      <w:pPr>
        <w:tabs>
          <w:tab w:val="left" w:pos="1080"/>
          <w:tab w:val="left" w:pos="1260"/>
        </w:tabs>
        <w:spacing w:after="0" w:line="240" w:lineRule="auto"/>
        <w:jc w:val="both"/>
        <w:rPr>
          <w:rFonts w:asciiTheme="minorHAnsi" w:eastAsiaTheme="minorEastAsia" w:hAnsiTheme="minorHAnsi" w:cstheme="minorHAnsi"/>
          <w:lang w:val="id-ID"/>
        </w:rPr>
      </w:pPr>
      <m:oMath>
        <m:sSub>
          <m:sSubPr>
            <m:ctrlPr>
              <w:rPr>
                <w:rFonts w:ascii="Cambria Math" w:hAnsi="Cambria Math" w:cstheme="minorHAnsi"/>
                <w:i/>
                <w:lang w:val="id-ID"/>
              </w:rPr>
            </m:ctrlPr>
          </m:sSubPr>
          <m:e>
            <m:r>
              <w:rPr>
                <w:rFonts w:ascii="Cambria Math" w:hAnsi="Cambria Math" w:cstheme="minorHAnsi"/>
                <w:lang w:val="id-ID"/>
              </w:rPr>
              <m:t>R</m:t>
            </m:r>
          </m:e>
          <m:sub>
            <m:sSub>
              <m:sSubPr>
                <m:ctrlPr>
                  <w:rPr>
                    <w:rFonts w:ascii="Cambria Math" w:hAnsi="Cambria Math" w:cstheme="minorHAnsi"/>
                    <w:i/>
                    <w:lang w:val="id-ID"/>
                  </w:rPr>
                </m:ctrlPr>
              </m:sSubPr>
              <m:e>
                <m:r>
                  <w:rPr>
                    <w:rFonts w:ascii="Cambria Math" w:hAnsi="Cambria Math" w:cstheme="minorHAnsi"/>
                    <w:lang w:val="id-ID"/>
                  </w:rPr>
                  <m:t>DXY</m:t>
                </m:r>
              </m:e>
              <m:sub>
                <m:r>
                  <w:rPr>
                    <w:rFonts w:ascii="Cambria Math" w:hAnsi="Cambria Math" w:cstheme="minorHAnsi"/>
                    <w:lang w:val="id-ID"/>
                  </w:rPr>
                  <m:t>t</m:t>
                </m:r>
              </m:sub>
            </m:sSub>
          </m:sub>
        </m:sSub>
      </m:oMath>
      <w:r w:rsidR="00CF6DEB" w:rsidRPr="003A5D3C">
        <w:rPr>
          <w:rFonts w:asciiTheme="minorHAnsi" w:eastAsiaTheme="minorEastAsia" w:hAnsiTheme="minorHAnsi" w:cstheme="minorHAnsi"/>
          <w:lang w:val="id-ID"/>
        </w:rPr>
        <w:tab/>
      </w:r>
      <w:r w:rsidR="00CF6DEB" w:rsidRPr="003A5D3C">
        <w:rPr>
          <w:rFonts w:asciiTheme="minorHAnsi" w:eastAsiaTheme="minorEastAsia" w:hAnsiTheme="minorHAnsi" w:cstheme="minorHAnsi"/>
          <w:lang w:val="id-ID"/>
        </w:rPr>
        <w:tab/>
        <w:t>: Dollar Index Return in period t</w:t>
      </w:r>
    </w:p>
    <w:p w14:paraId="612E3F3B" w14:textId="77777777" w:rsidR="00CF6DEB" w:rsidRPr="003A5D3C" w:rsidRDefault="00000000" w:rsidP="003A5D3C">
      <w:pPr>
        <w:tabs>
          <w:tab w:val="left" w:pos="1080"/>
          <w:tab w:val="left" w:pos="1260"/>
        </w:tabs>
        <w:spacing w:after="0" w:line="240" w:lineRule="auto"/>
        <w:jc w:val="both"/>
        <w:rPr>
          <w:rFonts w:asciiTheme="minorHAnsi" w:eastAsiaTheme="minorEastAsia" w:hAnsiTheme="minorHAnsi" w:cstheme="minorHAnsi"/>
          <w:lang w:val="id-ID"/>
        </w:rPr>
      </w:pPr>
      <m:oMath>
        <m:sSub>
          <m:sSubPr>
            <m:ctrlPr>
              <w:rPr>
                <w:rFonts w:ascii="Cambria Math" w:hAnsi="Cambria Math" w:cstheme="minorHAnsi"/>
                <w:i/>
                <w:lang w:val="id-ID"/>
              </w:rPr>
            </m:ctrlPr>
          </m:sSubPr>
          <m:e>
            <m:r>
              <w:rPr>
                <w:rFonts w:ascii="Cambria Math" w:hAnsi="Cambria Math" w:cstheme="minorHAnsi"/>
                <w:lang w:val="id-ID"/>
              </w:rPr>
              <m:t>h</m:t>
            </m:r>
          </m:e>
          <m:sub>
            <m:sSub>
              <m:sSubPr>
                <m:ctrlPr>
                  <w:rPr>
                    <w:rFonts w:ascii="Cambria Math" w:hAnsi="Cambria Math" w:cstheme="minorHAnsi"/>
                    <w:i/>
                    <w:lang w:val="id-ID"/>
                  </w:rPr>
                </m:ctrlPr>
              </m:sSubPr>
              <m:e>
                <m:r>
                  <w:rPr>
                    <w:rFonts w:ascii="Cambria Math" w:hAnsi="Cambria Math" w:cstheme="minorHAnsi"/>
                    <w:lang w:val="id-ID"/>
                  </w:rPr>
                  <m:t>m</m:t>
                </m:r>
              </m:e>
              <m:sub>
                <m:r>
                  <w:rPr>
                    <w:rFonts w:ascii="Cambria Math" w:hAnsi="Cambria Math" w:cstheme="minorHAnsi"/>
                    <w:lang w:val="id-ID"/>
                  </w:rPr>
                  <m:t>it</m:t>
                </m:r>
              </m:sub>
            </m:sSub>
          </m:sub>
        </m:sSub>
      </m:oMath>
      <w:r w:rsidR="00CF6DEB" w:rsidRPr="003A5D3C">
        <w:rPr>
          <w:rFonts w:asciiTheme="minorHAnsi" w:eastAsiaTheme="minorEastAsia" w:hAnsiTheme="minorHAnsi" w:cstheme="minorHAnsi"/>
          <w:lang w:val="id-ID"/>
        </w:rPr>
        <w:t xml:space="preserve"> </w:t>
      </w:r>
      <w:r w:rsidR="00CF6DEB" w:rsidRPr="003A5D3C">
        <w:rPr>
          <w:rFonts w:asciiTheme="minorHAnsi" w:eastAsiaTheme="minorEastAsia" w:hAnsiTheme="minorHAnsi" w:cstheme="minorHAnsi"/>
          <w:lang w:val="id-ID"/>
        </w:rPr>
        <w:tab/>
      </w:r>
      <w:r w:rsidR="00CF6DEB" w:rsidRPr="003A5D3C">
        <w:rPr>
          <w:rFonts w:asciiTheme="minorHAnsi" w:eastAsiaTheme="minorEastAsia" w:hAnsiTheme="minorHAnsi" w:cstheme="minorHAnsi"/>
          <w:lang w:val="id-ID"/>
        </w:rPr>
        <w:tab/>
        <w:t xml:space="preserve">: Market Volatility of Stock </w:t>
      </w:r>
      <m:oMath>
        <m:r>
          <w:rPr>
            <w:rFonts w:ascii="Cambria Math" w:eastAsiaTheme="minorEastAsia" w:hAnsi="Cambria Math" w:cstheme="minorHAnsi"/>
            <w:lang w:val="id-ID"/>
          </w:rPr>
          <m:t>i</m:t>
        </m:r>
      </m:oMath>
      <w:r w:rsidR="00CF6DEB" w:rsidRPr="003A5D3C">
        <w:rPr>
          <w:rFonts w:asciiTheme="minorHAnsi" w:eastAsiaTheme="minorEastAsia" w:hAnsiTheme="minorHAnsi" w:cstheme="minorHAnsi"/>
          <w:lang w:val="id-ID"/>
        </w:rPr>
        <w:t xml:space="preserve"> in period t</w:t>
      </w:r>
    </w:p>
    <w:p w14:paraId="463CAD26" w14:textId="77777777" w:rsidR="00CF6DEB" w:rsidRPr="003A5D3C" w:rsidRDefault="00CF6DEB" w:rsidP="003A5D3C">
      <w:pPr>
        <w:tabs>
          <w:tab w:val="left" w:pos="1260"/>
        </w:tabs>
        <w:spacing w:after="0" w:line="240" w:lineRule="auto"/>
        <w:jc w:val="both"/>
        <w:rPr>
          <w:rFonts w:asciiTheme="minorHAnsi" w:eastAsiaTheme="minorEastAsia" w:hAnsiTheme="minorHAnsi" w:cstheme="minorHAnsi"/>
          <w:lang w:val="id-ID"/>
        </w:rPr>
      </w:pPr>
      <w:r w:rsidRPr="003A5D3C">
        <w:rPr>
          <w:rFonts w:asciiTheme="minorHAnsi" w:eastAsiaTheme="minorEastAsia" w:hAnsiTheme="minorHAnsi" w:cstheme="minorHAnsi"/>
          <w:lang w:val="id-ID"/>
        </w:rPr>
        <w:t>W</w:t>
      </w:r>
      <w:r w:rsidRPr="003A5D3C">
        <w:rPr>
          <w:rFonts w:asciiTheme="minorHAnsi" w:eastAsiaTheme="minorEastAsia" w:hAnsiTheme="minorHAnsi" w:cstheme="minorHAnsi"/>
        </w:rPr>
        <w:t>ith</w:t>
      </w:r>
      <w:r w:rsidRPr="003A5D3C">
        <w:rPr>
          <w:rFonts w:asciiTheme="minorHAnsi" w:eastAsiaTheme="minorEastAsia" w:hAnsiTheme="minorHAnsi" w:cstheme="minorHAnsi"/>
          <w:lang w:val="id-ID"/>
        </w:rPr>
        <w:tab/>
        <w:t>:</w:t>
      </w:r>
    </w:p>
    <w:p w14:paraId="20CB682B" w14:textId="77777777" w:rsidR="00CF6DEB" w:rsidRPr="003A5D3C" w:rsidRDefault="00000000" w:rsidP="003A5D3C">
      <w:pPr>
        <w:spacing w:after="0" w:line="240" w:lineRule="auto"/>
        <w:jc w:val="both"/>
        <w:rPr>
          <w:rFonts w:asciiTheme="minorHAnsi" w:eastAsiaTheme="minorEastAsia" w:hAnsiTheme="minorHAnsi" w:cstheme="minorHAnsi"/>
          <w:lang w:val="id-ID"/>
        </w:rPr>
      </w:pPr>
      <m:oMathPara>
        <m:oMath>
          <m:sSub>
            <m:sSubPr>
              <m:ctrlPr>
                <w:rPr>
                  <w:rFonts w:ascii="Cambria Math" w:eastAsiaTheme="minorEastAsia" w:hAnsi="Cambria Math" w:cstheme="minorHAnsi"/>
                  <w:i/>
                  <w:lang w:val="id-ID"/>
                </w:rPr>
              </m:ctrlPr>
            </m:sSubPr>
            <m:e>
              <m:r>
                <w:rPr>
                  <w:rFonts w:ascii="Cambria Math" w:eastAsiaTheme="minorEastAsia" w:hAnsi="Cambria Math" w:cstheme="minorHAnsi"/>
                  <w:lang w:val="id-ID"/>
                </w:rPr>
                <m:t>ε</m:t>
              </m:r>
            </m:e>
            <m:sub>
              <m:r>
                <w:rPr>
                  <w:rFonts w:ascii="Cambria Math" w:eastAsiaTheme="minorEastAsia" w:hAnsi="Cambria Math" w:cstheme="minorHAnsi"/>
                  <w:lang w:val="id-ID"/>
                </w:rPr>
                <m:t>t</m:t>
              </m:r>
            </m:sub>
          </m:sSub>
          <m:r>
            <w:rPr>
              <w:rFonts w:ascii="Cambria Math" w:eastAsiaTheme="minorEastAsia" w:hAnsi="Cambria Math" w:cstheme="minorHAnsi"/>
              <w:lang w:val="id-ID"/>
            </w:rPr>
            <m:t>=</m:t>
          </m:r>
          <m:sSub>
            <m:sSubPr>
              <m:ctrlPr>
                <w:rPr>
                  <w:rFonts w:ascii="Cambria Math" w:eastAsiaTheme="minorEastAsia" w:hAnsi="Cambria Math" w:cstheme="minorHAnsi"/>
                  <w:i/>
                  <w:lang w:val="id-ID"/>
                </w:rPr>
              </m:ctrlPr>
            </m:sSubPr>
            <m:e>
              <m:r>
                <w:rPr>
                  <w:rFonts w:ascii="Cambria Math" w:eastAsiaTheme="minorEastAsia" w:hAnsi="Cambria Math" w:cstheme="minorHAnsi"/>
                  <w:lang w:val="id-ID"/>
                </w:rPr>
                <m:t>Φ</m:t>
              </m:r>
            </m:e>
            <m:sub>
              <m:r>
                <w:rPr>
                  <w:rFonts w:ascii="Cambria Math" w:eastAsiaTheme="minorEastAsia" w:hAnsi="Cambria Math" w:cstheme="minorHAnsi"/>
                  <w:lang w:val="id-ID"/>
                </w:rPr>
                <m:t>1</m:t>
              </m:r>
            </m:sub>
          </m:sSub>
          <m:sSub>
            <m:sSubPr>
              <m:ctrlPr>
                <w:rPr>
                  <w:rFonts w:ascii="Cambria Math" w:eastAsiaTheme="minorEastAsia" w:hAnsi="Cambria Math" w:cstheme="minorHAnsi"/>
                  <w:i/>
                  <w:lang w:val="id-ID"/>
                </w:rPr>
              </m:ctrlPr>
            </m:sSubPr>
            <m:e>
              <m:r>
                <w:rPr>
                  <w:rFonts w:ascii="Cambria Math" w:eastAsiaTheme="minorEastAsia" w:hAnsi="Cambria Math" w:cstheme="minorHAnsi"/>
                  <w:lang w:val="id-ID"/>
                </w:rPr>
                <m:t>ε</m:t>
              </m:r>
            </m:e>
            <m:sub>
              <m:r>
                <w:rPr>
                  <w:rFonts w:ascii="Cambria Math" w:eastAsiaTheme="minorEastAsia" w:hAnsi="Cambria Math" w:cstheme="minorHAnsi"/>
                  <w:lang w:val="id-ID"/>
                </w:rPr>
                <m:t>t-1</m:t>
              </m:r>
            </m:sub>
          </m:sSub>
          <m:r>
            <w:rPr>
              <w:rFonts w:ascii="Cambria Math" w:eastAsiaTheme="minorEastAsia" w:hAnsi="Cambria Math" w:cstheme="minorHAnsi"/>
              <w:lang w:val="id-ID"/>
            </w:rPr>
            <m:t>+</m:t>
          </m:r>
          <m:sSub>
            <m:sSubPr>
              <m:ctrlPr>
                <w:rPr>
                  <w:rFonts w:ascii="Cambria Math" w:eastAsiaTheme="minorEastAsia" w:hAnsi="Cambria Math" w:cstheme="minorHAnsi"/>
                  <w:i/>
                  <w:lang w:val="id-ID"/>
                </w:rPr>
              </m:ctrlPr>
            </m:sSubPr>
            <m:e>
              <m:r>
                <w:rPr>
                  <w:rFonts w:ascii="Cambria Math" w:eastAsiaTheme="minorEastAsia" w:hAnsi="Cambria Math" w:cstheme="minorHAnsi"/>
                  <w:lang w:val="id-ID"/>
                </w:rPr>
                <m:t>η</m:t>
              </m:r>
            </m:e>
            <m:sub>
              <m:r>
                <w:rPr>
                  <w:rFonts w:ascii="Cambria Math" w:eastAsiaTheme="minorEastAsia" w:hAnsi="Cambria Math" w:cstheme="minorHAnsi"/>
                  <w:lang w:val="id-ID"/>
                </w:rPr>
                <m:t>t-p</m:t>
              </m:r>
            </m:sub>
          </m:sSub>
        </m:oMath>
      </m:oMathPara>
    </w:p>
    <w:p w14:paraId="3667F989" w14:textId="77777777" w:rsidR="00CF6DEB" w:rsidRPr="003A5D3C" w:rsidRDefault="00000000" w:rsidP="003A5D3C">
      <w:pPr>
        <w:spacing w:after="0" w:line="240" w:lineRule="auto"/>
        <w:jc w:val="both"/>
        <w:rPr>
          <w:rFonts w:asciiTheme="minorHAnsi" w:eastAsiaTheme="minorEastAsia" w:hAnsiTheme="minorHAnsi" w:cstheme="minorHAnsi"/>
          <w:lang w:val="id-ID"/>
        </w:rPr>
      </w:pPr>
      <m:oMathPara>
        <m:oMath>
          <m:sSub>
            <m:sSubPr>
              <m:ctrlPr>
                <w:rPr>
                  <w:rFonts w:ascii="Cambria Math" w:eastAsiaTheme="minorEastAsia" w:hAnsi="Cambria Math" w:cstheme="minorHAnsi"/>
                  <w:i/>
                  <w:lang w:val="id-ID"/>
                </w:rPr>
              </m:ctrlPr>
            </m:sSubPr>
            <m:e>
              <m:r>
                <w:rPr>
                  <w:rFonts w:ascii="Cambria Math" w:eastAsiaTheme="minorEastAsia" w:hAnsi="Cambria Math" w:cstheme="minorHAnsi"/>
                  <w:lang w:val="id-ID"/>
                </w:rPr>
                <m:t>η</m:t>
              </m:r>
            </m:e>
            <m:sub>
              <m:r>
                <w:rPr>
                  <w:rFonts w:ascii="Cambria Math" w:eastAsiaTheme="minorEastAsia" w:hAnsi="Cambria Math" w:cstheme="minorHAnsi"/>
                  <w:lang w:val="id-ID"/>
                </w:rPr>
                <m:t>t-p</m:t>
              </m:r>
            </m:sub>
          </m:sSub>
          <m:r>
            <w:rPr>
              <w:rFonts w:ascii="Cambria Math" w:eastAsiaTheme="minorEastAsia" w:hAnsi="Cambria Math" w:cstheme="minorHAnsi"/>
              <w:lang w:val="id-ID"/>
            </w:rPr>
            <m:t>=</m:t>
          </m:r>
          <m:sSub>
            <m:sSubPr>
              <m:ctrlPr>
                <w:rPr>
                  <w:rFonts w:ascii="Cambria Math" w:eastAsiaTheme="minorEastAsia" w:hAnsi="Cambria Math" w:cstheme="minorHAnsi"/>
                  <w:i/>
                  <w:lang w:val="id-ID"/>
                </w:rPr>
              </m:ctrlPr>
            </m:sSubPr>
            <m:e>
              <m:r>
                <w:rPr>
                  <w:rFonts w:ascii="Cambria Math" w:eastAsiaTheme="minorEastAsia" w:hAnsi="Cambria Math" w:cstheme="minorHAnsi"/>
                  <w:lang w:val="id-ID"/>
                </w:rPr>
                <m:t>σ</m:t>
              </m:r>
            </m:e>
            <m:sub>
              <m:r>
                <w:rPr>
                  <w:rFonts w:ascii="Cambria Math" w:eastAsiaTheme="minorEastAsia" w:hAnsi="Cambria Math" w:cstheme="minorHAnsi"/>
                  <w:lang w:val="id-ID"/>
                </w:rPr>
                <m:t>t</m:t>
              </m:r>
            </m:sub>
          </m:sSub>
          <m:sSub>
            <m:sSubPr>
              <m:ctrlPr>
                <w:rPr>
                  <w:rFonts w:ascii="Cambria Math" w:eastAsiaTheme="minorEastAsia" w:hAnsi="Cambria Math" w:cstheme="minorHAnsi"/>
                  <w:i/>
                  <w:lang w:val="id-ID"/>
                </w:rPr>
              </m:ctrlPr>
            </m:sSubPr>
            <m:e>
              <m:r>
                <w:rPr>
                  <w:rFonts w:ascii="Cambria Math" w:eastAsiaTheme="minorEastAsia" w:hAnsi="Cambria Math" w:cstheme="minorHAnsi"/>
                  <w:lang w:val="id-ID"/>
                </w:rPr>
                <m:t>ϵ</m:t>
              </m:r>
            </m:e>
            <m:sub>
              <m:r>
                <w:rPr>
                  <w:rFonts w:ascii="Cambria Math" w:eastAsiaTheme="minorEastAsia" w:hAnsi="Cambria Math" w:cstheme="minorHAnsi"/>
                  <w:lang w:val="id-ID"/>
                </w:rPr>
                <m:t>t</m:t>
              </m:r>
            </m:sub>
          </m:sSub>
        </m:oMath>
      </m:oMathPara>
    </w:p>
    <w:p w14:paraId="20C47BF8" w14:textId="29CCA725" w:rsidR="00CF6DEB" w:rsidRPr="003A5D3C" w:rsidRDefault="00000000" w:rsidP="003A5D3C">
      <w:pPr>
        <w:spacing w:line="240" w:lineRule="auto"/>
        <w:jc w:val="both"/>
        <w:rPr>
          <w:rFonts w:ascii="Times New Roman" w:eastAsiaTheme="minorEastAsia" w:hAnsi="Times New Roman" w:cs="Times New Roman"/>
          <w:lang w:val="id-ID"/>
        </w:rPr>
      </w:pPr>
      <m:oMathPara>
        <m:oMath>
          <m:sSubSup>
            <m:sSubSupPr>
              <m:ctrlPr>
                <w:rPr>
                  <w:rFonts w:ascii="Cambria Math" w:hAnsi="Cambria Math" w:cstheme="minorHAnsi"/>
                  <w:i/>
                  <w:lang w:val="id-ID"/>
                </w:rPr>
              </m:ctrlPr>
            </m:sSubSupPr>
            <m:e>
              <m:r>
                <w:rPr>
                  <w:rFonts w:ascii="Cambria Math" w:hAnsi="Cambria Math" w:cstheme="minorHAnsi"/>
                  <w:lang w:val="id-ID"/>
                </w:rPr>
                <m:t>σ</m:t>
              </m:r>
            </m:e>
            <m:sub>
              <m:r>
                <w:rPr>
                  <w:rFonts w:ascii="Cambria Math" w:hAnsi="Cambria Math" w:cstheme="minorHAnsi"/>
                  <w:lang w:val="id-ID"/>
                </w:rPr>
                <m:t>t</m:t>
              </m:r>
            </m:sub>
            <m:sup>
              <m:r>
                <w:rPr>
                  <w:rFonts w:ascii="Cambria Math" w:hAnsi="Cambria Math" w:cstheme="minorHAnsi"/>
                  <w:lang w:val="id-ID"/>
                </w:rPr>
                <m:t>2</m:t>
              </m:r>
            </m:sup>
          </m:sSubSup>
          <m:r>
            <w:rPr>
              <w:rFonts w:ascii="Cambria Math" w:hAnsi="Cambria Math" w:cstheme="minorHAnsi"/>
              <w:lang w:val="id-ID"/>
            </w:rPr>
            <m:t>=</m:t>
          </m:r>
          <m:sSub>
            <m:sSubPr>
              <m:ctrlPr>
                <w:rPr>
                  <w:rFonts w:ascii="Cambria Math" w:hAnsi="Cambria Math" w:cstheme="minorHAnsi"/>
                  <w:i/>
                  <w:lang w:val="id-ID"/>
                </w:rPr>
              </m:ctrlPr>
            </m:sSubPr>
            <m:e>
              <m:r>
                <w:rPr>
                  <w:rFonts w:ascii="Cambria Math" w:hAnsi="Cambria Math" w:cstheme="minorHAnsi"/>
                  <w:lang w:val="id-ID"/>
                </w:rPr>
                <m:t>α</m:t>
              </m:r>
            </m:e>
            <m:sub>
              <m:r>
                <w:rPr>
                  <w:rFonts w:ascii="Cambria Math" w:hAnsi="Cambria Math" w:cstheme="minorHAnsi"/>
                  <w:lang w:val="id-ID"/>
                </w:rPr>
                <m:t>0</m:t>
              </m:r>
            </m:sub>
          </m:sSub>
          <m:r>
            <w:rPr>
              <w:rFonts w:ascii="Cambria Math" w:hAnsi="Cambria Math" w:cstheme="minorHAnsi"/>
              <w:lang w:val="id-ID"/>
            </w:rPr>
            <m:t>+</m:t>
          </m:r>
          <m:sSub>
            <m:sSubPr>
              <m:ctrlPr>
                <w:rPr>
                  <w:rFonts w:ascii="Cambria Math" w:hAnsi="Cambria Math" w:cstheme="minorHAnsi"/>
                  <w:i/>
                  <w:lang w:val="id-ID"/>
                </w:rPr>
              </m:ctrlPr>
            </m:sSubPr>
            <m:e>
              <m:r>
                <w:rPr>
                  <w:rFonts w:ascii="Cambria Math" w:hAnsi="Cambria Math" w:cstheme="minorHAnsi"/>
                  <w:lang w:val="id-ID"/>
                </w:rPr>
                <m:t>α</m:t>
              </m:r>
            </m:e>
            <m:sub>
              <m:r>
                <w:rPr>
                  <w:rFonts w:ascii="Cambria Math" w:hAnsi="Cambria Math" w:cstheme="minorHAnsi"/>
                  <w:lang w:val="id-ID"/>
                </w:rPr>
                <m:t>1</m:t>
              </m:r>
            </m:sub>
          </m:sSub>
          <m:sSubSup>
            <m:sSubSupPr>
              <m:ctrlPr>
                <w:rPr>
                  <w:rFonts w:ascii="Cambria Math" w:eastAsiaTheme="minorEastAsia" w:hAnsi="Cambria Math" w:cstheme="minorHAnsi"/>
                  <w:i/>
                  <w:lang w:val="id-ID"/>
                </w:rPr>
              </m:ctrlPr>
            </m:sSubSupPr>
            <m:e>
              <m:r>
                <w:rPr>
                  <w:rFonts w:ascii="Cambria Math" w:eastAsiaTheme="minorEastAsia" w:hAnsi="Cambria Math" w:cstheme="minorHAnsi"/>
                  <w:lang w:val="id-ID"/>
                </w:rPr>
                <m:t>η</m:t>
              </m:r>
            </m:e>
            <m:sub>
              <m:r>
                <w:rPr>
                  <w:rFonts w:ascii="Cambria Math" w:eastAsiaTheme="minorEastAsia" w:hAnsi="Cambria Math" w:cstheme="minorHAnsi"/>
                  <w:lang w:val="id-ID"/>
                </w:rPr>
                <m:t>t-1</m:t>
              </m:r>
            </m:sub>
            <m:sup>
              <m:r>
                <w:rPr>
                  <w:rFonts w:ascii="Cambria Math" w:eastAsiaTheme="minorEastAsia" w:hAnsi="Cambria Math" w:cstheme="minorHAnsi"/>
                  <w:lang w:val="id-ID"/>
                </w:rPr>
                <m:t>2</m:t>
              </m:r>
            </m:sup>
          </m:sSubSup>
          <m:r>
            <w:rPr>
              <w:rFonts w:ascii="Cambria Math" w:eastAsiaTheme="minorEastAsia" w:hAnsi="Cambria Math" w:cstheme="minorHAnsi"/>
              <w:lang w:val="id-ID"/>
            </w:rPr>
            <m:t>+...+</m:t>
          </m:r>
          <m:sSub>
            <m:sSubPr>
              <m:ctrlPr>
                <w:rPr>
                  <w:rFonts w:ascii="Cambria Math" w:hAnsi="Cambria Math" w:cstheme="minorHAnsi"/>
                  <w:i/>
                  <w:lang w:val="id-ID"/>
                </w:rPr>
              </m:ctrlPr>
            </m:sSubPr>
            <m:e>
              <m:sSub>
                <m:sSubPr>
                  <m:ctrlPr>
                    <w:rPr>
                      <w:rFonts w:ascii="Cambria Math" w:hAnsi="Cambria Math" w:cstheme="minorHAnsi"/>
                      <w:i/>
                      <w:lang w:val="id-ID"/>
                    </w:rPr>
                  </m:ctrlPr>
                </m:sSubPr>
                <m:e>
                  <m:r>
                    <w:rPr>
                      <w:rFonts w:ascii="Cambria Math" w:hAnsi="Cambria Math" w:cstheme="minorHAnsi"/>
                      <w:lang w:val="id-ID"/>
                    </w:rPr>
                    <m:t>α</m:t>
                  </m:r>
                </m:e>
                <m:sub>
                  <m:r>
                    <w:rPr>
                      <w:rFonts w:ascii="Cambria Math" w:hAnsi="Cambria Math" w:cstheme="minorHAnsi"/>
                      <w:lang w:val="id-ID"/>
                    </w:rPr>
                    <m:t>p</m:t>
                  </m:r>
                </m:sub>
              </m:sSub>
              <m:sSubSup>
                <m:sSubSupPr>
                  <m:ctrlPr>
                    <w:rPr>
                      <w:rFonts w:ascii="Cambria Math" w:eastAsiaTheme="minorEastAsia" w:hAnsi="Cambria Math" w:cstheme="minorHAnsi"/>
                      <w:i/>
                      <w:lang w:val="id-ID"/>
                    </w:rPr>
                  </m:ctrlPr>
                </m:sSubSupPr>
                <m:e>
                  <m:r>
                    <w:rPr>
                      <w:rFonts w:ascii="Cambria Math" w:eastAsiaTheme="minorEastAsia" w:hAnsi="Cambria Math" w:cstheme="minorHAnsi"/>
                      <w:lang w:val="id-ID"/>
                    </w:rPr>
                    <m:t>η</m:t>
                  </m:r>
                </m:e>
                <m:sub>
                  <m:r>
                    <w:rPr>
                      <w:rFonts w:ascii="Cambria Math" w:eastAsiaTheme="minorEastAsia" w:hAnsi="Cambria Math" w:cstheme="minorHAnsi"/>
                      <w:lang w:val="id-ID"/>
                    </w:rPr>
                    <m:t>t-1</m:t>
                  </m:r>
                </m:sub>
                <m:sup>
                  <m:r>
                    <w:rPr>
                      <w:rFonts w:ascii="Cambria Math" w:eastAsiaTheme="minorEastAsia" w:hAnsi="Cambria Math" w:cstheme="minorHAnsi"/>
                      <w:lang w:val="id-ID"/>
                    </w:rPr>
                    <m:t>2</m:t>
                  </m:r>
                </m:sup>
              </m:sSubSup>
              <m:r>
                <w:rPr>
                  <w:rFonts w:ascii="Cambria Math" w:hAnsi="Cambria Math" w:cstheme="minorHAnsi"/>
                  <w:lang w:val="id-ID"/>
                </w:rPr>
                <m:t>+β</m:t>
              </m:r>
            </m:e>
            <m:sub>
              <m:r>
                <w:rPr>
                  <w:rFonts w:ascii="Cambria Math" w:hAnsi="Cambria Math" w:cstheme="minorHAnsi"/>
                  <w:lang w:val="id-ID"/>
                </w:rPr>
                <m:t>1</m:t>
              </m:r>
            </m:sub>
          </m:sSub>
          <m:sSubSup>
            <m:sSubSupPr>
              <m:ctrlPr>
                <w:rPr>
                  <w:rFonts w:ascii="Cambria Math" w:hAnsi="Cambria Math" w:cstheme="minorHAnsi"/>
                  <w:i/>
                  <w:lang w:val="id-ID"/>
                </w:rPr>
              </m:ctrlPr>
            </m:sSubSupPr>
            <m:e>
              <m:r>
                <w:rPr>
                  <w:rFonts w:ascii="Cambria Math" w:hAnsi="Cambria Math" w:cstheme="minorHAnsi"/>
                  <w:lang w:val="id-ID"/>
                </w:rPr>
                <m:t>σ</m:t>
              </m:r>
            </m:e>
            <m:sub>
              <m:r>
                <w:rPr>
                  <w:rFonts w:ascii="Cambria Math" w:hAnsi="Cambria Math" w:cstheme="minorHAnsi"/>
                  <w:lang w:val="id-ID"/>
                </w:rPr>
                <m:t>t-1</m:t>
              </m:r>
            </m:sub>
            <m:sup>
              <m:r>
                <w:rPr>
                  <w:rFonts w:ascii="Cambria Math" w:hAnsi="Cambria Math" w:cstheme="minorHAnsi"/>
                  <w:lang w:val="id-ID"/>
                </w:rPr>
                <m:t>2</m:t>
              </m:r>
            </m:sup>
          </m:sSubSup>
          <m:r>
            <w:rPr>
              <w:rFonts w:ascii="Cambria Math" w:hAnsi="Cambria Math" w:cstheme="minorHAnsi"/>
              <w:lang w:val="id-ID"/>
            </w:rPr>
            <m:t xml:space="preserve">+...+ </m:t>
          </m:r>
          <m:sSub>
            <m:sSubPr>
              <m:ctrlPr>
                <w:rPr>
                  <w:rFonts w:ascii="Cambria Math" w:hAnsi="Cambria Math" w:cstheme="minorHAnsi"/>
                  <w:i/>
                  <w:lang w:val="id-ID"/>
                </w:rPr>
              </m:ctrlPr>
            </m:sSubPr>
            <m:e>
              <m:r>
                <w:rPr>
                  <w:rFonts w:ascii="Cambria Math" w:hAnsi="Cambria Math" w:cstheme="minorHAnsi"/>
                  <w:lang w:val="id-ID"/>
                </w:rPr>
                <m:t>β</m:t>
              </m:r>
            </m:e>
            <m:sub>
              <m:r>
                <w:rPr>
                  <w:rFonts w:ascii="Cambria Math" w:hAnsi="Cambria Math" w:cstheme="minorHAnsi"/>
                  <w:lang w:val="id-ID"/>
                </w:rPr>
                <m:t>q</m:t>
              </m:r>
            </m:sub>
          </m:sSub>
          <m:sSubSup>
            <m:sSubSupPr>
              <m:ctrlPr>
                <w:rPr>
                  <w:rFonts w:ascii="Cambria Math" w:hAnsi="Cambria Math" w:cstheme="minorHAnsi"/>
                  <w:i/>
                  <w:lang w:val="id-ID"/>
                </w:rPr>
              </m:ctrlPr>
            </m:sSubSupPr>
            <m:e>
              <m:r>
                <w:rPr>
                  <w:rFonts w:ascii="Cambria Math" w:hAnsi="Cambria Math" w:cstheme="minorHAnsi"/>
                  <w:lang w:val="id-ID"/>
                </w:rPr>
                <m:t>σ</m:t>
              </m:r>
            </m:e>
            <m:sub>
              <m:r>
                <w:rPr>
                  <w:rFonts w:ascii="Cambria Math" w:hAnsi="Cambria Math" w:cstheme="minorHAnsi"/>
                  <w:lang w:val="id-ID"/>
                </w:rPr>
                <m:t>t-q</m:t>
              </m:r>
            </m:sub>
            <m:sup>
              <m:r>
                <w:rPr>
                  <w:rFonts w:ascii="Cambria Math" w:hAnsi="Cambria Math" w:cstheme="minorHAnsi"/>
                  <w:lang w:val="id-ID"/>
                </w:rPr>
                <m:t>2</m:t>
              </m:r>
            </m:sup>
          </m:sSubSup>
        </m:oMath>
      </m:oMathPara>
    </w:p>
    <w:p w14:paraId="1D3BEC9B" w14:textId="77777777" w:rsidR="00DF5B90" w:rsidRDefault="003A5D3C" w:rsidP="00DF5B90">
      <w:pPr>
        <w:pStyle w:val="DaftarParagraf"/>
        <w:numPr>
          <w:ilvl w:val="0"/>
          <w:numId w:val="3"/>
        </w:numPr>
        <w:spacing w:line="240" w:lineRule="auto"/>
        <w:ind w:left="284" w:hanging="284"/>
        <w:jc w:val="both"/>
        <w:rPr>
          <w:b/>
        </w:rPr>
      </w:pPr>
      <w:r w:rsidRPr="003A5D3C">
        <w:rPr>
          <w:b/>
        </w:rPr>
        <w:t>RESULTS AND DISCUSSION</w:t>
      </w:r>
    </w:p>
    <w:p w14:paraId="2CF679E6" w14:textId="77777777" w:rsidR="00DF5B90" w:rsidRDefault="00DF5B90" w:rsidP="00DF5B90">
      <w:pPr>
        <w:spacing w:line="240" w:lineRule="auto"/>
        <w:jc w:val="both"/>
        <w:rPr>
          <w:rFonts w:asciiTheme="minorHAnsi" w:hAnsiTheme="minorHAnsi" w:cstheme="minorHAnsi"/>
          <w:b/>
        </w:rPr>
      </w:pPr>
      <w:r w:rsidRPr="00DF5B90">
        <w:rPr>
          <w:rFonts w:asciiTheme="minorHAnsi" w:hAnsiTheme="minorHAnsi" w:cstheme="minorHAnsi"/>
          <w:b/>
        </w:rPr>
        <w:t>Results</w:t>
      </w:r>
    </w:p>
    <w:p w14:paraId="75AD4884" w14:textId="77777777" w:rsidR="00DF5B90" w:rsidRDefault="00DF5B90" w:rsidP="00DF5B90">
      <w:pPr>
        <w:spacing w:after="0" w:line="240" w:lineRule="auto"/>
        <w:jc w:val="both"/>
        <w:rPr>
          <w:b/>
        </w:rPr>
      </w:pPr>
      <w:r w:rsidRPr="00DF5B90">
        <w:rPr>
          <w:rFonts w:asciiTheme="minorHAnsi" w:hAnsiTheme="minorHAnsi" w:cstheme="minorHAnsi"/>
          <w:b/>
          <w:bCs/>
          <w:lang w:val="id-ID"/>
        </w:rPr>
        <w:t>Stationarity Test</w:t>
      </w:r>
    </w:p>
    <w:p w14:paraId="00B7E08F" w14:textId="44B0B3C4" w:rsidR="00DF5B90" w:rsidRPr="00DF5B90" w:rsidRDefault="00DF5B90" w:rsidP="00DF5B90">
      <w:pPr>
        <w:spacing w:line="240" w:lineRule="auto"/>
        <w:ind w:firstLine="284"/>
        <w:jc w:val="both"/>
        <w:rPr>
          <w:b/>
        </w:rPr>
      </w:pPr>
      <w:r w:rsidRPr="00DF5B90">
        <w:rPr>
          <w:rFonts w:asciiTheme="minorHAnsi" w:eastAsiaTheme="minorEastAsia" w:hAnsiTheme="minorHAnsi" w:cstheme="minorHAnsi"/>
          <w:lang w:val="id-ID"/>
        </w:rPr>
        <w:t>Data stationarity is tested using the Augmented Dickey-Fuller Test. The results of stationary testing using the Augmented Dickey-Fuller Test are presented in Table 1.</w:t>
      </w:r>
      <w:r w:rsidR="00527B37">
        <w:rPr>
          <w:rFonts w:asciiTheme="minorHAnsi" w:eastAsiaTheme="minorEastAsia" w:hAnsiTheme="minorHAnsi" w:cstheme="minorHAnsi"/>
          <w:lang w:val="id-ID"/>
        </w:rPr>
        <w:t>, which s</w:t>
      </w:r>
      <w:r w:rsidRPr="00DF5B90">
        <w:rPr>
          <w:rFonts w:asciiTheme="minorHAnsi" w:eastAsiaTheme="minorEastAsia" w:hAnsiTheme="minorHAnsi" w:cstheme="minorHAnsi"/>
          <w:lang w:val="id-ID"/>
        </w:rPr>
        <w:t>how that the probability value of the variables in each period is lower than the significance level of 1%. So that the data is considered stationary and can be used for further research.</w:t>
      </w:r>
    </w:p>
    <w:p w14:paraId="292E84F3" w14:textId="77777777" w:rsidR="00DF5B90" w:rsidRPr="00DF5B90" w:rsidRDefault="00DF5B90" w:rsidP="00DF5B90">
      <w:pPr>
        <w:pStyle w:val="Keterangan"/>
        <w:keepNext/>
        <w:ind w:left="360" w:right="386"/>
        <w:jc w:val="center"/>
        <w:rPr>
          <w:rFonts w:asciiTheme="minorHAnsi" w:eastAsiaTheme="minorHAnsi" w:hAnsiTheme="minorHAnsi" w:cstheme="minorHAnsi"/>
          <w:sz w:val="24"/>
          <w:szCs w:val="24"/>
          <w:lang w:val="id-ID"/>
        </w:rPr>
      </w:pPr>
      <w:bookmarkStart w:id="3" w:name="_Toc168426042"/>
      <w:bookmarkStart w:id="4" w:name="_Toc170310503"/>
      <w:bookmarkStart w:id="5" w:name="_Toc171071270"/>
      <w:bookmarkStart w:id="6" w:name="_Toc171072595"/>
      <w:r w:rsidRPr="00DF5B90">
        <w:rPr>
          <w:rFonts w:asciiTheme="minorHAnsi" w:hAnsiTheme="minorHAnsi" w:cstheme="minorHAnsi"/>
          <w:sz w:val="24"/>
          <w:szCs w:val="24"/>
          <w:lang w:val="id-ID"/>
        </w:rPr>
        <w:t>T</w:t>
      </w:r>
      <w:r w:rsidRPr="00DF5B90">
        <w:rPr>
          <w:rFonts w:asciiTheme="minorHAnsi" w:hAnsiTheme="minorHAnsi" w:cstheme="minorHAnsi"/>
          <w:sz w:val="24"/>
          <w:szCs w:val="24"/>
        </w:rPr>
        <w:t>ab</w:t>
      </w:r>
      <w:r w:rsidRPr="00DF5B90">
        <w:rPr>
          <w:rFonts w:asciiTheme="minorHAnsi" w:hAnsiTheme="minorHAnsi" w:cstheme="minorHAnsi"/>
          <w:sz w:val="24"/>
          <w:szCs w:val="24"/>
          <w:lang w:val="id-ID"/>
        </w:rPr>
        <w:t>l</w:t>
      </w:r>
      <w:r w:rsidRPr="00DF5B90">
        <w:rPr>
          <w:rFonts w:asciiTheme="minorHAnsi" w:hAnsiTheme="minorHAnsi" w:cstheme="minorHAnsi"/>
          <w:sz w:val="24"/>
          <w:szCs w:val="24"/>
        </w:rPr>
        <w:t>e</w:t>
      </w:r>
      <w:r w:rsidRPr="00DF5B90">
        <w:rPr>
          <w:rFonts w:asciiTheme="minorHAnsi" w:hAnsiTheme="minorHAnsi" w:cstheme="minorHAnsi"/>
          <w:sz w:val="24"/>
          <w:szCs w:val="24"/>
          <w:lang w:val="id-ID"/>
        </w:rPr>
        <w:t xml:space="preserve"> </w:t>
      </w:r>
      <w:r w:rsidRPr="00DF5B90">
        <w:rPr>
          <w:rFonts w:asciiTheme="minorHAnsi" w:hAnsiTheme="minorHAnsi" w:cstheme="minorHAnsi"/>
          <w:sz w:val="24"/>
          <w:szCs w:val="24"/>
        </w:rPr>
        <w:fldChar w:fldCharType="begin"/>
      </w:r>
      <w:r w:rsidRPr="00DF5B90">
        <w:rPr>
          <w:rFonts w:asciiTheme="minorHAnsi" w:hAnsiTheme="minorHAnsi" w:cstheme="minorHAnsi"/>
          <w:sz w:val="24"/>
          <w:szCs w:val="24"/>
          <w:lang w:val="id-ID"/>
        </w:rPr>
        <w:instrText xml:space="preserve"> SEQ Table \* ARABIC </w:instrText>
      </w:r>
      <w:r w:rsidRPr="00DF5B90">
        <w:rPr>
          <w:rFonts w:asciiTheme="minorHAnsi" w:hAnsiTheme="minorHAnsi" w:cstheme="minorHAnsi"/>
          <w:sz w:val="24"/>
          <w:szCs w:val="24"/>
        </w:rPr>
        <w:fldChar w:fldCharType="separate"/>
      </w:r>
      <w:r w:rsidRPr="00DF5B90">
        <w:rPr>
          <w:rFonts w:asciiTheme="minorHAnsi" w:hAnsiTheme="minorHAnsi" w:cstheme="minorHAnsi"/>
          <w:sz w:val="24"/>
          <w:szCs w:val="24"/>
          <w:lang w:val="id-ID"/>
        </w:rPr>
        <w:t>1</w:t>
      </w:r>
      <w:bookmarkEnd w:id="3"/>
      <w:bookmarkEnd w:id="4"/>
      <w:bookmarkEnd w:id="5"/>
      <w:bookmarkEnd w:id="6"/>
      <w:r w:rsidRPr="00DF5B90">
        <w:rPr>
          <w:rFonts w:asciiTheme="minorHAnsi" w:hAnsiTheme="minorHAnsi" w:cstheme="minorHAnsi"/>
          <w:sz w:val="24"/>
          <w:szCs w:val="24"/>
          <w:lang w:val="id-ID"/>
        </w:rPr>
        <w:fldChar w:fldCharType="end"/>
      </w:r>
    </w:p>
    <w:p w14:paraId="78AF1E30" w14:textId="77777777" w:rsidR="00DF5B90" w:rsidRPr="00DF5B90" w:rsidRDefault="00DF5B90" w:rsidP="00DF5B90">
      <w:pPr>
        <w:pStyle w:val="Keterangan"/>
        <w:keepNext/>
        <w:ind w:left="360" w:right="386"/>
        <w:jc w:val="center"/>
        <w:rPr>
          <w:rFonts w:asciiTheme="minorHAnsi" w:hAnsiTheme="minorHAnsi" w:cstheme="minorHAnsi"/>
          <w:sz w:val="24"/>
          <w:szCs w:val="24"/>
        </w:rPr>
      </w:pPr>
      <w:r w:rsidRPr="00DF5B90">
        <w:rPr>
          <w:rFonts w:asciiTheme="minorHAnsi" w:hAnsiTheme="minorHAnsi" w:cstheme="minorHAnsi"/>
          <w:sz w:val="24"/>
          <w:szCs w:val="24"/>
        </w:rPr>
        <w:t>Results of Stationary Test</w:t>
      </w:r>
    </w:p>
    <w:tbl>
      <w:tblPr>
        <w:tblW w:w="8280" w:type="dxa"/>
        <w:jc w:val="center"/>
        <w:tblLook w:val="04A0" w:firstRow="1" w:lastRow="0" w:firstColumn="1" w:lastColumn="0" w:noHBand="0" w:noVBand="1"/>
      </w:tblPr>
      <w:tblGrid>
        <w:gridCol w:w="2700"/>
        <w:gridCol w:w="1800"/>
        <w:gridCol w:w="1920"/>
        <w:gridCol w:w="1860"/>
      </w:tblGrid>
      <w:tr w:rsidR="00DF5B90" w:rsidRPr="00DF5B90" w14:paraId="56543848" w14:textId="77777777" w:rsidTr="00DF5B90">
        <w:trPr>
          <w:trHeight w:val="245"/>
          <w:jc w:val="center"/>
        </w:trPr>
        <w:tc>
          <w:tcPr>
            <w:tcW w:w="2700" w:type="dxa"/>
            <w:tcBorders>
              <w:top w:val="single" w:sz="8" w:space="0" w:color="auto"/>
              <w:left w:val="nil"/>
              <w:bottom w:val="single" w:sz="8" w:space="0" w:color="auto"/>
              <w:right w:val="nil"/>
            </w:tcBorders>
            <w:vAlign w:val="center"/>
            <w:hideMark/>
          </w:tcPr>
          <w:p w14:paraId="712620D1" w14:textId="77777777" w:rsidR="00DF5B90" w:rsidRPr="00DF5B90" w:rsidRDefault="00DF5B90" w:rsidP="00DF5B90">
            <w:pPr>
              <w:spacing w:after="0" w:line="240" w:lineRule="auto"/>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Period</w:t>
            </w:r>
          </w:p>
        </w:tc>
        <w:tc>
          <w:tcPr>
            <w:tcW w:w="1800" w:type="dxa"/>
            <w:tcBorders>
              <w:top w:val="single" w:sz="8" w:space="0" w:color="auto"/>
              <w:left w:val="nil"/>
              <w:bottom w:val="single" w:sz="8" w:space="0" w:color="auto"/>
              <w:right w:val="nil"/>
            </w:tcBorders>
            <w:vAlign w:val="center"/>
            <w:hideMark/>
          </w:tcPr>
          <w:p w14:paraId="5EC5E072" w14:textId="77777777" w:rsidR="00DF5B90" w:rsidRPr="00DF5B90" w:rsidRDefault="00DF5B90" w:rsidP="00DF5B90">
            <w:pPr>
              <w:spacing w:after="0" w:line="240" w:lineRule="auto"/>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Variable</w:t>
            </w:r>
          </w:p>
        </w:tc>
        <w:tc>
          <w:tcPr>
            <w:tcW w:w="1920" w:type="dxa"/>
            <w:tcBorders>
              <w:top w:val="single" w:sz="8" w:space="0" w:color="auto"/>
              <w:left w:val="nil"/>
              <w:bottom w:val="single" w:sz="8" w:space="0" w:color="auto"/>
              <w:right w:val="nil"/>
            </w:tcBorders>
            <w:vAlign w:val="center"/>
            <w:hideMark/>
          </w:tcPr>
          <w:p w14:paraId="68404C41" w14:textId="77777777" w:rsidR="00DF5B90" w:rsidRPr="00DF5B90" w:rsidRDefault="00DF5B90" w:rsidP="00DF5B90">
            <w:pPr>
              <w:spacing w:after="0" w:line="240" w:lineRule="auto"/>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t-statistic</w:t>
            </w:r>
          </w:p>
        </w:tc>
        <w:tc>
          <w:tcPr>
            <w:tcW w:w="1860" w:type="dxa"/>
            <w:tcBorders>
              <w:top w:val="single" w:sz="8" w:space="0" w:color="auto"/>
              <w:left w:val="nil"/>
              <w:bottom w:val="single" w:sz="8" w:space="0" w:color="auto"/>
              <w:right w:val="nil"/>
            </w:tcBorders>
            <w:vAlign w:val="center"/>
            <w:hideMark/>
          </w:tcPr>
          <w:p w14:paraId="05BA4776" w14:textId="77777777" w:rsidR="00DF5B90" w:rsidRPr="00DF5B90" w:rsidRDefault="00DF5B90" w:rsidP="00DF5B90">
            <w:pPr>
              <w:spacing w:after="0" w:line="240" w:lineRule="auto"/>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Prob.</w:t>
            </w:r>
          </w:p>
        </w:tc>
      </w:tr>
      <w:tr w:rsidR="00DF5B90" w:rsidRPr="00DF5B90" w14:paraId="7CFF21B3" w14:textId="77777777" w:rsidTr="00DF5B90">
        <w:trPr>
          <w:trHeight w:val="245"/>
          <w:jc w:val="center"/>
        </w:trPr>
        <w:tc>
          <w:tcPr>
            <w:tcW w:w="2700" w:type="dxa"/>
            <w:vMerge w:val="restart"/>
            <w:tcBorders>
              <w:top w:val="nil"/>
              <w:left w:val="nil"/>
              <w:bottom w:val="single" w:sz="4" w:space="0" w:color="auto"/>
              <w:right w:val="nil"/>
            </w:tcBorders>
            <w:vAlign w:val="center"/>
            <w:hideMark/>
          </w:tcPr>
          <w:p w14:paraId="780007C2" w14:textId="778E0C4A"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Pre Ru</w:t>
            </w:r>
            <w:r w:rsidR="006E23DC">
              <w:rPr>
                <w:rFonts w:asciiTheme="minorHAnsi" w:eastAsia="Times New Roman" w:hAnsiTheme="minorHAnsi" w:cstheme="minorHAnsi"/>
                <w:color w:val="000000"/>
                <w:lang w:val="id-ID"/>
              </w:rPr>
              <w:t>s</w:t>
            </w:r>
            <w:r w:rsidRPr="00DF5B90">
              <w:rPr>
                <w:rFonts w:asciiTheme="minorHAnsi" w:eastAsia="Times New Roman" w:hAnsiTheme="minorHAnsi" w:cstheme="minorHAnsi"/>
                <w:color w:val="000000"/>
                <w:lang w:val="id-ID"/>
              </w:rPr>
              <w:t>sia-Ukrain</w:t>
            </w:r>
            <w:r w:rsidR="006E23DC">
              <w:rPr>
                <w:rFonts w:asciiTheme="minorHAnsi" w:eastAsia="Times New Roman" w:hAnsiTheme="minorHAnsi" w:cstheme="minorHAnsi"/>
                <w:color w:val="000000"/>
                <w:lang w:val="id-ID"/>
              </w:rPr>
              <w:t>e War</w:t>
            </w:r>
          </w:p>
        </w:tc>
        <w:tc>
          <w:tcPr>
            <w:tcW w:w="1800" w:type="dxa"/>
            <w:vAlign w:val="bottom"/>
            <w:hideMark/>
          </w:tcPr>
          <w:p w14:paraId="34368301"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XAU</w:t>
            </w:r>
          </w:p>
        </w:tc>
        <w:tc>
          <w:tcPr>
            <w:tcW w:w="1920" w:type="dxa"/>
            <w:vAlign w:val="bottom"/>
            <w:hideMark/>
          </w:tcPr>
          <w:p w14:paraId="2A4C9C0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-11.03548</w:t>
            </w:r>
          </w:p>
        </w:tc>
        <w:tc>
          <w:tcPr>
            <w:tcW w:w="1860" w:type="dxa"/>
            <w:vAlign w:val="bottom"/>
            <w:hideMark/>
          </w:tcPr>
          <w:p w14:paraId="58096F4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r w:rsidRPr="00DF5B90">
              <w:rPr>
                <w:rFonts w:asciiTheme="minorHAnsi" w:eastAsia="Times New Roman" w:hAnsiTheme="minorHAnsi" w:cstheme="minorHAnsi"/>
                <w:color w:val="000000"/>
                <w:vertAlign w:val="superscript"/>
                <w:lang w:val="id-ID"/>
              </w:rPr>
              <w:t>***</w:t>
            </w:r>
          </w:p>
        </w:tc>
      </w:tr>
      <w:tr w:rsidR="00DF5B90" w:rsidRPr="00DF5B90" w14:paraId="26CCF2C1" w14:textId="77777777" w:rsidTr="00DF5B90">
        <w:trPr>
          <w:trHeight w:val="245"/>
          <w:jc w:val="center"/>
        </w:trPr>
        <w:tc>
          <w:tcPr>
            <w:tcW w:w="0" w:type="auto"/>
            <w:vMerge/>
            <w:tcBorders>
              <w:top w:val="nil"/>
              <w:left w:val="nil"/>
              <w:bottom w:val="single" w:sz="4" w:space="0" w:color="auto"/>
              <w:right w:val="nil"/>
            </w:tcBorders>
            <w:vAlign w:val="center"/>
            <w:hideMark/>
          </w:tcPr>
          <w:p w14:paraId="62BCDC97"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800" w:type="dxa"/>
            <w:vAlign w:val="bottom"/>
            <w:hideMark/>
          </w:tcPr>
          <w:p w14:paraId="026783C5"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DXY</w:t>
            </w:r>
          </w:p>
        </w:tc>
        <w:tc>
          <w:tcPr>
            <w:tcW w:w="1920" w:type="dxa"/>
            <w:vAlign w:val="bottom"/>
            <w:hideMark/>
          </w:tcPr>
          <w:p w14:paraId="5836DA2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-11.91777</w:t>
            </w:r>
          </w:p>
        </w:tc>
        <w:tc>
          <w:tcPr>
            <w:tcW w:w="1860" w:type="dxa"/>
            <w:hideMark/>
          </w:tcPr>
          <w:p w14:paraId="4B5C163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r w:rsidRPr="00DF5B90">
              <w:rPr>
                <w:rFonts w:asciiTheme="minorHAnsi" w:eastAsia="Times New Roman" w:hAnsiTheme="minorHAnsi" w:cstheme="minorHAnsi"/>
                <w:color w:val="000000"/>
                <w:vertAlign w:val="superscript"/>
                <w:lang w:val="id-ID"/>
              </w:rPr>
              <w:t>***</w:t>
            </w:r>
          </w:p>
        </w:tc>
      </w:tr>
      <w:tr w:rsidR="00DF5B90" w:rsidRPr="00DF5B90" w14:paraId="31091035" w14:textId="77777777" w:rsidTr="00DF5B90">
        <w:trPr>
          <w:trHeight w:val="245"/>
          <w:jc w:val="center"/>
        </w:trPr>
        <w:tc>
          <w:tcPr>
            <w:tcW w:w="0" w:type="auto"/>
            <w:vMerge/>
            <w:tcBorders>
              <w:top w:val="nil"/>
              <w:left w:val="nil"/>
              <w:bottom w:val="single" w:sz="4" w:space="0" w:color="auto"/>
              <w:right w:val="nil"/>
            </w:tcBorders>
            <w:vAlign w:val="center"/>
            <w:hideMark/>
          </w:tcPr>
          <w:p w14:paraId="1F89A77D"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800" w:type="dxa"/>
            <w:vAlign w:val="bottom"/>
            <w:hideMark/>
          </w:tcPr>
          <w:p w14:paraId="7EEB23EC"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V JKSE</w:t>
            </w:r>
          </w:p>
        </w:tc>
        <w:tc>
          <w:tcPr>
            <w:tcW w:w="1920" w:type="dxa"/>
            <w:vAlign w:val="bottom"/>
            <w:hideMark/>
          </w:tcPr>
          <w:p w14:paraId="1DCE19C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-12.47346</w:t>
            </w:r>
          </w:p>
        </w:tc>
        <w:tc>
          <w:tcPr>
            <w:tcW w:w="1860" w:type="dxa"/>
            <w:hideMark/>
          </w:tcPr>
          <w:p w14:paraId="06C0E47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r w:rsidRPr="00DF5B90">
              <w:rPr>
                <w:rFonts w:asciiTheme="minorHAnsi" w:eastAsia="Times New Roman" w:hAnsiTheme="minorHAnsi" w:cstheme="minorHAnsi"/>
                <w:color w:val="000000"/>
                <w:vertAlign w:val="superscript"/>
                <w:lang w:val="id-ID"/>
              </w:rPr>
              <w:t>***</w:t>
            </w:r>
          </w:p>
        </w:tc>
      </w:tr>
      <w:tr w:rsidR="00DF5B90" w:rsidRPr="00DF5B90" w14:paraId="5B48DD18" w14:textId="77777777" w:rsidTr="00DF5B90">
        <w:trPr>
          <w:trHeight w:val="245"/>
          <w:jc w:val="center"/>
        </w:trPr>
        <w:tc>
          <w:tcPr>
            <w:tcW w:w="0" w:type="auto"/>
            <w:vMerge/>
            <w:tcBorders>
              <w:top w:val="nil"/>
              <w:left w:val="nil"/>
              <w:bottom w:val="single" w:sz="4" w:space="0" w:color="auto"/>
              <w:right w:val="nil"/>
            </w:tcBorders>
            <w:vAlign w:val="center"/>
            <w:hideMark/>
          </w:tcPr>
          <w:p w14:paraId="43BF8178"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800" w:type="dxa"/>
            <w:vAlign w:val="bottom"/>
            <w:hideMark/>
          </w:tcPr>
          <w:p w14:paraId="24D6A59F"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V KLSE</w:t>
            </w:r>
          </w:p>
        </w:tc>
        <w:tc>
          <w:tcPr>
            <w:tcW w:w="1920" w:type="dxa"/>
            <w:vAlign w:val="bottom"/>
            <w:hideMark/>
          </w:tcPr>
          <w:p w14:paraId="599C941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-12.60381</w:t>
            </w:r>
          </w:p>
        </w:tc>
        <w:tc>
          <w:tcPr>
            <w:tcW w:w="1860" w:type="dxa"/>
            <w:hideMark/>
          </w:tcPr>
          <w:p w14:paraId="66EADDB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r w:rsidRPr="00DF5B90">
              <w:rPr>
                <w:rFonts w:asciiTheme="minorHAnsi" w:eastAsia="Times New Roman" w:hAnsiTheme="minorHAnsi" w:cstheme="minorHAnsi"/>
                <w:color w:val="000000"/>
                <w:vertAlign w:val="superscript"/>
                <w:lang w:val="id-ID"/>
              </w:rPr>
              <w:t>***</w:t>
            </w:r>
          </w:p>
        </w:tc>
      </w:tr>
      <w:tr w:rsidR="00DF5B90" w:rsidRPr="00DF5B90" w14:paraId="732824CD" w14:textId="77777777" w:rsidTr="00DF5B90">
        <w:trPr>
          <w:trHeight w:val="245"/>
          <w:jc w:val="center"/>
        </w:trPr>
        <w:tc>
          <w:tcPr>
            <w:tcW w:w="0" w:type="auto"/>
            <w:vMerge/>
            <w:tcBorders>
              <w:top w:val="nil"/>
              <w:left w:val="nil"/>
              <w:bottom w:val="single" w:sz="4" w:space="0" w:color="auto"/>
              <w:right w:val="nil"/>
            </w:tcBorders>
            <w:vAlign w:val="center"/>
            <w:hideMark/>
          </w:tcPr>
          <w:p w14:paraId="1556C839"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800" w:type="dxa"/>
            <w:vAlign w:val="bottom"/>
            <w:hideMark/>
          </w:tcPr>
          <w:p w14:paraId="3D4BF8C4"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V PSEi</w:t>
            </w:r>
          </w:p>
        </w:tc>
        <w:tc>
          <w:tcPr>
            <w:tcW w:w="1920" w:type="dxa"/>
            <w:vAlign w:val="bottom"/>
            <w:hideMark/>
          </w:tcPr>
          <w:p w14:paraId="26934AA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-11.78239</w:t>
            </w:r>
          </w:p>
        </w:tc>
        <w:tc>
          <w:tcPr>
            <w:tcW w:w="1860" w:type="dxa"/>
            <w:hideMark/>
          </w:tcPr>
          <w:p w14:paraId="7BA48FA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r w:rsidRPr="00DF5B90">
              <w:rPr>
                <w:rFonts w:asciiTheme="minorHAnsi" w:eastAsia="Times New Roman" w:hAnsiTheme="minorHAnsi" w:cstheme="minorHAnsi"/>
                <w:color w:val="000000"/>
                <w:vertAlign w:val="superscript"/>
                <w:lang w:val="id-ID"/>
              </w:rPr>
              <w:t>***</w:t>
            </w:r>
          </w:p>
        </w:tc>
      </w:tr>
      <w:tr w:rsidR="00DF5B90" w:rsidRPr="00DF5B90" w14:paraId="59A01E0C" w14:textId="77777777" w:rsidTr="00DF5B90">
        <w:trPr>
          <w:trHeight w:val="245"/>
          <w:jc w:val="center"/>
        </w:trPr>
        <w:tc>
          <w:tcPr>
            <w:tcW w:w="0" w:type="auto"/>
            <w:vMerge/>
            <w:tcBorders>
              <w:top w:val="nil"/>
              <w:left w:val="nil"/>
              <w:bottom w:val="single" w:sz="4" w:space="0" w:color="auto"/>
              <w:right w:val="nil"/>
            </w:tcBorders>
            <w:vAlign w:val="center"/>
            <w:hideMark/>
          </w:tcPr>
          <w:p w14:paraId="6618C794"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800" w:type="dxa"/>
            <w:vAlign w:val="bottom"/>
            <w:hideMark/>
          </w:tcPr>
          <w:p w14:paraId="5FAD6363"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V STI</w:t>
            </w:r>
          </w:p>
        </w:tc>
        <w:tc>
          <w:tcPr>
            <w:tcW w:w="1920" w:type="dxa"/>
            <w:vAlign w:val="bottom"/>
            <w:hideMark/>
          </w:tcPr>
          <w:p w14:paraId="19CAB90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-11.15352</w:t>
            </w:r>
          </w:p>
        </w:tc>
        <w:tc>
          <w:tcPr>
            <w:tcW w:w="1860" w:type="dxa"/>
            <w:hideMark/>
          </w:tcPr>
          <w:p w14:paraId="11287F1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r w:rsidRPr="00DF5B90">
              <w:rPr>
                <w:rFonts w:asciiTheme="minorHAnsi" w:eastAsia="Times New Roman" w:hAnsiTheme="minorHAnsi" w:cstheme="minorHAnsi"/>
                <w:color w:val="000000"/>
                <w:vertAlign w:val="superscript"/>
                <w:lang w:val="id-ID"/>
              </w:rPr>
              <w:t>***</w:t>
            </w:r>
          </w:p>
        </w:tc>
      </w:tr>
      <w:tr w:rsidR="00DF5B90" w:rsidRPr="00DF5B90" w14:paraId="0277668E" w14:textId="77777777" w:rsidTr="00DF5B90">
        <w:trPr>
          <w:trHeight w:val="245"/>
          <w:jc w:val="center"/>
        </w:trPr>
        <w:tc>
          <w:tcPr>
            <w:tcW w:w="0" w:type="auto"/>
            <w:vMerge/>
            <w:tcBorders>
              <w:top w:val="nil"/>
              <w:left w:val="nil"/>
              <w:bottom w:val="single" w:sz="4" w:space="0" w:color="auto"/>
              <w:right w:val="nil"/>
            </w:tcBorders>
            <w:vAlign w:val="center"/>
            <w:hideMark/>
          </w:tcPr>
          <w:p w14:paraId="6EAD8EE5"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800" w:type="dxa"/>
            <w:vAlign w:val="bottom"/>
            <w:hideMark/>
          </w:tcPr>
          <w:p w14:paraId="134FCD8C"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V SETI</w:t>
            </w:r>
          </w:p>
        </w:tc>
        <w:tc>
          <w:tcPr>
            <w:tcW w:w="1920" w:type="dxa"/>
            <w:vAlign w:val="bottom"/>
            <w:hideMark/>
          </w:tcPr>
          <w:p w14:paraId="778D2C2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-14.72121</w:t>
            </w:r>
          </w:p>
        </w:tc>
        <w:tc>
          <w:tcPr>
            <w:tcW w:w="1860" w:type="dxa"/>
            <w:hideMark/>
          </w:tcPr>
          <w:p w14:paraId="7DE2D7A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r w:rsidRPr="00DF5B90">
              <w:rPr>
                <w:rFonts w:asciiTheme="minorHAnsi" w:eastAsia="Times New Roman" w:hAnsiTheme="minorHAnsi" w:cstheme="minorHAnsi"/>
                <w:color w:val="000000"/>
                <w:vertAlign w:val="superscript"/>
                <w:lang w:val="id-ID"/>
              </w:rPr>
              <w:t>***</w:t>
            </w:r>
          </w:p>
        </w:tc>
      </w:tr>
      <w:tr w:rsidR="00DF5B90" w:rsidRPr="00DF5B90" w14:paraId="42718628" w14:textId="77777777" w:rsidTr="00DF5B90">
        <w:trPr>
          <w:trHeight w:val="245"/>
          <w:jc w:val="center"/>
        </w:trPr>
        <w:tc>
          <w:tcPr>
            <w:tcW w:w="0" w:type="auto"/>
            <w:vMerge/>
            <w:tcBorders>
              <w:top w:val="nil"/>
              <w:left w:val="nil"/>
              <w:bottom w:val="single" w:sz="4" w:space="0" w:color="auto"/>
              <w:right w:val="nil"/>
            </w:tcBorders>
            <w:vAlign w:val="center"/>
            <w:hideMark/>
          </w:tcPr>
          <w:p w14:paraId="39A5FD13"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800" w:type="dxa"/>
            <w:vAlign w:val="bottom"/>
            <w:hideMark/>
          </w:tcPr>
          <w:p w14:paraId="2FEA912E"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V VN30</w:t>
            </w:r>
          </w:p>
        </w:tc>
        <w:tc>
          <w:tcPr>
            <w:tcW w:w="1920" w:type="dxa"/>
            <w:vAlign w:val="bottom"/>
            <w:hideMark/>
          </w:tcPr>
          <w:p w14:paraId="54D062E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-13.10605</w:t>
            </w:r>
          </w:p>
        </w:tc>
        <w:tc>
          <w:tcPr>
            <w:tcW w:w="1860" w:type="dxa"/>
            <w:hideMark/>
          </w:tcPr>
          <w:p w14:paraId="597040C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r w:rsidRPr="00DF5B90">
              <w:rPr>
                <w:rFonts w:asciiTheme="minorHAnsi" w:eastAsia="Times New Roman" w:hAnsiTheme="minorHAnsi" w:cstheme="minorHAnsi"/>
                <w:color w:val="000000"/>
                <w:vertAlign w:val="superscript"/>
                <w:lang w:val="id-ID"/>
              </w:rPr>
              <w:t>***</w:t>
            </w:r>
          </w:p>
        </w:tc>
      </w:tr>
      <w:tr w:rsidR="00DF5B90" w:rsidRPr="00DF5B90" w14:paraId="43AED4D1" w14:textId="77777777" w:rsidTr="00DF5B90">
        <w:trPr>
          <w:trHeight w:val="245"/>
          <w:jc w:val="center"/>
        </w:trPr>
        <w:tc>
          <w:tcPr>
            <w:tcW w:w="0" w:type="auto"/>
            <w:vMerge/>
            <w:tcBorders>
              <w:top w:val="nil"/>
              <w:left w:val="nil"/>
              <w:bottom w:val="single" w:sz="4" w:space="0" w:color="auto"/>
              <w:right w:val="nil"/>
            </w:tcBorders>
            <w:vAlign w:val="center"/>
            <w:hideMark/>
          </w:tcPr>
          <w:p w14:paraId="1834760A"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800" w:type="dxa"/>
            <w:vAlign w:val="bottom"/>
            <w:hideMark/>
          </w:tcPr>
          <w:p w14:paraId="2FA11861"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V LSX</w:t>
            </w:r>
          </w:p>
        </w:tc>
        <w:tc>
          <w:tcPr>
            <w:tcW w:w="1920" w:type="dxa"/>
            <w:vAlign w:val="bottom"/>
            <w:hideMark/>
          </w:tcPr>
          <w:p w14:paraId="5231044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-11.28824</w:t>
            </w:r>
          </w:p>
        </w:tc>
        <w:tc>
          <w:tcPr>
            <w:tcW w:w="1860" w:type="dxa"/>
            <w:hideMark/>
          </w:tcPr>
          <w:p w14:paraId="3D7EC74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r w:rsidRPr="00DF5B90">
              <w:rPr>
                <w:rFonts w:asciiTheme="minorHAnsi" w:eastAsia="Times New Roman" w:hAnsiTheme="minorHAnsi" w:cstheme="minorHAnsi"/>
                <w:color w:val="000000"/>
                <w:vertAlign w:val="superscript"/>
                <w:lang w:val="id-ID"/>
              </w:rPr>
              <w:t>***</w:t>
            </w:r>
          </w:p>
        </w:tc>
      </w:tr>
      <w:tr w:rsidR="00DF5B90" w:rsidRPr="00DF5B90" w14:paraId="5AB5396C" w14:textId="77777777" w:rsidTr="00DF5B90">
        <w:trPr>
          <w:trHeight w:val="245"/>
          <w:jc w:val="center"/>
        </w:trPr>
        <w:tc>
          <w:tcPr>
            <w:tcW w:w="0" w:type="auto"/>
            <w:vMerge/>
            <w:tcBorders>
              <w:top w:val="nil"/>
              <w:left w:val="nil"/>
              <w:bottom w:val="single" w:sz="4" w:space="0" w:color="auto"/>
              <w:right w:val="nil"/>
            </w:tcBorders>
            <w:vAlign w:val="center"/>
            <w:hideMark/>
          </w:tcPr>
          <w:p w14:paraId="2527255A"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800" w:type="dxa"/>
            <w:vAlign w:val="bottom"/>
            <w:hideMark/>
          </w:tcPr>
          <w:p w14:paraId="69D0B5D9"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V Nikkei</w:t>
            </w:r>
          </w:p>
        </w:tc>
        <w:tc>
          <w:tcPr>
            <w:tcW w:w="1920" w:type="dxa"/>
            <w:vAlign w:val="bottom"/>
            <w:hideMark/>
          </w:tcPr>
          <w:p w14:paraId="06DD42F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-11.05977</w:t>
            </w:r>
          </w:p>
        </w:tc>
        <w:tc>
          <w:tcPr>
            <w:tcW w:w="1860" w:type="dxa"/>
            <w:hideMark/>
          </w:tcPr>
          <w:p w14:paraId="715EBE3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r w:rsidRPr="00DF5B90">
              <w:rPr>
                <w:rFonts w:asciiTheme="minorHAnsi" w:eastAsia="Times New Roman" w:hAnsiTheme="minorHAnsi" w:cstheme="minorHAnsi"/>
                <w:color w:val="000000"/>
                <w:vertAlign w:val="superscript"/>
                <w:lang w:val="id-ID"/>
              </w:rPr>
              <w:t>***</w:t>
            </w:r>
          </w:p>
        </w:tc>
      </w:tr>
      <w:tr w:rsidR="00DF5B90" w:rsidRPr="00DF5B90" w14:paraId="7F3DD514" w14:textId="77777777" w:rsidTr="00DF5B90">
        <w:trPr>
          <w:trHeight w:val="245"/>
          <w:jc w:val="center"/>
        </w:trPr>
        <w:tc>
          <w:tcPr>
            <w:tcW w:w="0" w:type="auto"/>
            <w:vMerge/>
            <w:tcBorders>
              <w:top w:val="nil"/>
              <w:left w:val="nil"/>
              <w:bottom w:val="single" w:sz="4" w:space="0" w:color="auto"/>
              <w:right w:val="nil"/>
            </w:tcBorders>
            <w:vAlign w:val="center"/>
            <w:hideMark/>
          </w:tcPr>
          <w:p w14:paraId="7568C976"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800" w:type="dxa"/>
            <w:vAlign w:val="bottom"/>
            <w:hideMark/>
          </w:tcPr>
          <w:p w14:paraId="50059CEA"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V Kospi</w:t>
            </w:r>
          </w:p>
        </w:tc>
        <w:tc>
          <w:tcPr>
            <w:tcW w:w="1920" w:type="dxa"/>
            <w:vAlign w:val="bottom"/>
            <w:hideMark/>
          </w:tcPr>
          <w:p w14:paraId="0261B05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-12.67307</w:t>
            </w:r>
          </w:p>
        </w:tc>
        <w:tc>
          <w:tcPr>
            <w:tcW w:w="1860" w:type="dxa"/>
            <w:hideMark/>
          </w:tcPr>
          <w:p w14:paraId="78B6288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r w:rsidRPr="00DF5B90">
              <w:rPr>
                <w:rFonts w:asciiTheme="minorHAnsi" w:eastAsia="Times New Roman" w:hAnsiTheme="minorHAnsi" w:cstheme="minorHAnsi"/>
                <w:color w:val="000000"/>
                <w:vertAlign w:val="superscript"/>
                <w:lang w:val="id-ID"/>
              </w:rPr>
              <w:t>***</w:t>
            </w:r>
          </w:p>
        </w:tc>
      </w:tr>
      <w:tr w:rsidR="00DF5B90" w:rsidRPr="00DF5B90" w14:paraId="01713CD9" w14:textId="77777777" w:rsidTr="00DF5B90">
        <w:trPr>
          <w:trHeight w:val="245"/>
          <w:jc w:val="center"/>
        </w:trPr>
        <w:tc>
          <w:tcPr>
            <w:tcW w:w="0" w:type="auto"/>
            <w:vMerge/>
            <w:tcBorders>
              <w:top w:val="nil"/>
              <w:left w:val="nil"/>
              <w:bottom w:val="single" w:sz="4" w:space="0" w:color="auto"/>
              <w:right w:val="nil"/>
            </w:tcBorders>
            <w:vAlign w:val="center"/>
            <w:hideMark/>
          </w:tcPr>
          <w:p w14:paraId="022451C9"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800" w:type="dxa"/>
            <w:tcBorders>
              <w:top w:val="nil"/>
              <w:left w:val="nil"/>
              <w:bottom w:val="single" w:sz="4" w:space="0" w:color="auto"/>
              <w:right w:val="nil"/>
            </w:tcBorders>
            <w:vAlign w:val="bottom"/>
            <w:hideMark/>
          </w:tcPr>
          <w:p w14:paraId="466246B0"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V SSEC</w:t>
            </w:r>
          </w:p>
        </w:tc>
        <w:tc>
          <w:tcPr>
            <w:tcW w:w="1920" w:type="dxa"/>
            <w:tcBorders>
              <w:top w:val="nil"/>
              <w:left w:val="nil"/>
              <w:bottom w:val="single" w:sz="4" w:space="0" w:color="auto"/>
              <w:right w:val="nil"/>
            </w:tcBorders>
            <w:vAlign w:val="bottom"/>
            <w:hideMark/>
          </w:tcPr>
          <w:p w14:paraId="433EB06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-12.98191</w:t>
            </w:r>
          </w:p>
        </w:tc>
        <w:tc>
          <w:tcPr>
            <w:tcW w:w="1860" w:type="dxa"/>
            <w:tcBorders>
              <w:top w:val="nil"/>
              <w:left w:val="nil"/>
              <w:bottom w:val="single" w:sz="4" w:space="0" w:color="auto"/>
              <w:right w:val="nil"/>
            </w:tcBorders>
            <w:hideMark/>
          </w:tcPr>
          <w:p w14:paraId="5701F71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r w:rsidRPr="00DF5B90">
              <w:rPr>
                <w:rFonts w:asciiTheme="minorHAnsi" w:eastAsia="Times New Roman" w:hAnsiTheme="minorHAnsi" w:cstheme="minorHAnsi"/>
                <w:color w:val="000000"/>
                <w:vertAlign w:val="superscript"/>
                <w:lang w:val="id-ID"/>
              </w:rPr>
              <w:t>***</w:t>
            </w:r>
          </w:p>
        </w:tc>
      </w:tr>
      <w:tr w:rsidR="00DF5B90" w:rsidRPr="00DF5B90" w14:paraId="0CE9945D" w14:textId="77777777" w:rsidTr="00DF5B90">
        <w:trPr>
          <w:trHeight w:val="245"/>
          <w:jc w:val="center"/>
        </w:trPr>
        <w:tc>
          <w:tcPr>
            <w:tcW w:w="2700" w:type="dxa"/>
            <w:vMerge w:val="restart"/>
            <w:tcBorders>
              <w:top w:val="single" w:sz="4" w:space="0" w:color="auto"/>
              <w:left w:val="nil"/>
              <w:bottom w:val="single" w:sz="4" w:space="0" w:color="auto"/>
              <w:right w:val="nil"/>
            </w:tcBorders>
            <w:vAlign w:val="center"/>
            <w:hideMark/>
          </w:tcPr>
          <w:p w14:paraId="7037FE3C" w14:textId="2DF3DEB3"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During Rus</w:t>
            </w:r>
            <w:r w:rsidR="006E23DC">
              <w:rPr>
                <w:rFonts w:asciiTheme="minorHAnsi" w:eastAsia="Times New Roman" w:hAnsiTheme="minorHAnsi" w:cstheme="minorHAnsi"/>
                <w:color w:val="000000"/>
                <w:lang w:val="id-ID"/>
              </w:rPr>
              <w:t>s</w:t>
            </w:r>
            <w:r w:rsidRPr="00DF5B90">
              <w:rPr>
                <w:rFonts w:asciiTheme="minorHAnsi" w:eastAsia="Times New Roman" w:hAnsiTheme="minorHAnsi" w:cstheme="minorHAnsi"/>
                <w:color w:val="000000"/>
                <w:lang w:val="id-ID"/>
              </w:rPr>
              <w:t>ia-Ukrain</w:t>
            </w:r>
            <w:r w:rsidR="006E23DC">
              <w:rPr>
                <w:rFonts w:asciiTheme="minorHAnsi" w:eastAsia="Times New Roman" w:hAnsiTheme="minorHAnsi" w:cstheme="minorHAnsi"/>
                <w:color w:val="000000"/>
                <w:lang w:val="id-ID"/>
              </w:rPr>
              <w:t>e War</w:t>
            </w:r>
          </w:p>
        </w:tc>
        <w:tc>
          <w:tcPr>
            <w:tcW w:w="1800" w:type="dxa"/>
            <w:tcBorders>
              <w:top w:val="single" w:sz="4" w:space="0" w:color="auto"/>
              <w:left w:val="nil"/>
              <w:bottom w:val="nil"/>
              <w:right w:val="nil"/>
            </w:tcBorders>
            <w:vAlign w:val="bottom"/>
            <w:hideMark/>
          </w:tcPr>
          <w:p w14:paraId="2F2146D9"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XAU</w:t>
            </w:r>
          </w:p>
        </w:tc>
        <w:tc>
          <w:tcPr>
            <w:tcW w:w="1920" w:type="dxa"/>
            <w:tcBorders>
              <w:top w:val="single" w:sz="4" w:space="0" w:color="auto"/>
              <w:left w:val="nil"/>
              <w:bottom w:val="nil"/>
              <w:right w:val="nil"/>
            </w:tcBorders>
            <w:vAlign w:val="bottom"/>
            <w:hideMark/>
          </w:tcPr>
          <w:p w14:paraId="2AA7CC5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-16.65325</w:t>
            </w:r>
          </w:p>
        </w:tc>
        <w:tc>
          <w:tcPr>
            <w:tcW w:w="1860" w:type="dxa"/>
            <w:tcBorders>
              <w:top w:val="single" w:sz="4" w:space="0" w:color="auto"/>
              <w:left w:val="nil"/>
              <w:bottom w:val="nil"/>
              <w:right w:val="nil"/>
            </w:tcBorders>
            <w:hideMark/>
          </w:tcPr>
          <w:p w14:paraId="025834A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r w:rsidRPr="00DF5B90">
              <w:rPr>
                <w:rFonts w:asciiTheme="minorHAnsi" w:eastAsia="Times New Roman" w:hAnsiTheme="minorHAnsi" w:cstheme="minorHAnsi"/>
                <w:color w:val="000000"/>
                <w:vertAlign w:val="superscript"/>
                <w:lang w:val="id-ID"/>
              </w:rPr>
              <w:t>***</w:t>
            </w:r>
          </w:p>
        </w:tc>
      </w:tr>
      <w:tr w:rsidR="00DF5B90" w:rsidRPr="00DF5B90" w14:paraId="2EEB681F" w14:textId="77777777" w:rsidTr="00DF5B90">
        <w:trPr>
          <w:trHeight w:val="245"/>
          <w:jc w:val="center"/>
        </w:trPr>
        <w:tc>
          <w:tcPr>
            <w:tcW w:w="0" w:type="auto"/>
            <w:vMerge/>
            <w:tcBorders>
              <w:top w:val="single" w:sz="4" w:space="0" w:color="auto"/>
              <w:left w:val="nil"/>
              <w:bottom w:val="single" w:sz="4" w:space="0" w:color="auto"/>
              <w:right w:val="nil"/>
            </w:tcBorders>
            <w:vAlign w:val="center"/>
            <w:hideMark/>
          </w:tcPr>
          <w:p w14:paraId="77ED5A26"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800" w:type="dxa"/>
            <w:vAlign w:val="bottom"/>
            <w:hideMark/>
          </w:tcPr>
          <w:p w14:paraId="67A854A3"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DXY</w:t>
            </w:r>
          </w:p>
        </w:tc>
        <w:tc>
          <w:tcPr>
            <w:tcW w:w="1920" w:type="dxa"/>
            <w:vAlign w:val="bottom"/>
            <w:hideMark/>
          </w:tcPr>
          <w:p w14:paraId="3FC3D10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-15.29973</w:t>
            </w:r>
          </w:p>
        </w:tc>
        <w:tc>
          <w:tcPr>
            <w:tcW w:w="1860" w:type="dxa"/>
            <w:hideMark/>
          </w:tcPr>
          <w:p w14:paraId="56379F6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r w:rsidRPr="00DF5B90">
              <w:rPr>
                <w:rFonts w:asciiTheme="minorHAnsi" w:eastAsia="Times New Roman" w:hAnsiTheme="minorHAnsi" w:cstheme="minorHAnsi"/>
                <w:color w:val="000000"/>
                <w:vertAlign w:val="superscript"/>
                <w:lang w:val="id-ID"/>
              </w:rPr>
              <w:t>***</w:t>
            </w:r>
          </w:p>
        </w:tc>
      </w:tr>
      <w:tr w:rsidR="00DF5B90" w:rsidRPr="00DF5B90" w14:paraId="3A8F3167" w14:textId="77777777" w:rsidTr="00DF5B90">
        <w:trPr>
          <w:trHeight w:val="245"/>
          <w:jc w:val="center"/>
        </w:trPr>
        <w:tc>
          <w:tcPr>
            <w:tcW w:w="0" w:type="auto"/>
            <w:vMerge/>
            <w:tcBorders>
              <w:top w:val="single" w:sz="4" w:space="0" w:color="auto"/>
              <w:left w:val="nil"/>
              <w:bottom w:val="single" w:sz="4" w:space="0" w:color="auto"/>
              <w:right w:val="nil"/>
            </w:tcBorders>
            <w:vAlign w:val="center"/>
            <w:hideMark/>
          </w:tcPr>
          <w:p w14:paraId="18063319"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800" w:type="dxa"/>
            <w:vAlign w:val="bottom"/>
            <w:hideMark/>
          </w:tcPr>
          <w:p w14:paraId="40E304A6"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V JKSE</w:t>
            </w:r>
          </w:p>
        </w:tc>
        <w:tc>
          <w:tcPr>
            <w:tcW w:w="1920" w:type="dxa"/>
            <w:vAlign w:val="bottom"/>
            <w:hideMark/>
          </w:tcPr>
          <w:p w14:paraId="6036217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-13.77224</w:t>
            </w:r>
          </w:p>
        </w:tc>
        <w:tc>
          <w:tcPr>
            <w:tcW w:w="1860" w:type="dxa"/>
            <w:hideMark/>
          </w:tcPr>
          <w:p w14:paraId="17AF48F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r w:rsidRPr="00DF5B90">
              <w:rPr>
                <w:rFonts w:asciiTheme="minorHAnsi" w:eastAsia="Times New Roman" w:hAnsiTheme="minorHAnsi" w:cstheme="minorHAnsi"/>
                <w:color w:val="000000"/>
                <w:vertAlign w:val="superscript"/>
                <w:lang w:val="id-ID"/>
              </w:rPr>
              <w:t>***</w:t>
            </w:r>
          </w:p>
        </w:tc>
      </w:tr>
      <w:tr w:rsidR="00DF5B90" w:rsidRPr="00DF5B90" w14:paraId="68C6396F" w14:textId="77777777" w:rsidTr="00DF5B90">
        <w:trPr>
          <w:trHeight w:val="245"/>
          <w:jc w:val="center"/>
        </w:trPr>
        <w:tc>
          <w:tcPr>
            <w:tcW w:w="0" w:type="auto"/>
            <w:vMerge/>
            <w:tcBorders>
              <w:top w:val="single" w:sz="4" w:space="0" w:color="auto"/>
              <w:left w:val="nil"/>
              <w:bottom w:val="single" w:sz="4" w:space="0" w:color="auto"/>
              <w:right w:val="nil"/>
            </w:tcBorders>
            <w:vAlign w:val="center"/>
            <w:hideMark/>
          </w:tcPr>
          <w:p w14:paraId="2267180F"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800" w:type="dxa"/>
            <w:vAlign w:val="bottom"/>
            <w:hideMark/>
          </w:tcPr>
          <w:p w14:paraId="6812B08B"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V KLSE</w:t>
            </w:r>
          </w:p>
        </w:tc>
        <w:tc>
          <w:tcPr>
            <w:tcW w:w="1920" w:type="dxa"/>
            <w:vAlign w:val="bottom"/>
            <w:hideMark/>
          </w:tcPr>
          <w:p w14:paraId="300BAE1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-12.12513</w:t>
            </w:r>
          </w:p>
        </w:tc>
        <w:tc>
          <w:tcPr>
            <w:tcW w:w="1860" w:type="dxa"/>
            <w:hideMark/>
          </w:tcPr>
          <w:p w14:paraId="4B21BFC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r w:rsidRPr="00DF5B90">
              <w:rPr>
                <w:rFonts w:asciiTheme="minorHAnsi" w:eastAsia="Times New Roman" w:hAnsiTheme="minorHAnsi" w:cstheme="minorHAnsi"/>
                <w:color w:val="000000"/>
                <w:vertAlign w:val="superscript"/>
                <w:lang w:val="id-ID"/>
              </w:rPr>
              <w:t>***</w:t>
            </w:r>
          </w:p>
        </w:tc>
      </w:tr>
      <w:tr w:rsidR="00DF5B90" w:rsidRPr="00DF5B90" w14:paraId="649C8E4F" w14:textId="77777777" w:rsidTr="00DF5B90">
        <w:trPr>
          <w:trHeight w:val="245"/>
          <w:jc w:val="center"/>
        </w:trPr>
        <w:tc>
          <w:tcPr>
            <w:tcW w:w="0" w:type="auto"/>
            <w:vMerge/>
            <w:tcBorders>
              <w:top w:val="single" w:sz="4" w:space="0" w:color="auto"/>
              <w:left w:val="nil"/>
              <w:bottom w:val="single" w:sz="4" w:space="0" w:color="auto"/>
              <w:right w:val="nil"/>
            </w:tcBorders>
            <w:vAlign w:val="center"/>
            <w:hideMark/>
          </w:tcPr>
          <w:p w14:paraId="17964DDD"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800" w:type="dxa"/>
            <w:vAlign w:val="bottom"/>
            <w:hideMark/>
          </w:tcPr>
          <w:p w14:paraId="7C35D865"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V PSEi</w:t>
            </w:r>
          </w:p>
        </w:tc>
        <w:tc>
          <w:tcPr>
            <w:tcW w:w="1920" w:type="dxa"/>
            <w:vAlign w:val="bottom"/>
            <w:hideMark/>
          </w:tcPr>
          <w:p w14:paraId="38BB94F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-14.86113</w:t>
            </w:r>
          </w:p>
        </w:tc>
        <w:tc>
          <w:tcPr>
            <w:tcW w:w="1860" w:type="dxa"/>
            <w:hideMark/>
          </w:tcPr>
          <w:p w14:paraId="0F4EFF1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r w:rsidRPr="00DF5B90">
              <w:rPr>
                <w:rFonts w:asciiTheme="minorHAnsi" w:eastAsia="Times New Roman" w:hAnsiTheme="minorHAnsi" w:cstheme="minorHAnsi"/>
                <w:color w:val="000000"/>
                <w:vertAlign w:val="superscript"/>
                <w:lang w:val="id-ID"/>
              </w:rPr>
              <w:t>***</w:t>
            </w:r>
          </w:p>
        </w:tc>
      </w:tr>
      <w:tr w:rsidR="00DF5B90" w:rsidRPr="00DF5B90" w14:paraId="5BCA3044" w14:textId="77777777" w:rsidTr="00DF5B90">
        <w:trPr>
          <w:trHeight w:val="245"/>
          <w:jc w:val="center"/>
        </w:trPr>
        <w:tc>
          <w:tcPr>
            <w:tcW w:w="0" w:type="auto"/>
            <w:vMerge/>
            <w:tcBorders>
              <w:top w:val="single" w:sz="4" w:space="0" w:color="auto"/>
              <w:left w:val="nil"/>
              <w:bottom w:val="single" w:sz="4" w:space="0" w:color="auto"/>
              <w:right w:val="nil"/>
            </w:tcBorders>
            <w:vAlign w:val="center"/>
            <w:hideMark/>
          </w:tcPr>
          <w:p w14:paraId="650C6A0D"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800" w:type="dxa"/>
            <w:vAlign w:val="bottom"/>
            <w:hideMark/>
          </w:tcPr>
          <w:p w14:paraId="284D7082"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V STI</w:t>
            </w:r>
          </w:p>
        </w:tc>
        <w:tc>
          <w:tcPr>
            <w:tcW w:w="1920" w:type="dxa"/>
            <w:vAlign w:val="bottom"/>
            <w:hideMark/>
          </w:tcPr>
          <w:p w14:paraId="3DE1E16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-15.12499</w:t>
            </w:r>
          </w:p>
        </w:tc>
        <w:tc>
          <w:tcPr>
            <w:tcW w:w="1860" w:type="dxa"/>
            <w:hideMark/>
          </w:tcPr>
          <w:p w14:paraId="1D90EC6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r w:rsidRPr="00DF5B90">
              <w:rPr>
                <w:rFonts w:asciiTheme="minorHAnsi" w:eastAsia="Times New Roman" w:hAnsiTheme="minorHAnsi" w:cstheme="minorHAnsi"/>
                <w:color w:val="000000"/>
                <w:vertAlign w:val="superscript"/>
                <w:lang w:val="id-ID"/>
              </w:rPr>
              <w:t>***</w:t>
            </w:r>
          </w:p>
        </w:tc>
      </w:tr>
      <w:tr w:rsidR="00DF5B90" w:rsidRPr="00DF5B90" w14:paraId="4BABB94B" w14:textId="77777777" w:rsidTr="00DF5B90">
        <w:trPr>
          <w:trHeight w:val="245"/>
          <w:jc w:val="center"/>
        </w:trPr>
        <w:tc>
          <w:tcPr>
            <w:tcW w:w="0" w:type="auto"/>
            <w:vMerge/>
            <w:tcBorders>
              <w:top w:val="single" w:sz="4" w:space="0" w:color="auto"/>
              <w:left w:val="nil"/>
              <w:bottom w:val="single" w:sz="4" w:space="0" w:color="auto"/>
              <w:right w:val="nil"/>
            </w:tcBorders>
            <w:vAlign w:val="center"/>
            <w:hideMark/>
          </w:tcPr>
          <w:p w14:paraId="76AA7C6A"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800" w:type="dxa"/>
            <w:vAlign w:val="bottom"/>
            <w:hideMark/>
          </w:tcPr>
          <w:p w14:paraId="0573D4F0"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V SETI</w:t>
            </w:r>
          </w:p>
        </w:tc>
        <w:tc>
          <w:tcPr>
            <w:tcW w:w="1920" w:type="dxa"/>
            <w:vAlign w:val="bottom"/>
            <w:hideMark/>
          </w:tcPr>
          <w:p w14:paraId="47BCBA5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-14.09769</w:t>
            </w:r>
          </w:p>
        </w:tc>
        <w:tc>
          <w:tcPr>
            <w:tcW w:w="1860" w:type="dxa"/>
            <w:hideMark/>
          </w:tcPr>
          <w:p w14:paraId="2E45ED4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r w:rsidRPr="00DF5B90">
              <w:rPr>
                <w:rFonts w:asciiTheme="minorHAnsi" w:eastAsia="Times New Roman" w:hAnsiTheme="minorHAnsi" w:cstheme="minorHAnsi"/>
                <w:color w:val="000000"/>
                <w:vertAlign w:val="superscript"/>
                <w:lang w:val="id-ID"/>
              </w:rPr>
              <w:t>***</w:t>
            </w:r>
          </w:p>
        </w:tc>
      </w:tr>
      <w:tr w:rsidR="00DF5B90" w:rsidRPr="00DF5B90" w14:paraId="42DE575B" w14:textId="77777777" w:rsidTr="00DF5B90">
        <w:trPr>
          <w:trHeight w:val="245"/>
          <w:jc w:val="center"/>
        </w:trPr>
        <w:tc>
          <w:tcPr>
            <w:tcW w:w="0" w:type="auto"/>
            <w:vMerge/>
            <w:tcBorders>
              <w:top w:val="single" w:sz="4" w:space="0" w:color="auto"/>
              <w:left w:val="nil"/>
              <w:bottom w:val="single" w:sz="4" w:space="0" w:color="auto"/>
              <w:right w:val="nil"/>
            </w:tcBorders>
            <w:vAlign w:val="center"/>
            <w:hideMark/>
          </w:tcPr>
          <w:p w14:paraId="15F0548E"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800" w:type="dxa"/>
            <w:vAlign w:val="bottom"/>
            <w:hideMark/>
          </w:tcPr>
          <w:p w14:paraId="3FE88B0D"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V VN30</w:t>
            </w:r>
          </w:p>
        </w:tc>
        <w:tc>
          <w:tcPr>
            <w:tcW w:w="1920" w:type="dxa"/>
            <w:vAlign w:val="bottom"/>
            <w:hideMark/>
          </w:tcPr>
          <w:p w14:paraId="572B45C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-12.84392</w:t>
            </w:r>
          </w:p>
        </w:tc>
        <w:tc>
          <w:tcPr>
            <w:tcW w:w="1860" w:type="dxa"/>
            <w:hideMark/>
          </w:tcPr>
          <w:p w14:paraId="32214EF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r w:rsidRPr="00DF5B90">
              <w:rPr>
                <w:rFonts w:asciiTheme="minorHAnsi" w:eastAsia="Times New Roman" w:hAnsiTheme="minorHAnsi" w:cstheme="minorHAnsi"/>
                <w:color w:val="000000"/>
                <w:vertAlign w:val="superscript"/>
                <w:lang w:val="id-ID"/>
              </w:rPr>
              <w:t>***</w:t>
            </w:r>
          </w:p>
        </w:tc>
      </w:tr>
      <w:tr w:rsidR="00DF5B90" w:rsidRPr="00DF5B90" w14:paraId="211AAD03" w14:textId="77777777" w:rsidTr="00DF5B90">
        <w:trPr>
          <w:trHeight w:val="245"/>
          <w:jc w:val="center"/>
        </w:trPr>
        <w:tc>
          <w:tcPr>
            <w:tcW w:w="0" w:type="auto"/>
            <w:vMerge/>
            <w:tcBorders>
              <w:top w:val="single" w:sz="4" w:space="0" w:color="auto"/>
              <w:left w:val="nil"/>
              <w:bottom w:val="single" w:sz="4" w:space="0" w:color="auto"/>
              <w:right w:val="nil"/>
            </w:tcBorders>
            <w:vAlign w:val="center"/>
            <w:hideMark/>
          </w:tcPr>
          <w:p w14:paraId="66CA15CC"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800" w:type="dxa"/>
            <w:vAlign w:val="bottom"/>
            <w:hideMark/>
          </w:tcPr>
          <w:p w14:paraId="71B327D8"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V LSX</w:t>
            </w:r>
          </w:p>
        </w:tc>
        <w:tc>
          <w:tcPr>
            <w:tcW w:w="1920" w:type="dxa"/>
            <w:vAlign w:val="bottom"/>
            <w:hideMark/>
          </w:tcPr>
          <w:p w14:paraId="010C898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-13.04797</w:t>
            </w:r>
          </w:p>
        </w:tc>
        <w:tc>
          <w:tcPr>
            <w:tcW w:w="1860" w:type="dxa"/>
            <w:hideMark/>
          </w:tcPr>
          <w:p w14:paraId="59049D7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r w:rsidRPr="00DF5B90">
              <w:rPr>
                <w:rFonts w:asciiTheme="minorHAnsi" w:eastAsia="Times New Roman" w:hAnsiTheme="minorHAnsi" w:cstheme="minorHAnsi"/>
                <w:color w:val="000000"/>
                <w:vertAlign w:val="superscript"/>
                <w:lang w:val="id-ID"/>
              </w:rPr>
              <w:t>***</w:t>
            </w:r>
          </w:p>
        </w:tc>
      </w:tr>
      <w:tr w:rsidR="00DF5B90" w:rsidRPr="00DF5B90" w14:paraId="0B89AA49" w14:textId="77777777" w:rsidTr="00DF5B90">
        <w:trPr>
          <w:trHeight w:val="245"/>
          <w:jc w:val="center"/>
        </w:trPr>
        <w:tc>
          <w:tcPr>
            <w:tcW w:w="0" w:type="auto"/>
            <w:vMerge/>
            <w:tcBorders>
              <w:top w:val="single" w:sz="4" w:space="0" w:color="auto"/>
              <w:left w:val="nil"/>
              <w:bottom w:val="single" w:sz="4" w:space="0" w:color="auto"/>
              <w:right w:val="nil"/>
            </w:tcBorders>
            <w:vAlign w:val="center"/>
            <w:hideMark/>
          </w:tcPr>
          <w:p w14:paraId="176C20E9"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800" w:type="dxa"/>
            <w:vAlign w:val="bottom"/>
            <w:hideMark/>
          </w:tcPr>
          <w:p w14:paraId="2A3755CD"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V Nikkei</w:t>
            </w:r>
          </w:p>
        </w:tc>
        <w:tc>
          <w:tcPr>
            <w:tcW w:w="1920" w:type="dxa"/>
            <w:vAlign w:val="bottom"/>
            <w:hideMark/>
          </w:tcPr>
          <w:p w14:paraId="27E3541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-14.49183</w:t>
            </w:r>
          </w:p>
        </w:tc>
        <w:tc>
          <w:tcPr>
            <w:tcW w:w="1860" w:type="dxa"/>
            <w:hideMark/>
          </w:tcPr>
          <w:p w14:paraId="571CEBA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r w:rsidRPr="00DF5B90">
              <w:rPr>
                <w:rFonts w:asciiTheme="minorHAnsi" w:eastAsia="Times New Roman" w:hAnsiTheme="minorHAnsi" w:cstheme="minorHAnsi"/>
                <w:color w:val="000000"/>
                <w:vertAlign w:val="superscript"/>
                <w:lang w:val="id-ID"/>
              </w:rPr>
              <w:t>***</w:t>
            </w:r>
          </w:p>
        </w:tc>
      </w:tr>
      <w:tr w:rsidR="00DF5B90" w:rsidRPr="00DF5B90" w14:paraId="03A885E9" w14:textId="77777777" w:rsidTr="00DF5B90">
        <w:trPr>
          <w:trHeight w:val="245"/>
          <w:jc w:val="center"/>
        </w:trPr>
        <w:tc>
          <w:tcPr>
            <w:tcW w:w="0" w:type="auto"/>
            <w:vMerge/>
            <w:tcBorders>
              <w:top w:val="single" w:sz="4" w:space="0" w:color="auto"/>
              <w:left w:val="nil"/>
              <w:bottom w:val="single" w:sz="4" w:space="0" w:color="auto"/>
              <w:right w:val="nil"/>
            </w:tcBorders>
            <w:vAlign w:val="center"/>
            <w:hideMark/>
          </w:tcPr>
          <w:p w14:paraId="3B56579C"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800" w:type="dxa"/>
            <w:vAlign w:val="bottom"/>
            <w:hideMark/>
          </w:tcPr>
          <w:p w14:paraId="7A6BD223"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V Kospi</w:t>
            </w:r>
          </w:p>
        </w:tc>
        <w:tc>
          <w:tcPr>
            <w:tcW w:w="1920" w:type="dxa"/>
            <w:vAlign w:val="bottom"/>
            <w:hideMark/>
          </w:tcPr>
          <w:p w14:paraId="15697A1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-12.79336</w:t>
            </w:r>
          </w:p>
        </w:tc>
        <w:tc>
          <w:tcPr>
            <w:tcW w:w="1860" w:type="dxa"/>
            <w:hideMark/>
          </w:tcPr>
          <w:p w14:paraId="0A7D4AB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r w:rsidRPr="00DF5B90">
              <w:rPr>
                <w:rFonts w:asciiTheme="minorHAnsi" w:eastAsia="Times New Roman" w:hAnsiTheme="minorHAnsi" w:cstheme="minorHAnsi"/>
                <w:color w:val="000000"/>
                <w:vertAlign w:val="superscript"/>
                <w:lang w:val="id-ID"/>
              </w:rPr>
              <w:t>***</w:t>
            </w:r>
          </w:p>
        </w:tc>
      </w:tr>
      <w:tr w:rsidR="00DF5B90" w:rsidRPr="00DF5B90" w14:paraId="0EDAC2FF" w14:textId="77777777" w:rsidTr="00DF5B90">
        <w:trPr>
          <w:trHeight w:val="245"/>
          <w:jc w:val="center"/>
        </w:trPr>
        <w:tc>
          <w:tcPr>
            <w:tcW w:w="0" w:type="auto"/>
            <w:vMerge/>
            <w:tcBorders>
              <w:top w:val="single" w:sz="4" w:space="0" w:color="auto"/>
              <w:left w:val="nil"/>
              <w:bottom w:val="single" w:sz="4" w:space="0" w:color="auto"/>
              <w:right w:val="nil"/>
            </w:tcBorders>
            <w:vAlign w:val="center"/>
            <w:hideMark/>
          </w:tcPr>
          <w:p w14:paraId="7325E1EE"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800" w:type="dxa"/>
            <w:tcBorders>
              <w:top w:val="nil"/>
              <w:left w:val="nil"/>
              <w:bottom w:val="single" w:sz="4" w:space="0" w:color="auto"/>
              <w:right w:val="nil"/>
            </w:tcBorders>
            <w:vAlign w:val="bottom"/>
            <w:hideMark/>
          </w:tcPr>
          <w:p w14:paraId="0F5960B3"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V SSEC</w:t>
            </w:r>
          </w:p>
        </w:tc>
        <w:tc>
          <w:tcPr>
            <w:tcW w:w="1920" w:type="dxa"/>
            <w:tcBorders>
              <w:top w:val="nil"/>
              <w:left w:val="nil"/>
              <w:bottom w:val="single" w:sz="4" w:space="0" w:color="auto"/>
              <w:right w:val="nil"/>
            </w:tcBorders>
            <w:vAlign w:val="bottom"/>
            <w:hideMark/>
          </w:tcPr>
          <w:p w14:paraId="72DF629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-14.29732</w:t>
            </w:r>
          </w:p>
        </w:tc>
        <w:tc>
          <w:tcPr>
            <w:tcW w:w="1860" w:type="dxa"/>
            <w:tcBorders>
              <w:top w:val="nil"/>
              <w:left w:val="nil"/>
              <w:bottom w:val="single" w:sz="4" w:space="0" w:color="auto"/>
              <w:right w:val="nil"/>
            </w:tcBorders>
            <w:hideMark/>
          </w:tcPr>
          <w:p w14:paraId="7ED6BB4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r w:rsidRPr="00DF5B90">
              <w:rPr>
                <w:rFonts w:asciiTheme="minorHAnsi" w:eastAsia="Times New Roman" w:hAnsiTheme="minorHAnsi" w:cstheme="minorHAnsi"/>
                <w:color w:val="000000"/>
                <w:vertAlign w:val="superscript"/>
                <w:lang w:val="id-ID"/>
              </w:rPr>
              <w:t>***</w:t>
            </w:r>
          </w:p>
        </w:tc>
      </w:tr>
      <w:tr w:rsidR="00DF5B90" w:rsidRPr="00DF5B90" w14:paraId="553355E5" w14:textId="77777777" w:rsidTr="00DF5B90">
        <w:trPr>
          <w:trHeight w:val="245"/>
          <w:jc w:val="center"/>
        </w:trPr>
        <w:tc>
          <w:tcPr>
            <w:tcW w:w="2700" w:type="dxa"/>
            <w:vMerge w:val="restart"/>
            <w:tcBorders>
              <w:top w:val="single" w:sz="4" w:space="0" w:color="auto"/>
              <w:left w:val="nil"/>
              <w:right w:val="nil"/>
            </w:tcBorders>
            <w:vAlign w:val="center"/>
            <w:hideMark/>
          </w:tcPr>
          <w:p w14:paraId="79777964" w14:textId="328DC459" w:rsidR="00DF5B90" w:rsidRPr="00DF5B90" w:rsidRDefault="006E23DC" w:rsidP="00DF5B90">
            <w:pPr>
              <w:spacing w:after="0" w:line="240" w:lineRule="auto"/>
              <w:jc w:val="center"/>
              <w:rPr>
                <w:rFonts w:asciiTheme="minorHAnsi" w:eastAsia="Times New Roman" w:hAnsiTheme="minorHAnsi" w:cstheme="minorHAnsi"/>
                <w:color w:val="000000"/>
                <w:lang w:val="id-ID"/>
              </w:rPr>
            </w:pPr>
            <w:r>
              <w:rPr>
                <w:rFonts w:asciiTheme="minorHAnsi" w:eastAsia="Times New Roman" w:hAnsiTheme="minorHAnsi" w:cstheme="minorHAnsi"/>
                <w:color w:val="000000"/>
                <w:lang w:val="id-ID"/>
              </w:rPr>
              <w:t xml:space="preserve">During </w:t>
            </w:r>
            <w:r w:rsidR="00DF5B90" w:rsidRPr="00DF5B90">
              <w:rPr>
                <w:rFonts w:asciiTheme="minorHAnsi" w:eastAsia="Times New Roman" w:hAnsiTheme="minorHAnsi" w:cstheme="minorHAnsi"/>
                <w:color w:val="000000"/>
                <w:lang w:val="id-ID"/>
              </w:rPr>
              <w:t>Hamas-Israel</w:t>
            </w:r>
            <w:r>
              <w:rPr>
                <w:rFonts w:asciiTheme="minorHAnsi" w:eastAsia="Times New Roman" w:hAnsiTheme="minorHAnsi" w:cstheme="minorHAnsi"/>
                <w:color w:val="000000"/>
                <w:lang w:val="id-ID"/>
              </w:rPr>
              <w:t xml:space="preserve"> Conflict</w:t>
            </w:r>
          </w:p>
        </w:tc>
        <w:tc>
          <w:tcPr>
            <w:tcW w:w="1800" w:type="dxa"/>
            <w:tcBorders>
              <w:top w:val="single" w:sz="4" w:space="0" w:color="auto"/>
              <w:left w:val="nil"/>
              <w:right w:val="nil"/>
            </w:tcBorders>
            <w:vAlign w:val="bottom"/>
            <w:hideMark/>
          </w:tcPr>
          <w:p w14:paraId="7778D97A"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XAU</w:t>
            </w:r>
          </w:p>
        </w:tc>
        <w:tc>
          <w:tcPr>
            <w:tcW w:w="1920" w:type="dxa"/>
            <w:tcBorders>
              <w:top w:val="single" w:sz="4" w:space="0" w:color="auto"/>
              <w:left w:val="nil"/>
              <w:right w:val="nil"/>
            </w:tcBorders>
            <w:vAlign w:val="bottom"/>
            <w:hideMark/>
          </w:tcPr>
          <w:p w14:paraId="723C09B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-8.068382</w:t>
            </w:r>
          </w:p>
        </w:tc>
        <w:tc>
          <w:tcPr>
            <w:tcW w:w="1860" w:type="dxa"/>
            <w:tcBorders>
              <w:top w:val="single" w:sz="4" w:space="0" w:color="auto"/>
              <w:left w:val="nil"/>
              <w:right w:val="nil"/>
            </w:tcBorders>
            <w:hideMark/>
          </w:tcPr>
          <w:p w14:paraId="044E919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r w:rsidRPr="00DF5B90">
              <w:rPr>
                <w:rFonts w:asciiTheme="minorHAnsi" w:eastAsia="Times New Roman" w:hAnsiTheme="minorHAnsi" w:cstheme="minorHAnsi"/>
                <w:color w:val="000000"/>
                <w:vertAlign w:val="superscript"/>
                <w:lang w:val="id-ID"/>
              </w:rPr>
              <w:t>***</w:t>
            </w:r>
          </w:p>
        </w:tc>
      </w:tr>
      <w:tr w:rsidR="00DF5B90" w:rsidRPr="00DF5B90" w14:paraId="5A4BA2C2" w14:textId="77777777" w:rsidTr="00DF5B90">
        <w:trPr>
          <w:trHeight w:val="245"/>
          <w:jc w:val="center"/>
        </w:trPr>
        <w:tc>
          <w:tcPr>
            <w:tcW w:w="0" w:type="auto"/>
            <w:vMerge/>
            <w:tcBorders>
              <w:left w:val="nil"/>
              <w:right w:val="nil"/>
            </w:tcBorders>
            <w:vAlign w:val="center"/>
            <w:hideMark/>
          </w:tcPr>
          <w:p w14:paraId="2D731373"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800" w:type="dxa"/>
            <w:vAlign w:val="bottom"/>
            <w:hideMark/>
          </w:tcPr>
          <w:p w14:paraId="32BDF3C7"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DXY</w:t>
            </w:r>
          </w:p>
        </w:tc>
        <w:tc>
          <w:tcPr>
            <w:tcW w:w="1920" w:type="dxa"/>
            <w:vAlign w:val="bottom"/>
            <w:hideMark/>
          </w:tcPr>
          <w:p w14:paraId="3C3DDA5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-8.829935</w:t>
            </w:r>
          </w:p>
        </w:tc>
        <w:tc>
          <w:tcPr>
            <w:tcW w:w="1860" w:type="dxa"/>
            <w:hideMark/>
          </w:tcPr>
          <w:p w14:paraId="2BEDBBD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r w:rsidRPr="00DF5B90">
              <w:rPr>
                <w:rFonts w:asciiTheme="minorHAnsi" w:eastAsia="Times New Roman" w:hAnsiTheme="minorHAnsi" w:cstheme="minorHAnsi"/>
                <w:color w:val="000000"/>
                <w:vertAlign w:val="superscript"/>
                <w:lang w:val="id-ID"/>
              </w:rPr>
              <w:t>***</w:t>
            </w:r>
          </w:p>
        </w:tc>
      </w:tr>
      <w:tr w:rsidR="00DF5B90" w:rsidRPr="00DF5B90" w14:paraId="5EC807A5" w14:textId="77777777" w:rsidTr="00DF5B90">
        <w:trPr>
          <w:trHeight w:val="245"/>
          <w:jc w:val="center"/>
        </w:trPr>
        <w:tc>
          <w:tcPr>
            <w:tcW w:w="0" w:type="auto"/>
            <w:vMerge/>
            <w:tcBorders>
              <w:left w:val="nil"/>
              <w:right w:val="nil"/>
            </w:tcBorders>
            <w:vAlign w:val="center"/>
            <w:hideMark/>
          </w:tcPr>
          <w:p w14:paraId="22AFD827"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800" w:type="dxa"/>
            <w:vAlign w:val="bottom"/>
            <w:hideMark/>
          </w:tcPr>
          <w:p w14:paraId="4F040451"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V JKSE</w:t>
            </w:r>
          </w:p>
        </w:tc>
        <w:tc>
          <w:tcPr>
            <w:tcW w:w="1920" w:type="dxa"/>
            <w:vAlign w:val="bottom"/>
            <w:hideMark/>
          </w:tcPr>
          <w:p w14:paraId="6826817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-7.394588</w:t>
            </w:r>
          </w:p>
        </w:tc>
        <w:tc>
          <w:tcPr>
            <w:tcW w:w="1860" w:type="dxa"/>
            <w:hideMark/>
          </w:tcPr>
          <w:p w14:paraId="2840F37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r w:rsidRPr="00DF5B90">
              <w:rPr>
                <w:rFonts w:asciiTheme="minorHAnsi" w:eastAsia="Times New Roman" w:hAnsiTheme="minorHAnsi" w:cstheme="minorHAnsi"/>
                <w:color w:val="000000"/>
                <w:vertAlign w:val="superscript"/>
                <w:lang w:val="id-ID"/>
              </w:rPr>
              <w:t>***</w:t>
            </w:r>
          </w:p>
        </w:tc>
      </w:tr>
      <w:tr w:rsidR="00DF5B90" w:rsidRPr="00DF5B90" w14:paraId="1D455B60" w14:textId="77777777" w:rsidTr="00DF5B90">
        <w:trPr>
          <w:trHeight w:val="245"/>
          <w:jc w:val="center"/>
        </w:trPr>
        <w:tc>
          <w:tcPr>
            <w:tcW w:w="0" w:type="auto"/>
            <w:vMerge/>
            <w:tcBorders>
              <w:left w:val="nil"/>
              <w:right w:val="nil"/>
            </w:tcBorders>
            <w:vAlign w:val="center"/>
            <w:hideMark/>
          </w:tcPr>
          <w:p w14:paraId="3ADA3DBA"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800" w:type="dxa"/>
            <w:vAlign w:val="bottom"/>
            <w:hideMark/>
          </w:tcPr>
          <w:p w14:paraId="617EDAEA"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V KLSE</w:t>
            </w:r>
          </w:p>
        </w:tc>
        <w:tc>
          <w:tcPr>
            <w:tcW w:w="1920" w:type="dxa"/>
            <w:vAlign w:val="bottom"/>
            <w:hideMark/>
          </w:tcPr>
          <w:p w14:paraId="5AA134B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-8.434338</w:t>
            </w:r>
          </w:p>
        </w:tc>
        <w:tc>
          <w:tcPr>
            <w:tcW w:w="1860" w:type="dxa"/>
            <w:hideMark/>
          </w:tcPr>
          <w:p w14:paraId="7571793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r w:rsidRPr="00DF5B90">
              <w:rPr>
                <w:rFonts w:asciiTheme="minorHAnsi" w:eastAsia="Times New Roman" w:hAnsiTheme="minorHAnsi" w:cstheme="minorHAnsi"/>
                <w:color w:val="000000"/>
                <w:vertAlign w:val="superscript"/>
                <w:lang w:val="id-ID"/>
              </w:rPr>
              <w:t>***</w:t>
            </w:r>
          </w:p>
        </w:tc>
      </w:tr>
      <w:tr w:rsidR="00DF5B90" w:rsidRPr="00DF5B90" w14:paraId="3716FCAE" w14:textId="77777777" w:rsidTr="00DF5B90">
        <w:trPr>
          <w:trHeight w:val="245"/>
          <w:jc w:val="center"/>
        </w:trPr>
        <w:tc>
          <w:tcPr>
            <w:tcW w:w="0" w:type="auto"/>
            <w:vMerge/>
            <w:tcBorders>
              <w:left w:val="nil"/>
              <w:right w:val="nil"/>
            </w:tcBorders>
            <w:vAlign w:val="center"/>
            <w:hideMark/>
          </w:tcPr>
          <w:p w14:paraId="08CF4486"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800" w:type="dxa"/>
            <w:vAlign w:val="bottom"/>
            <w:hideMark/>
          </w:tcPr>
          <w:p w14:paraId="12848992"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V PSEi</w:t>
            </w:r>
          </w:p>
        </w:tc>
        <w:tc>
          <w:tcPr>
            <w:tcW w:w="1920" w:type="dxa"/>
            <w:vAlign w:val="bottom"/>
            <w:hideMark/>
          </w:tcPr>
          <w:p w14:paraId="019E650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-9.866435</w:t>
            </w:r>
          </w:p>
        </w:tc>
        <w:tc>
          <w:tcPr>
            <w:tcW w:w="1860" w:type="dxa"/>
            <w:hideMark/>
          </w:tcPr>
          <w:p w14:paraId="34979AB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r w:rsidRPr="00DF5B90">
              <w:rPr>
                <w:rFonts w:asciiTheme="minorHAnsi" w:eastAsia="Times New Roman" w:hAnsiTheme="minorHAnsi" w:cstheme="minorHAnsi"/>
                <w:color w:val="000000"/>
                <w:vertAlign w:val="superscript"/>
                <w:lang w:val="id-ID"/>
              </w:rPr>
              <w:t>***</w:t>
            </w:r>
          </w:p>
        </w:tc>
      </w:tr>
      <w:tr w:rsidR="00DF5B90" w:rsidRPr="00DF5B90" w14:paraId="1EC9224E" w14:textId="77777777" w:rsidTr="00DF5B90">
        <w:trPr>
          <w:trHeight w:val="245"/>
          <w:jc w:val="center"/>
        </w:trPr>
        <w:tc>
          <w:tcPr>
            <w:tcW w:w="0" w:type="auto"/>
            <w:vMerge/>
            <w:tcBorders>
              <w:left w:val="nil"/>
              <w:right w:val="nil"/>
            </w:tcBorders>
            <w:vAlign w:val="center"/>
            <w:hideMark/>
          </w:tcPr>
          <w:p w14:paraId="07E865E9"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800" w:type="dxa"/>
            <w:vAlign w:val="bottom"/>
            <w:hideMark/>
          </w:tcPr>
          <w:p w14:paraId="799A4A66"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V STI</w:t>
            </w:r>
          </w:p>
        </w:tc>
        <w:tc>
          <w:tcPr>
            <w:tcW w:w="1920" w:type="dxa"/>
            <w:vAlign w:val="bottom"/>
            <w:hideMark/>
          </w:tcPr>
          <w:p w14:paraId="2F25121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-8.257727</w:t>
            </w:r>
          </w:p>
        </w:tc>
        <w:tc>
          <w:tcPr>
            <w:tcW w:w="1860" w:type="dxa"/>
            <w:hideMark/>
          </w:tcPr>
          <w:p w14:paraId="3C33802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r w:rsidRPr="00DF5B90">
              <w:rPr>
                <w:rFonts w:asciiTheme="minorHAnsi" w:eastAsia="Times New Roman" w:hAnsiTheme="minorHAnsi" w:cstheme="minorHAnsi"/>
                <w:color w:val="000000"/>
                <w:vertAlign w:val="superscript"/>
                <w:lang w:val="id-ID"/>
              </w:rPr>
              <w:t>***</w:t>
            </w:r>
          </w:p>
        </w:tc>
      </w:tr>
      <w:tr w:rsidR="00DF5B90" w:rsidRPr="00DF5B90" w14:paraId="59D7E1F6" w14:textId="77777777" w:rsidTr="00DF5B90">
        <w:trPr>
          <w:trHeight w:val="245"/>
          <w:jc w:val="center"/>
        </w:trPr>
        <w:tc>
          <w:tcPr>
            <w:tcW w:w="0" w:type="auto"/>
            <w:vMerge/>
            <w:tcBorders>
              <w:left w:val="nil"/>
              <w:right w:val="nil"/>
            </w:tcBorders>
            <w:vAlign w:val="center"/>
            <w:hideMark/>
          </w:tcPr>
          <w:p w14:paraId="2535C9A7"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800" w:type="dxa"/>
            <w:vAlign w:val="bottom"/>
            <w:hideMark/>
          </w:tcPr>
          <w:p w14:paraId="1B85D1CE"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V SETI</w:t>
            </w:r>
          </w:p>
        </w:tc>
        <w:tc>
          <w:tcPr>
            <w:tcW w:w="1920" w:type="dxa"/>
            <w:vAlign w:val="bottom"/>
            <w:hideMark/>
          </w:tcPr>
          <w:p w14:paraId="77CE7FE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-9.350214</w:t>
            </w:r>
          </w:p>
        </w:tc>
        <w:tc>
          <w:tcPr>
            <w:tcW w:w="1860" w:type="dxa"/>
            <w:hideMark/>
          </w:tcPr>
          <w:p w14:paraId="480DF0B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r w:rsidRPr="00DF5B90">
              <w:rPr>
                <w:rFonts w:asciiTheme="minorHAnsi" w:eastAsia="Times New Roman" w:hAnsiTheme="minorHAnsi" w:cstheme="minorHAnsi"/>
                <w:color w:val="000000"/>
                <w:vertAlign w:val="superscript"/>
                <w:lang w:val="id-ID"/>
              </w:rPr>
              <w:t>***</w:t>
            </w:r>
          </w:p>
        </w:tc>
      </w:tr>
      <w:tr w:rsidR="00DF5B90" w:rsidRPr="00DF5B90" w14:paraId="48743C2A" w14:textId="77777777" w:rsidTr="00DF5B90">
        <w:trPr>
          <w:trHeight w:val="245"/>
          <w:jc w:val="center"/>
        </w:trPr>
        <w:tc>
          <w:tcPr>
            <w:tcW w:w="0" w:type="auto"/>
            <w:vMerge/>
            <w:tcBorders>
              <w:left w:val="nil"/>
              <w:right w:val="nil"/>
            </w:tcBorders>
            <w:vAlign w:val="center"/>
            <w:hideMark/>
          </w:tcPr>
          <w:p w14:paraId="4A047987"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800" w:type="dxa"/>
            <w:vAlign w:val="bottom"/>
            <w:hideMark/>
          </w:tcPr>
          <w:p w14:paraId="28B6FDBF"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V VN30</w:t>
            </w:r>
          </w:p>
        </w:tc>
        <w:tc>
          <w:tcPr>
            <w:tcW w:w="1920" w:type="dxa"/>
            <w:vAlign w:val="bottom"/>
            <w:hideMark/>
          </w:tcPr>
          <w:p w14:paraId="0F3149B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-12.17075</w:t>
            </w:r>
          </w:p>
        </w:tc>
        <w:tc>
          <w:tcPr>
            <w:tcW w:w="1860" w:type="dxa"/>
            <w:hideMark/>
          </w:tcPr>
          <w:p w14:paraId="70E6270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r w:rsidRPr="00DF5B90">
              <w:rPr>
                <w:rFonts w:asciiTheme="minorHAnsi" w:eastAsia="Times New Roman" w:hAnsiTheme="minorHAnsi" w:cstheme="minorHAnsi"/>
                <w:color w:val="000000"/>
                <w:vertAlign w:val="superscript"/>
                <w:lang w:val="id-ID"/>
              </w:rPr>
              <w:t>***</w:t>
            </w:r>
          </w:p>
        </w:tc>
      </w:tr>
      <w:tr w:rsidR="00DF5B90" w:rsidRPr="00DF5B90" w14:paraId="6988EF0B" w14:textId="77777777" w:rsidTr="00DF5B90">
        <w:trPr>
          <w:trHeight w:val="245"/>
          <w:jc w:val="center"/>
        </w:trPr>
        <w:tc>
          <w:tcPr>
            <w:tcW w:w="0" w:type="auto"/>
            <w:vMerge/>
            <w:tcBorders>
              <w:left w:val="nil"/>
              <w:right w:val="nil"/>
            </w:tcBorders>
            <w:vAlign w:val="center"/>
            <w:hideMark/>
          </w:tcPr>
          <w:p w14:paraId="2E350494"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800" w:type="dxa"/>
            <w:vAlign w:val="bottom"/>
            <w:hideMark/>
          </w:tcPr>
          <w:p w14:paraId="42FD7C21"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V LSX</w:t>
            </w:r>
          </w:p>
        </w:tc>
        <w:tc>
          <w:tcPr>
            <w:tcW w:w="1920" w:type="dxa"/>
            <w:vAlign w:val="bottom"/>
            <w:hideMark/>
          </w:tcPr>
          <w:p w14:paraId="118FDA1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-10.27092</w:t>
            </w:r>
          </w:p>
        </w:tc>
        <w:tc>
          <w:tcPr>
            <w:tcW w:w="1860" w:type="dxa"/>
            <w:hideMark/>
          </w:tcPr>
          <w:p w14:paraId="56ADEDC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r w:rsidRPr="00DF5B90">
              <w:rPr>
                <w:rFonts w:asciiTheme="minorHAnsi" w:eastAsia="Times New Roman" w:hAnsiTheme="minorHAnsi" w:cstheme="minorHAnsi"/>
                <w:color w:val="000000"/>
                <w:vertAlign w:val="superscript"/>
                <w:lang w:val="id-ID"/>
              </w:rPr>
              <w:t>***</w:t>
            </w:r>
          </w:p>
        </w:tc>
      </w:tr>
      <w:tr w:rsidR="00DF5B90" w:rsidRPr="00DF5B90" w14:paraId="582D917D" w14:textId="77777777" w:rsidTr="00DF5B90">
        <w:trPr>
          <w:trHeight w:val="245"/>
          <w:jc w:val="center"/>
        </w:trPr>
        <w:tc>
          <w:tcPr>
            <w:tcW w:w="0" w:type="auto"/>
            <w:vMerge/>
            <w:tcBorders>
              <w:left w:val="nil"/>
              <w:right w:val="nil"/>
            </w:tcBorders>
            <w:vAlign w:val="center"/>
            <w:hideMark/>
          </w:tcPr>
          <w:p w14:paraId="454778D3"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800" w:type="dxa"/>
            <w:vAlign w:val="bottom"/>
            <w:hideMark/>
          </w:tcPr>
          <w:p w14:paraId="61F30BD8"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V Nikkei</w:t>
            </w:r>
          </w:p>
        </w:tc>
        <w:tc>
          <w:tcPr>
            <w:tcW w:w="1920" w:type="dxa"/>
            <w:vAlign w:val="bottom"/>
            <w:hideMark/>
          </w:tcPr>
          <w:p w14:paraId="441A4B7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-12.09551</w:t>
            </w:r>
          </w:p>
        </w:tc>
        <w:tc>
          <w:tcPr>
            <w:tcW w:w="1860" w:type="dxa"/>
            <w:hideMark/>
          </w:tcPr>
          <w:p w14:paraId="3FCDE09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r w:rsidRPr="00DF5B90">
              <w:rPr>
                <w:rFonts w:asciiTheme="minorHAnsi" w:eastAsia="Times New Roman" w:hAnsiTheme="minorHAnsi" w:cstheme="minorHAnsi"/>
                <w:color w:val="000000"/>
                <w:vertAlign w:val="superscript"/>
                <w:lang w:val="id-ID"/>
              </w:rPr>
              <w:t>***</w:t>
            </w:r>
          </w:p>
        </w:tc>
      </w:tr>
      <w:tr w:rsidR="00DF5B90" w:rsidRPr="00DF5B90" w14:paraId="3520CC34" w14:textId="77777777" w:rsidTr="00DF5B90">
        <w:trPr>
          <w:trHeight w:val="245"/>
          <w:jc w:val="center"/>
        </w:trPr>
        <w:tc>
          <w:tcPr>
            <w:tcW w:w="0" w:type="auto"/>
            <w:vMerge/>
            <w:tcBorders>
              <w:left w:val="nil"/>
              <w:right w:val="nil"/>
            </w:tcBorders>
            <w:vAlign w:val="center"/>
            <w:hideMark/>
          </w:tcPr>
          <w:p w14:paraId="67334EAF"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800" w:type="dxa"/>
            <w:vAlign w:val="bottom"/>
            <w:hideMark/>
          </w:tcPr>
          <w:p w14:paraId="365E8D74"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V Kospi</w:t>
            </w:r>
          </w:p>
        </w:tc>
        <w:tc>
          <w:tcPr>
            <w:tcW w:w="1920" w:type="dxa"/>
            <w:vAlign w:val="bottom"/>
            <w:hideMark/>
          </w:tcPr>
          <w:p w14:paraId="64657AF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-7.554403</w:t>
            </w:r>
          </w:p>
        </w:tc>
        <w:tc>
          <w:tcPr>
            <w:tcW w:w="1860" w:type="dxa"/>
            <w:hideMark/>
          </w:tcPr>
          <w:p w14:paraId="242B888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r w:rsidRPr="00DF5B90">
              <w:rPr>
                <w:rFonts w:asciiTheme="minorHAnsi" w:eastAsia="Times New Roman" w:hAnsiTheme="minorHAnsi" w:cstheme="minorHAnsi"/>
                <w:color w:val="000000"/>
                <w:vertAlign w:val="superscript"/>
                <w:lang w:val="id-ID"/>
              </w:rPr>
              <w:t>***</w:t>
            </w:r>
          </w:p>
        </w:tc>
      </w:tr>
      <w:tr w:rsidR="00DF5B90" w:rsidRPr="00DF5B90" w14:paraId="0AC244D9" w14:textId="77777777" w:rsidTr="00DF5B90">
        <w:trPr>
          <w:trHeight w:val="245"/>
          <w:jc w:val="center"/>
        </w:trPr>
        <w:tc>
          <w:tcPr>
            <w:tcW w:w="0" w:type="auto"/>
            <w:vMerge/>
            <w:tcBorders>
              <w:left w:val="nil"/>
              <w:bottom w:val="single" w:sz="4" w:space="0" w:color="auto"/>
              <w:right w:val="nil"/>
            </w:tcBorders>
            <w:vAlign w:val="center"/>
            <w:hideMark/>
          </w:tcPr>
          <w:p w14:paraId="4646ACB9"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800" w:type="dxa"/>
            <w:tcBorders>
              <w:left w:val="nil"/>
              <w:bottom w:val="single" w:sz="4" w:space="0" w:color="auto"/>
              <w:right w:val="nil"/>
            </w:tcBorders>
            <w:vAlign w:val="bottom"/>
            <w:hideMark/>
          </w:tcPr>
          <w:p w14:paraId="205D1A23"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V SSEC</w:t>
            </w:r>
          </w:p>
        </w:tc>
        <w:tc>
          <w:tcPr>
            <w:tcW w:w="1920" w:type="dxa"/>
            <w:tcBorders>
              <w:left w:val="nil"/>
              <w:bottom w:val="single" w:sz="4" w:space="0" w:color="auto"/>
              <w:right w:val="nil"/>
            </w:tcBorders>
            <w:vAlign w:val="bottom"/>
            <w:hideMark/>
          </w:tcPr>
          <w:p w14:paraId="2EC07DE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-10.96351</w:t>
            </w:r>
          </w:p>
        </w:tc>
        <w:tc>
          <w:tcPr>
            <w:tcW w:w="1860" w:type="dxa"/>
            <w:tcBorders>
              <w:bottom w:val="single" w:sz="4" w:space="0" w:color="auto"/>
            </w:tcBorders>
            <w:hideMark/>
          </w:tcPr>
          <w:p w14:paraId="29AA711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r w:rsidRPr="00DF5B90">
              <w:rPr>
                <w:rFonts w:asciiTheme="minorHAnsi" w:eastAsia="Times New Roman" w:hAnsiTheme="minorHAnsi" w:cstheme="minorHAnsi"/>
                <w:color w:val="000000"/>
                <w:vertAlign w:val="superscript"/>
                <w:lang w:val="id-ID"/>
              </w:rPr>
              <w:t>***</w:t>
            </w:r>
          </w:p>
        </w:tc>
      </w:tr>
      <w:tr w:rsidR="00DF5B90" w:rsidRPr="00DF5B90" w14:paraId="1224350E" w14:textId="77777777" w:rsidTr="00DF5B90">
        <w:trPr>
          <w:trHeight w:val="245"/>
          <w:jc w:val="center"/>
        </w:trPr>
        <w:tc>
          <w:tcPr>
            <w:tcW w:w="2700" w:type="dxa"/>
            <w:vMerge w:val="restart"/>
            <w:tcBorders>
              <w:top w:val="single" w:sz="4" w:space="0" w:color="auto"/>
              <w:left w:val="nil"/>
              <w:bottom w:val="single" w:sz="4" w:space="0" w:color="000000"/>
              <w:right w:val="nil"/>
            </w:tcBorders>
            <w:vAlign w:val="center"/>
            <w:hideMark/>
          </w:tcPr>
          <w:p w14:paraId="59D7EE1B"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All Period</w:t>
            </w:r>
          </w:p>
        </w:tc>
        <w:tc>
          <w:tcPr>
            <w:tcW w:w="1800" w:type="dxa"/>
            <w:tcBorders>
              <w:top w:val="single" w:sz="4" w:space="0" w:color="auto"/>
            </w:tcBorders>
            <w:vAlign w:val="bottom"/>
            <w:hideMark/>
          </w:tcPr>
          <w:p w14:paraId="4BD66144"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XAU</w:t>
            </w:r>
          </w:p>
        </w:tc>
        <w:tc>
          <w:tcPr>
            <w:tcW w:w="1920" w:type="dxa"/>
            <w:tcBorders>
              <w:top w:val="single" w:sz="4" w:space="0" w:color="auto"/>
            </w:tcBorders>
            <w:vAlign w:val="bottom"/>
            <w:hideMark/>
          </w:tcPr>
          <w:p w14:paraId="7A5E574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-18.60406</w:t>
            </w:r>
          </w:p>
        </w:tc>
        <w:tc>
          <w:tcPr>
            <w:tcW w:w="1860" w:type="dxa"/>
            <w:tcBorders>
              <w:top w:val="single" w:sz="4" w:space="0" w:color="auto"/>
              <w:left w:val="nil"/>
              <w:bottom w:val="nil"/>
              <w:right w:val="nil"/>
            </w:tcBorders>
            <w:hideMark/>
          </w:tcPr>
          <w:p w14:paraId="1047160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r w:rsidRPr="00DF5B90">
              <w:rPr>
                <w:rFonts w:asciiTheme="minorHAnsi" w:eastAsia="Times New Roman" w:hAnsiTheme="minorHAnsi" w:cstheme="minorHAnsi"/>
                <w:color w:val="000000"/>
                <w:vertAlign w:val="superscript"/>
                <w:lang w:val="id-ID"/>
              </w:rPr>
              <w:t>***</w:t>
            </w:r>
          </w:p>
        </w:tc>
      </w:tr>
      <w:tr w:rsidR="00DF5B90" w:rsidRPr="00DF5B90" w14:paraId="171BCAAA" w14:textId="77777777" w:rsidTr="00DF5B90">
        <w:trPr>
          <w:trHeight w:val="245"/>
          <w:jc w:val="center"/>
        </w:trPr>
        <w:tc>
          <w:tcPr>
            <w:tcW w:w="0" w:type="auto"/>
            <w:vMerge/>
            <w:tcBorders>
              <w:top w:val="single" w:sz="4" w:space="0" w:color="auto"/>
              <w:left w:val="nil"/>
              <w:bottom w:val="single" w:sz="4" w:space="0" w:color="000000"/>
              <w:right w:val="nil"/>
            </w:tcBorders>
            <w:vAlign w:val="center"/>
            <w:hideMark/>
          </w:tcPr>
          <w:p w14:paraId="121403E6"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800" w:type="dxa"/>
            <w:vAlign w:val="bottom"/>
            <w:hideMark/>
          </w:tcPr>
          <w:p w14:paraId="24E64FAB"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DXY</w:t>
            </w:r>
          </w:p>
        </w:tc>
        <w:tc>
          <w:tcPr>
            <w:tcW w:w="1920" w:type="dxa"/>
            <w:vAlign w:val="bottom"/>
            <w:hideMark/>
          </w:tcPr>
          <w:p w14:paraId="328B270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-18.20487</w:t>
            </w:r>
          </w:p>
        </w:tc>
        <w:tc>
          <w:tcPr>
            <w:tcW w:w="1860" w:type="dxa"/>
            <w:hideMark/>
          </w:tcPr>
          <w:p w14:paraId="1F65954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r w:rsidRPr="00DF5B90">
              <w:rPr>
                <w:rFonts w:asciiTheme="minorHAnsi" w:eastAsia="Times New Roman" w:hAnsiTheme="minorHAnsi" w:cstheme="minorHAnsi"/>
                <w:color w:val="000000"/>
                <w:vertAlign w:val="superscript"/>
                <w:lang w:val="id-ID"/>
              </w:rPr>
              <w:t>***</w:t>
            </w:r>
          </w:p>
        </w:tc>
      </w:tr>
      <w:tr w:rsidR="00DF5B90" w:rsidRPr="00DF5B90" w14:paraId="2964762A" w14:textId="77777777" w:rsidTr="00DF5B90">
        <w:trPr>
          <w:trHeight w:val="245"/>
          <w:jc w:val="center"/>
        </w:trPr>
        <w:tc>
          <w:tcPr>
            <w:tcW w:w="0" w:type="auto"/>
            <w:vMerge/>
            <w:tcBorders>
              <w:top w:val="single" w:sz="4" w:space="0" w:color="auto"/>
              <w:left w:val="nil"/>
              <w:bottom w:val="single" w:sz="4" w:space="0" w:color="000000"/>
              <w:right w:val="nil"/>
            </w:tcBorders>
            <w:vAlign w:val="center"/>
            <w:hideMark/>
          </w:tcPr>
          <w:p w14:paraId="203A8C63"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800" w:type="dxa"/>
            <w:vAlign w:val="bottom"/>
            <w:hideMark/>
          </w:tcPr>
          <w:p w14:paraId="01288763"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V JKSE</w:t>
            </w:r>
          </w:p>
        </w:tc>
        <w:tc>
          <w:tcPr>
            <w:tcW w:w="1920" w:type="dxa"/>
            <w:vAlign w:val="bottom"/>
            <w:hideMark/>
          </w:tcPr>
          <w:p w14:paraId="0ADE972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-17.83296</w:t>
            </w:r>
          </w:p>
        </w:tc>
        <w:tc>
          <w:tcPr>
            <w:tcW w:w="1860" w:type="dxa"/>
            <w:hideMark/>
          </w:tcPr>
          <w:p w14:paraId="1859001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r w:rsidRPr="00DF5B90">
              <w:rPr>
                <w:rFonts w:asciiTheme="minorHAnsi" w:eastAsia="Times New Roman" w:hAnsiTheme="minorHAnsi" w:cstheme="minorHAnsi"/>
                <w:color w:val="000000"/>
                <w:vertAlign w:val="superscript"/>
                <w:lang w:val="id-ID"/>
              </w:rPr>
              <w:t>***</w:t>
            </w:r>
          </w:p>
        </w:tc>
      </w:tr>
      <w:tr w:rsidR="00DF5B90" w:rsidRPr="00DF5B90" w14:paraId="370818FB" w14:textId="77777777" w:rsidTr="00DF5B90">
        <w:trPr>
          <w:trHeight w:val="245"/>
          <w:jc w:val="center"/>
        </w:trPr>
        <w:tc>
          <w:tcPr>
            <w:tcW w:w="0" w:type="auto"/>
            <w:vMerge/>
            <w:tcBorders>
              <w:top w:val="single" w:sz="4" w:space="0" w:color="auto"/>
              <w:left w:val="nil"/>
              <w:bottom w:val="single" w:sz="4" w:space="0" w:color="000000"/>
              <w:right w:val="nil"/>
            </w:tcBorders>
            <w:vAlign w:val="center"/>
            <w:hideMark/>
          </w:tcPr>
          <w:p w14:paraId="0E15ED42"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800" w:type="dxa"/>
            <w:vAlign w:val="bottom"/>
            <w:hideMark/>
          </w:tcPr>
          <w:p w14:paraId="7A3BBD73"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V KLSE</w:t>
            </w:r>
          </w:p>
        </w:tc>
        <w:tc>
          <w:tcPr>
            <w:tcW w:w="1920" w:type="dxa"/>
            <w:vAlign w:val="bottom"/>
            <w:hideMark/>
          </w:tcPr>
          <w:p w14:paraId="60DFDD5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-17.54183</w:t>
            </w:r>
          </w:p>
        </w:tc>
        <w:tc>
          <w:tcPr>
            <w:tcW w:w="1860" w:type="dxa"/>
            <w:hideMark/>
          </w:tcPr>
          <w:p w14:paraId="073C800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r w:rsidRPr="00DF5B90">
              <w:rPr>
                <w:rFonts w:asciiTheme="minorHAnsi" w:eastAsia="Times New Roman" w:hAnsiTheme="minorHAnsi" w:cstheme="minorHAnsi"/>
                <w:color w:val="000000"/>
                <w:vertAlign w:val="superscript"/>
                <w:lang w:val="id-ID"/>
              </w:rPr>
              <w:t>***</w:t>
            </w:r>
          </w:p>
        </w:tc>
      </w:tr>
      <w:tr w:rsidR="00DF5B90" w:rsidRPr="00DF5B90" w14:paraId="4F4ABB61" w14:textId="77777777" w:rsidTr="00DF5B90">
        <w:trPr>
          <w:trHeight w:val="245"/>
          <w:jc w:val="center"/>
        </w:trPr>
        <w:tc>
          <w:tcPr>
            <w:tcW w:w="0" w:type="auto"/>
            <w:vMerge/>
            <w:tcBorders>
              <w:top w:val="single" w:sz="4" w:space="0" w:color="auto"/>
              <w:left w:val="nil"/>
              <w:bottom w:val="single" w:sz="4" w:space="0" w:color="000000"/>
              <w:right w:val="nil"/>
            </w:tcBorders>
            <w:vAlign w:val="center"/>
            <w:hideMark/>
          </w:tcPr>
          <w:p w14:paraId="4CB334DE"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800" w:type="dxa"/>
            <w:vAlign w:val="bottom"/>
            <w:hideMark/>
          </w:tcPr>
          <w:p w14:paraId="120000C4"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V PSEi</w:t>
            </w:r>
          </w:p>
        </w:tc>
        <w:tc>
          <w:tcPr>
            <w:tcW w:w="1920" w:type="dxa"/>
            <w:vAlign w:val="bottom"/>
            <w:hideMark/>
          </w:tcPr>
          <w:p w14:paraId="252A2A0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-20.71597</w:t>
            </w:r>
          </w:p>
        </w:tc>
        <w:tc>
          <w:tcPr>
            <w:tcW w:w="1860" w:type="dxa"/>
            <w:hideMark/>
          </w:tcPr>
          <w:p w14:paraId="5D9C468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r w:rsidRPr="00DF5B90">
              <w:rPr>
                <w:rFonts w:asciiTheme="minorHAnsi" w:eastAsia="Times New Roman" w:hAnsiTheme="minorHAnsi" w:cstheme="minorHAnsi"/>
                <w:color w:val="000000"/>
                <w:vertAlign w:val="superscript"/>
                <w:lang w:val="id-ID"/>
              </w:rPr>
              <w:t>***</w:t>
            </w:r>
          </w:p>
        </w:tc>
      </w:tr>
      <w:tr w:rsidR="00DF5B90" w:rsidRPr="00DF5B90" w14:paraId="13FCD3C6" w14:textId="77777777" w:rsidTr="00DF5B90">
        <w:trPr>
          <w:trHeight w:val="245"/>
          <w:jc w:val="center"/>
        </w:trPr>
        <w:tc>
          <w:tcPr>
            <w:tcW w:w="0" w:type="auto"/>
            <w:vMerge/>
            <w:tcBorders>
              <w:top w:val="single" w:sz="4" w:space="0" w:color="auto"/>
              <w:left w:val="nil"/>
              <w:bottom w:val="single" w:sz="4" w:space="0" w:color="000000"/>
              <w:right w:val="nil"/>
            </w:tcBorders>
            <w:vAlign w:val="center"/>
            <w:hideMark/>
          </w:tcPr>
          <w:p w14:paraId="01034844"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800" w:type="dxa"/>
            <w:vAlign w:val="bottom"/>
            <w:hideMark/>
          </w:tcPr>
          <w:p w14:paraId="75F80BE0"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V STI</w:t>
            </w:r>
          </w:p>
        </w:tc>
        <w:tc>
          <w:tcPr>
            <w:tcW w:w="1920" w:type="dxa"/>
            <w:vAlign w:val="bottom"/>
            <w:hideMark/>
          </w:tcPr>
          <w:p w14:paraId="47EC92E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-18.34374</w:t>
            </w:r>
          </w:p>
        </w:tc>
        <w:tc>
          <w:tcPr>
            <w:tcW w:w="1860" w:type="dxa"/>
            <w:hideMark/>
          </w:tcPr>
          <w:p w14:paraId="59CC76F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r w:rsidRPr="00DF5B90">
              <w:rPr>
                <w:rFonts w:asciiTheme="minorHAnsi" w:eastAsia="Times New Roman" w:hAnsiTheme="minorHAnsi" w:cstheme="minorHAnsi"/>
                <w:color w:val="000000"/>
                <w:vertAlign w:val="superscript"/>
                <w:lang w:val="id-ID"/>
              </w:rPr>
              <w:t>***</w:t>
            </w:r>
          </w:p>
        </w:tc>
      </w:tr>
      <w:tr w:rsidR="00DF5B90" w:rsidRPr="00DF5B90" w14:paraId="60573DF3" w14:textId="77777777" w:rsidTr="00DF5B90">
        <w:trPr>
          <w:trHeight w:val="245"/>
          <w:jc w:val="center"/>
        </w:trPr>
        <w:tc>
          <w:tcPr>
            <w:tcW w:w="0" w:type="auto"/>
            <w:vMerge/>
            <w:tcBorders>
              <w:top w:val="single" w:sz="4" w:space="0" w:color="auto"/>
              <w:left w:val="nil"/>
              <w:bottom w:val="single" w:sz="4" w:space="0" w:color="000000"/>
              <w:right w:val="nil"/>
            </w:tcBorders>
            <w:vAlign w:val="center"/>
            <w:hideMark/>
          </w:tcPr>
          <w:p w14:paraId="655517F0"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800" w:type="dxa"/>
            <w:vAlign w:val="bottom"/>
            <w:hideMark/>
          </w:tcPr>
          <w:p w14:paraId="0C843732"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V SETI</w:t>
            </w:r>
          </w:p>
        </w:tc>
        <w:tc>
          <w:tcPr>
            <w:tcW w:w="1920" w:type="dxa"/>
            <w:vAlign w:val="bottom"/>
            <w:hideMark/>
          </w:tcPr>
          <w:p w14:paraId="474626F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-17.30339</w:t>
            </w:r>
          </w:p>
        </w:tc>
        <w:tc>
          <w:tcPr>
            <w:tcW w:w="1860" w:type="dxa"/>
            <w:hideMark/>
          </w:tcPr>
          <w:p w14:paraId="6950EB1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r w:rsidRPr="00DF5B90">
              <w:rPr>
                <w:rFonts w:asciiTheme="minorHAnsi" w:eastAsia="Times New Roman" w:hAnsiTheme="minorHAnsi" w:cstheme="minorHAnsi"/>
                <w:color w:val="000000"/>
                <w:vertAlign w:val="superscript"/>
                <w:lang w:val="id-ID"/>
              </w:rPr>
              <w:t>***</w:t>
            </w:r>
          </w:p>
        </w:tc>
      </w:tr>
      <w:tr w:rsidR="00DF5B90" w:rsidRPr="00DF5B90" w14:paraId="27D11CB4" w14:textId="77777777" w:rsidTr="00DF5B90">
        <w:trPr>
          <w:trHeight w:val="245"/>
          <w:jc w:val="center"/>
        </w:trPr>
        <w:tc>
          <w:tcPr>
            <w:tcW w:w="0" w:type="auto"/>
            <w:vMerge/>
            <w:tcBorders>
              <w:top w:val="single" w:sz="4" w:space="0" w:color="auto"/>
              <w:left w:val="nil"/>
              <w:bottom w:val="single" w:sz="4" w:space="0" w:color="000000"/>
              <w:right w:val="nil"/>
            </w:tcBorders>
            <w:vAlign w:val="center"/>
            <w:hideMark/>
          </w:tcPr>
          <w:p w14:paraId="0DF06B65"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800" w:type="dxa"/>
            <w:vAlign w:val="bottom"/>
            <w:hideMark/>
          </w:tcPr>
          <w:p w14:paraId="5B54CC8B"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V VN30</w:t>
            </w:r>
          </w:p>
        </w:tc>
        <w:tc>
          <w:tcPr>
            <w:tcW w:w="1920" w:type="dxa"/>
            <w:vAlign w:val="bottom"/>
            <w:hideMark/>
          </w:tcPr>
          <w:p w14:paraId="5F37DBF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-19.89793</w:t>
            </w:r>
          </w:p>
        </w:tc>
        <w:tc>
          <w:tcPr>
            <w:tcW w:w="1860" w:type="dxa"/>
            <w:hideMark/>
          </w:tcPr>
          <w:p w14:paraId="7CFD988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r w:rsidRPr="00DF5B90">
              <w:rPr>
                <w:rFonts w:asciiTheme="minorHAnsi" w:eastAsia="Times New Roman" w:hAnsiTheme="minorHAnsi" w:cstheme="minorHAnsi"/>
                <w:color w:val="000000"/>
                <w:vertAlign w:val="superscript"/>
                <w:lang w:val="id-ID"/>
              </w:rPr>
              <w:t>***</w:t>
            </w:r>
          </w:p>
        </w:tc>
      </w:tr>
      <w:tr w:rsidR="00DF5B90" w:rsidRPr="00DF5B90" w14:paraId="39580D64" w14:textId="77777777" w:rsidTr="00DF5B90">
        <w:trPr>
          <w:trHeight w:val="245"/>
          <w:jc w:val="center"/>
        </w:trPr>
        <w:tc>
          <w:tcPr>
            <w:tcW w:w="0" w:type="auto"/>
            <w:vMerge/>
            <w:tcBorders>
              <w:top w:val="single" w:sz="4" w:space="0" w:color="auto"/>
              <w:left w:val="nil"/>
              <w:bottom w:val="single" w:sz="4" w:space="0" w:color="000000"/>
              <w:right w:val="nil"/>
            </w:tcBorders>
            <w:vAlign w:val="center"/>
            <w:hideMark/>
          </w:tcPr>
          <w:p w14:paraId="1C46FEEF"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800" w:type="dxa"/>
            <w:vAlign w:val="bottom"/>
            <w:hideMark/>
          </w:tcPr>
          <w:p w14:paraId="6AAECC9F"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V LSX</w:t>
            </w:r>
          </w:p>
        </w:tc>
        <w:tc>
          <w:tcPr>
            <w:tcW w:w="1920" w:type="dxa"/>
            <w:vAlign w:val="bottom"/>
            <w:hideMark/>
          </w:tcPr>
          <w:p w14:paraId="4EECD9A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-18.90098</w:t>
            </w:r>
          </w:p>
        </w:tc>
        <w:tc>
          <w:tcPr>
            <w:tcW w:w="1860" w:type="dxa"/>
            <w:hideMark/>
          </w:tcPr>
          <w:p w14:paraId="6F660EF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r w:rsidRPr="00DF5B90">
              <w:rPr>
                <w:rFonts w:asciiTheme="minorHAnsi" w:eastAsia="Times New Roman" w:hAnsiTheme="minorHAnsi" w:cstheme="minorHAnsi"/>
                <w:color w:val="000000"/>
                <w:vertAlign w:val="superscript"/>
                <w:lang w:val="id-ID"/>
              </w:rPr>
              <w:t>***</w:t>
            </w:r>
          </w:p>
        </w:tc>
      </w:tr>
      <w:tr w:rsidR="00DF5B90" w:rsidRPr="00DF5B90" w14:paraId="25C11A40" w14:textId="77777777" w:rsidTr="00DF5B90">
        <w:trPr>
          <w:trHeight w:val="245"/>
          <w:jc w:val="center"/>
        </w:trPr>
        <w:tc>
          <w:tcPr>
            <w:tcW w:w="0" w:type="auto"/>
            <w:vMerge/>
            <w:tcBorders>
              <w:top w:val="single" w:sz="4" w:space="0" w:color="auto"/>
              <w:left w:val="nil"/>
              <w:bottom w:val="single" w:sz="4" w:space="0" w:color="000000"/>
              <w:right w:val="nil"/>
            </w:tcBorders>
            <w:vAlign w:val="center"/>
            <w:hideMark/>
          </w:tcPr>
          <w:p w14:paraId="02068714"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800" w:type="dxa"/>
            <w:vAlign w:val="bottom"/>
            <w:hideMark/>
          </w:tcPr>
          <w:p w14:paraId="4F78C442"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V Nikkei</w:t>
            </w:r>
          </w:p>
        </w:tc>
        <w:tc>
          <w:tcPr>
            <w:tcW w:w="1920" w:type="dxa"/>
            <w:vAlign w:val="bottom"/>
            <w:hideMark/>
          </w:tcPr>
          <w:p w14:paraId="670E087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-17.95747</w:t>
            </w:r>
          </w:p>
        </w:tc>
        <w:tc>
          <w:tcPr>
            <w:tcW w:w="1860" w:type="dxa"/>
            <w:hideMark/>
          </w:tcPr>
          <w:p w14:paraId="2066E08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r w:rsidRPr="00DF5B90">
              <w:rPr>
                <w:rFonts w:asciiTheme="minorHAnsi" w:eastAsia="Times New Roman" w:hAnsiTheme="minorHAnsi" w:cstheme="minorHAnsi"/>
                <w:color w:val="000000"/>
                <w:vertAlign w:val="superscript"/>
                <w:lang w:val="id-ID"/>
              </w:rPr>
              <w:t>***</w:t>
            </w:r>
          </w:p>
        </w:tc>
      </w:tr>
      <w:tr w:rsidR="00DF5B90" w:rsidRPr="00DF5B90" w14:paraId="2394F0BF" w14:textId="77777777" w:rsidTr="00DF5B90">
        <w:trPr>
          <w:trHeight w:val="245"/>
          <w:jc w:val="center"/>
        </w:trPr>
        <w:tc>
          <w:tcPr>
            <w:tcW w:w="0" w:type="auto"/>
            <w:vMerge/>
            <w:tcBorders>
              <w:top w:val="single" w:sz="4" w:space="0" w:color="auto"/>
              <w:left w:val="nil"/>
              <w:bottom w:val="single" w:sz="4" w:space="0" w:color="000000"/>
              <w:right w:val="nil"/>
            </w:tcBorders>
            <w:vAlign w:val="center"/>
            <w:hideMark/>
          </w:tcPr>
          <w:p w14:paraId="7C18D659"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800" w:type="dxa"/>
            <w:vAlign w:val="bottom"/>
            <w:hideMark/>
          </w:tcPr>
          <w:p w14:paraId="5FE41103"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V Kospi</w:t>
            </w:r>
          </w:p>
        </w:tc>
        <w:tc>
          <w:tcPr>
            <w:tcW w:w="1920" w:type="dxa"/>
            <w:vAlign w:val="bottom"/>
            <w:hideMark/>
          </w:tcPr>
          <w:p w14:paraId="4B6D838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-19.97101</w:t>
            </w:r>
          </w:p>
        </w:tc>
        <w:tc>
          <w:tcPr>
            <w:tcW w:w="1860" w:type="dxa"/>
            <w:hideMark/>
          </w:tcPr>
          <w:p w14:paraId="435B609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r w:rsidRPr="00DF5B90">
              <w:rPr>
                <w:rFonts w:asciiTheme="minorHAnsi" w:eastAsia="Times New Roman" w:hAnsiTheme="minorHAnsi" w:cstheme="minorHAnsi"/>
                <w:color w:val="000000"/>
                <w:vertAlign w:val="superscript"/>
                <w:lang w:val="id-ID"/>
              </w:rPr>
              <w:t>***</w:t>
            </w:r>
          </w:p>
        </w:tc>
      </w:tr>
      <w:tr w:rsidR="00DF5B90" w:rsidRPr="00DF5B90" w14:paraId="6F621615" w14:textId="77777777" w:rsidTr="00DF5B90">
        <w:trPr>
          <w:trHeight w:val="245"/>
          <w:jc w:val="center"/>
        </w:trPr>
        <w:tc>
          <w:tcPr>
            <w:tcW w:w="0" w:type="auto"/>
            <w:vMerge/>
            <w:tcBorders>
              <w:top w:val="single" w:sz="4" w:space="0" w:color="auto"/>
              <w:left w:val="nil"/>
              <w:bottom w:val="single" w:sz="4" w:space="0" w:color="000000"/>
              <w:right w:val="nil"/>
            </w:tcBorders>
            <w:vAlign w:val="center"/>
            <w:hideMark/>
          </w:tcPr>
          <w:p w14:paraId="23E4A734"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800" w:type="dxa"/>
            <w:tcBorders>
              <w:top w:val="nil"/>
              <w:left w:val="nil"/>
              <w:bottom w:val="single" w:sz="4" w:space="0" w:color="auto"/>
              <w:right w:val="nil"/>
            </w:tcBorders>
            <w:vAlign w:val="bottom"/>
            <w:hideMark/>
          </w:tcPr>
          <w:p w14:paraId="15EF4B3D"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V SSEC</w:t>
            </w:r>
          </w:p>
        </w:tc>
        <w:tc>
          <w:tcPr>
            <w:tcW w:w="1920" w:type="dxa"/>
            <w:tcBorders>
              <w:top w:val="nil"/>
              <w:left w:val="nil"/>
              <w:bottom w:val="single" w:sz="4" w:space="0" w:color="auto"/>
              <w:right w:val="nil"/>
            </w:tcBorders>
            <w:vAlign w:val="bottom"/>
            <w:hideMark/>
          </w:tcPr>
          <w:p w14:paraId="1826125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-17.89209</w:t>
            </w:r>
          </w:p>
        </w:tc>
        <w:tc>
          <w:tcPr>
            <w:tcW w:w="1860" w:type="dxa"/>
            <w:tcBorders>
              <w:top w:val="nil"/>
              <w:left w:val="nil"/>
              <w:bottom w:val="single" w:sz="4" w:space="0" w:color="auto"/>
              <w:right w:val="nil"/>
            </w:tcBorders>
            <w:hideMark/>
          </w:tcPr>
          <w:p w14:paraId="079B644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r w:rsidRPr="00DF5B90">
              <w:rPr>
                <w:rFonts w:asciiTheme="minorHAnsi" w:eastAsia="Times New Roman" w:hAnsiTheme="minorHAnsi" w:cstheme="minorHAnsi"/>
                <w:color w:val="000000"/>
                <w:vertAlign w:val="superscript"/>
                <w:lang w:val="id-ID"/>
              </w:rPr>
              <w:t>***</w:t>
            </w:r>
          </w:p>
        </w:tc>
      </w:tr>
    </w:tbl>
    <w:p w14:paraId="25D8D35D" w14:textId="77777777" w:rsidR="00DF5B90" w:rsidRDefault="00DF5B90" w:rsidP="00DF5B90">
      <w:pPr>
        <w:spacing w:line="240" w:lineRule="auto"/>
        <w:ind w:left="540"/>
        <w:jc w:val="both"/>
        <w:rPr>
          <w:rFonts w:asciiTheme="minorHAnsi" w:eastAsiaTheme="minorEastAsia" w:hAnsiTheme="minorHAnsi" w:cstheme="minorHAnsi"/>
          <w:lang w:val="id-ID"/>
        </w:rPr>
      </w:pPr>
      <w:r w:rsidRPr="00DF5B90">
        <w:rPr>
          <w:rFonts w:asciiTheme="minorHAnsi" w:eastAsiaTheme="minorEastAsia" w:hAnsiTheme="minorHAnsi" w:cstheme="minorHAnsi"/>
          <w:lang w:val="id-ID"/>
        </w:rPr>
        <w:t>***</w:t>
      </w:r>
      <w:r w:rsidRPr="00DF5B90">
        <w:rPr>
          <w:rFonts w:asciiTheme="minorHAnsi" w:hAnsiTheme="minorHAnsi" w:cstheme="minorHAnsi"/>
          <w:lang w:val="id-ID"/>
        </w:rPr>
        <w:t xml:space="preserve"> </w:t>
      </w:r>
      <w:r w:rsidRPr="00DF5B90">
        <w:rPr>
          <w:rFonts w:asciiTheme="minorHAnsi" w:eastAsiaTheme="minorEastAsia" w:hAnsiTheme="minorHAnsi" w:cstheme="minorHAnsi"/>
          <w:lang w:val="id-ID"/>
        </w:rPr>
        <w:t>Significant at 1% level</w:t>
      </w:r>
    </w:p>
    <w:p w14:paraId="1E986AD1" w14:textId="34CC8A0D" w:rsidR="00DF5B90" w:rsidRPr="00DF5B90" w:rsidRDefault="00DF5B90" w:rsidP="00DF5B90">
      <w:pPr>
        <w:spacing w:after="0" w:line="240" w:lineRule="auto"/>
        <w:jc w:val="both"/>
        <w:rPr>
          <w:rFonts w:asciiTheme="minorHAnsi" w:eastAsiaTheme="minorEastAsia" w:hAnsiTheme="minorHAnsi" w:cstheme="minorHAnsi"/>
          <w:b/>
          <w:bCs/>
          <w:noProof/>
          <w:lang w:val="id-ID" w:eastAsia="en-US"/>
        </w:rPr>
      </w:pPr>
      <w:r w:rsidRPr="00DF5B90">
        <w:rPr>
          <w:rFonts w:asciiTheme="minorHAnsi" w:hAnsiTheme="minorHAnsi" w:cstheme="minorHAnsi"/>
          <w:b/>
          <w:bCs/>
          <w:lang w:val="id-ID"/>
        </w:rPr>
        <w:t>Normality Test</w:t>
      </w:r>
    </w:p>
    <w:p w14:paraId="5846981C" w14:textId="7F4B522A" w:rsidR="00DF5B90" w:rsidRPr="00DF5B90" w:rsidRDefault="006E23DC" w:rsidP="00DF5B90">
      <w:pPr>
        <w:spacing w:line="240" w:lineRule="auto"/>
        <w:ind w:firstLine="284"/>
        <w:jc w:val="both"/>
        <w:rPr>
          <w:rFonts w:asciiTheme="minorHAnsi" w:hAnsiTheme="minorHAnsi" w:cstheme="minorHAnsi"/>
          <w:lang w:val="en-US"/>
        </w:rPr>
      </w:pPr>
      <w:r>
        <w:rPr>
          <w:rFonts w:asciiTheme="minorHAnsi" w:hAnsiTheme="minorHAnsi" w:cstheme="minorHAnsi"/>
          <w:lang w:val="id-ID"/>
        </w:rPr>
        <w:t xml:space="preserve">In order </w:t>
      </w:r>
      <w:r w:rsidR="00DF5B90" w:rsidRPr="00DF5B90">
        <w:rPr>
          <w:rFonts w:asciiTheme="minorHAnsi" w:hAnsiTheme="minorHAnsi" w:cstheme="minorHAnsi"/>
          <w:lang w:val="id-ID"/>
        </w:rPr>
        <w:t>to determining whether the data is normally distributed, the normality test can also be used to determine the GARCH model to be applied. The GARCH volatility model consists of several models, including Student-t, Generalized Error Distribution (GED), and Normal Gaussian</w:t>
      </w:r>
      <w:r w:rsidR="00DF5B90" w:rsidRPr="00DF5B90">
        <w:rPr>
          <w:rFonts w:asciiTheme="minorHAnsi" w:hAnsiTheme="minorHAnsi" w:cstheme="minorHAnsi"/>
          <w:i/>
          <w:iCs/>
          <w:lang w:val="id-ID"/>
        </w:rPr>
        <w:t xml:space="preserve"> </w:t>
      </w:r>
      <w:r w:rsidR="00DF5B90" w:rsidRPr="00DF5B90">
        <w:rPr>
          <w:rFonts w:asciiTheme="minorHAnsi" w:hAnsiTheme="minorHAnsi" w:cstheme="minorHAnsi"/>
          <w:i/>
          <w:iCs/>
          <w:lang w:val="id-ID"/>
        </w:rPr>
        <w:fldChar w:fldCharType="begin" w:fldLock="1"/>
      </w:r>
      <w:r w:rsidR="00DF5B90" w:rsidRPr="00DF5B90">
        <w:rPr>
          <w:rFonts w:asciiTheme="minorHAnsi" w:hAnsiTheme="minorHAnsi" w:cstheme="minorHAnsi"/>
          <w:i/>
          <w:iCs/>
          <w:lang w:val="id-ID"/>
        </w:rPr>
        <w:instrText>ADDIN CSL_CITATION {"citationItems":[{"id":"ITEM-1","itemData":{"DOI":"10.1016/j.sciaf.2022.e01443","ISSN":"24682276","abstract":"This study introduces a new conditional innovation density called the generalized odd generalized exponentiated skew-t (GOGEST) distribution for the generalized autoregressive conditional heteroscedasticity (GARCH) volatility models. Structural properties of the GOGEST distribution such as the density and cumulative functions, failure rate and quantile functions are presented in explicit forms. The simulation study indicates that the best estimator for estimating the GOGEST parameters is the maximum likelihood procedure. Applications to two real skewed datasets established that the GOGEST distribution provides the best fit compared with existing distributions. Moreso, new GARCH-type models with GOGEST distributed innovations for time series showing asymmetric volatility is proposed. An empirical application to a real dataset concerning the First bank Nigeria (FBN) daily shock return is considered to demonstrate the superiority of the proposed GARCH-type models specified with GOGEST density relative to the skew-normal, skew-t, skew generalized error, generalized hyperbolic, Johnson reparametrized, normal, Student-t, generalized error, generalized hyperbolic skew Student-t and Normal inverse Gaussian. Overall, the empirical findings validate that the Glosten-Jagannathan-Runkle GARCH (GJRGARCH)-GOGEST model provides better in-and out-of-sample predictive performance compared with other models. Therefore, the GOGEST density should be an extensively useful conditional innovation density in GARCH-type specifications for modeling volatility.","author":[{"dropping-particle":"","family":"Adubisi","given":"O. D.","non-dropping-particle":"","parse-names":false,"suffix":""},{"dropping-particle":"","family":"Abdulkadir","given":"A.","non-dropping-particle":"","parse-names":false,"suffix":""},{"dropping-particle":"","family":"Adashu","given":"D. J.","non-dropping-particle":"","parse-names":false,"suffix":""}],"container-title":"Scientific African","id":"ITEM-1","issued":{"date-parts":[["2023"]]},"page":"1-27","title":"Improved parameter estimators for the flexible extended skew-t model with extensive simulations, applications and volatility modeling","type":"article-journal","volume":"19"},"uris":["http://www.mendeley.com/documents/?uuid=6775472e-90db-4b33-91db-6f3d5f02157e"]}],"mendeley":{"formattedCitation":"(Adubisi et al., 2023)","plainTextFormattedCitation":"(Adubisi et al., 2023)","previouslyFormattedCitation":"(Adubisi et al., 2023)"},"properties":{"noteIndex":0},"schema":"https://github.com/citation-style-language/schema/raw/master/csl-citation.json"}</w:instrText>
      </w:r>
      <w:r w:rsidR="00DF5B90" w:rsidRPr="00DF5B90">
        <w:rPr>
          <w:rFonts w:asciiTheme="minorHAnsi" w:hAnsiTheme="minorHAnsi" w:cstheme="minorHAnsi"/>
          <w:i/>
          <w:iCs/>
          <w:lang w:val="id-ID"/>
        </w:rPr>
        <w:fldChar w:fldCharType="separate"/>
      </w:r>
      <w:r w:rsidR="00DF5B90" w:rsidRPr="00DF5B90">
        <w:rPr>
          <w:rFonts w:asciiTheme="minorHAnsi" w:hAnsiTheme="minorHAnsi" w:cstheme="minorHAnsi"/>
          <w:iCs/>
          <w:noProof/>
          <w:lang w:val="id-ID"/>
        </w:rPr>
        <w:t xml:space="preserve">(Adubisi </w:t>
      </w:r>
      <w:r w:rsidR="00DF5B90" w:rsidRPr="00DF5B90">
        <w:rPr>
          <w:rFonts w:asciiTheme="minorHAnsi" w:hAnsiTheme="minorHAnsi" w:cstheme="minorHAnsi"/>
          <w:i/>
          <w:noProof/>
          <w:lang w:val="id-ID"/>
        </w:rPr>
        <w:t>et al</w:t>
      </w:r>
      <w:r w:rsidR="00DF5B90" w:rsidRPr="00DF5B90">
        <w:rPr>
          <w:rFonts w:asciiTheme="minorHAnsi" w:hAnsiTheme="minorHAnsi" w:cstheme="minorHAnsi"/>
          <w:iCs/>
          <w:noProof/>
          <w:lang w:val="id-ID"/>
        </w:rPr>
        <w:t>., 2023)</w:t>
      </w:r>
      <w:r w:rsidR="00DF5B90" w:rsidRPr="00DF5B90">
        <w:rPr>
          <w:rFonts w:asciiTheme="minorHAnsi" w:hAnsiTheme="minorHAnsi" w:cstheme="minorHAnsi"/>
          <w:i/>
          <w:iCs/>
          <w:lang w:val="id-ID"/>
        </w:rPr>
        <w:fldChar w:fldCharType="end"/>
      </w:r>
      <w:r w:rsidR="00DF5B90" w:rsidRPr="00DF5B90">
        <w:rPr>
          <w:rFonts w:asciiTheme="minorHAnsi" w:hAnsiTheme="minorHAnsi" w:cstheme="minorHAnsi"/>
          <w:lang w:val="id-ID"/>
        </w:rPr>
        <w:t>. If the data is normally distributed, the GARCH model is Normal Gaussian. However, if the data is not normally distributed, the model used is Generalized Error Distribution (GED). In this study, the normality test was carried out by applying the Jarque Bera value. The results of the normality test using the Jarque Bera value are listed in Table 2. The table shows that the probability value of the variables in each period is lower than the significance level. Thus, it can be said that the data is not normally distributed, and the GARCH model used for further testing is the Generalized Error Distribution (GED)</w:t>
      </w:r>
      <w:r w:rsidR="00DF5B90" w:rsidRPr="00DF5B90">
        <w:rPr>
          <w:rFonts w:asciiTheme="minorHAnsi" w:hAnsiTheme="minorHAnsi" w:cstheme="minorHAnsi"/>
        </w:rPr>
        <w:t>.</w:t>
      </w:r>
    </w:p>
    <w:p w14:paraId="27464F41" w14:textId="77777777" w:rsidR="00DF5B90" w:rsidRPr="00DF5B90" w:rsidRDefault="00DF5B90" w:rsidP="00DF5B90">
      <w:pPr>
        <w:pStyle w:val="Keterangan"/>
        <w:keepNext/>
        <w:ind w:left="360" w:right="386"/>
        <w:jc w:val="center"/>
        <w:rPr>
          <w:rFonts w:asciiTheme="minorHAnsi" w:hAnsiTheme="minorHAnsi" w:cstheme="minorHAnsi"/>
          <w:sz w:val="24"/>
          <w:szCs w:val="24"/>
          <w:lang w:val="id-ID"/>
        </w:rPr>
      </w:pPr>
      <w:bookmarkStart w:id="7" w:name="_Toc168426043"/>
      <w:bookmarkStart w:id="8" w:name="_Toc170310504"/>
      <w:bookmarkStart w:id="9" w:name="_Toc171071271"/>
      <w:bookmarkStart w:id="10" w:name="_Toc171072596"/>
      <w:r w:rsidRPr="00DF5B90">
        <w:rPr>
          <w:rFonts w:asciiTheme="minorHAnsi" w:hAnsiTheme="minorHAnsi" w:cstheme="minorHAnsi"/>
          <w:sz w:val="24"/>
          <w:szCs w:val="24"/>
          <w:lang w:val="id-ID"/>
        </w:rPr>
        <w:t>T</w:t>
      </w:r>
      <w:r w:rsidRPr="00DF5B90">
        <w:rPr>
          <w:rFonts w:asciiTheme="minorHAnsi" w:hAnsiTheme="minorHAnsi" w:cstheme="minorHAnsi"/>
          <w:sz w:val="24"/>
          <w:szCs w:val="24"/>
        </w:rPr>
        <w:t>able</w:t>
      </w:r>
      <w:r w:rsidRPr="00DF5B90">
        <w:rPr>
          <w:rFonts w:asciiTheme="minorHAnsi" w:hAnsiTheme="minorHAnsi" w:cstheme="minorHAnsi"/>
          <w:sz w:val="24"/>
          <w:szCs w:val="24"/>
          <w:lang w:val="id-ID"/>
        </w:rPr>
        <w:t xml:space="preserve"> </w:t>
      </w:r>
      <w:r w:rsidRPr="00DF5B90">
        <w:rPr>
          <w:rFonts w:asciiTheme="minorHAnsi" w:hAnsiTheme="minorHAnsi" w:cstheme="minorHAnsi"/>
          <w:sz w:val="24"/>
          <w:szCs w:val="24"/>
        </w:rPr>
        <w:fldChar w:fldCharType="begin"/>
      </w:r>
      <w:r w:rsidRPr="00DF5B90">
        <w:rPr>
          <w:rFonts w:asciiTheme="minorHAnsi" w:hAnsiTheme="minorHAnsi" w:cstheme="minorHAnsi"/>
          <w:sz w:val="24"/>
          <w:szCs w:val="24"/>
          <w:lang w:val="id-ID"/>
        </w:rPr>
        <w:instrText xml:space="preserve"> SEQ Table \* ARABIC </w:instrText>
      </w:r>
      <w:r w:rsidRPr="00DF5B90">
        <w:rPr>
          <w:rFonts w:asciiTheme="minorHAnsi" w:hAnsiTheme="minorHAnsi" w:cstheme="minorHAnsi"/>
          <w:sz w:val="24"/>
          <w:szCs w:val="24"/>
        </w:rPr>
        <w:fldChar w:fldCharType="separate"/>
      </w:r>
      <w:r w:rsidRPr="00DF5B90">
        <w:rPr>
          <w:rFonts w:asciiTheme="minorHAnsi" w:hAnsiTheme="minorHAnsi" w:cstheme="minorHAnsi"/>
          <w:sz w:val="24"/>
          <w:szCs w:val="24"/>
          <w:lang w:val="id-ID"/>
        </w:rPr>
        <w:t>2</w:t>
      </w:r>
      <w:bookmarkEnd w:id="7"/>
      <w:bookmarkEnd w:id="8"/>
      <w:bookmarkEnd w:id="9"/>
      <w:bookmarkEnd w:id="10"/>
      <w:r w:rsidRPr="00DF5B90">
        <w:rPr>
          <w:rFonts w:asciiTheme="minorHAnsi" w:hAnsiTheme="minorHAnsi" w:cstheme="minorHAnsi"/>
          <w:sz w:val="24"/>
          <w:szCs w:val="24"/>
          <w:lang w:val="id-ID"/>
        </w:rPr>
        <w:fldChar w:fldCharType="end"/>
      </w:r>
    </w:p>
    <w:p w14:paraId="4F5B255D" w14:textId="77777777" w:rsidR="00DF5B90" w:rsidRPr="00DF5B90" w:rsidRDefault="00DF5B90" w:rsidP="00DF5B90">
      <w:pPr>
        <w:pStyle w:val="Keterangan"/>
        <w:keepNext/>
        <w:ind w:left="360" w:right="386"/>
        <w:jc w:val="center"/>
        <w:rPr>
          <w:rFonts w:asciiTheme="minorHAnsi" w:hAnsiTheme="minorHAnsi" w:cstheme="minorHAnsi"/>
          <w:sz w:val="24"/>
          <w:szCs w:val="24"/>
        </w:rPr>
      </w:pPr>
      <w:r w:rsidRPr="00DF5B90">
        <w:rPr>
          <w:rFonts w:asciiTheme="minorHAnsi" w:hAnsiTheme="minorHAnsi" w:cstheme="minorHAnsi"/>
          <w:sz w:val="24"/>
          <w:szCs w:val="24"/>
        </w:rPr>
        <w:t>Results of Normality Test</w:t>
      </w:r>
    </w:p>
    <w:tbl>
      <w:tblPr>
        <w:tblW w:w="8290" w:type="dxa"/>
        <w:jc w:val="center"/>
        <w:tblLook w:val="04A0" w:firstRow="1" w:lastRow="0" w:firstColumn="1" w:lastColumn="0" w:noHBand="0" w:noVBand="1"/>
      </w:tblPr>
      <w:tblGrid>
        <w:gridCol w:w="3420"/>
        <w:gridCol w:w="1710"/>
        <w:gridCol w:w="1620"/>
        <w:gridCol w:w="1540"/>
      </w:tblGrid>
      <w:tr w:rsidR="00DF5B90" w:rsidRPr="00DF5B90" w14:paraId="4D36877D" w14:textId="77777777" w:rsidTr="00DF5B90">
        <w:trPr>
          <w:trHeight w:val="20"/>
          <w:jc w:val="center"/>
        </w:trPr>
        <w:tc>
          <w:tcPr>
            <w:tcW w:w="3420" w:type="dxa"/>
            <w:tcBorders>
              <w:top w:val="single" w:sz="8" w:space="0" w:color="auto"/>
              <w:left w:val="nil"/>
              <w:bottom w:val="single" w:sz="8" w:space="0" w:color="auto"/>
              <w:right w:val="nil"/>
            </w:tcBorders>
            <w:vAlign w:val="center"/>
            <w:hideMark/>
          </w:tcPr>
          <w:p w14:paraId="76B535D3" w14:textId="20E9443D" w:rsidR="00DF5B90" w:rsidRPr="00DF5B90" w:rsidRDefault="00DF5B90" w:rsidP="00DF5B90">
            <w:pPr>
              <w:spacing w:after="0" w:line="240" w:lineRule="auto"/>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Pre Rus</w:t>
            </w:r>
            <w:r w:rsidR="006E23DC">
              <w:rPr>
                <w:rFonts w:asciiTheme="minorHAnsi" w:eastAsia="Times New Roman" w:hAnsiTheme="minorHAnsi" w:cstheme="minorHAnsi"/>
                <w:b/>
                <w:bCs/>
                <w:color w:val="000000"/>
                <w:lang w:val="id-ID"/>
              </w:rPr>
              <w:t>s</w:t>
            </w:r>
            <w:r w:rsidRPr="00DF5B90">
              <w:rPr>
                <w:rFonts w:asciiTheme="minorHAnsi" w:eastAsia="Times New Roman" w:hAnsiTheme="minorHAnsi" w:cstheme="minorHAnsi"/>
                <w:b/>
                <w:bCs/>
                <w:color w:val="000000"/>
                <w:lang w:val="id-ID"/>
              </w:rPr>
              <w:t>ia-Ukrain</w:t>
            </w:r>
            <w:r w:rsidR="006E23DC">
              <w:rPr>
                <w:rFonts w:asciiTheme="minorHAnsi" w:eastAsia="Times New Roman" w:hAnsiTheme="minorHAnsi" w:cstheme="minorHAnsi"/>
                <w:b/>
                <w:bCs/>
                <w:color w:val="000000"/>
                <w:lang w:val="id-ID"/>
              </w:rPr>
              <w:t>e War</w:t>
            </w:r>
          </w:p>
        </w:tc>
        <w:tc>
          <w:tcPr>
            <w:tcW w:w="1710" w:type="dxa"/>
            <w:tcBorders>
              <w:top w:val="single" w:sz="8" w:space="0" w:color="auto"/>
              <w:left w:val="nil"/>
              <w:bottom w:val="single" w:sz="8" w:space="0" w:color="auto"/>
              <w:right w:val="nil"/>
            </w:tcBorders>
            <w:vAlign w:val="center"/>
            <w:hideMark/>
          </w:tcPr>
          <w:p w14:paraId="20DEE613"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Jarque-Bera</w:t>
            </w:r>
          </w:p>
        </w:tc>
        <w:tc>
          <w:tcPr>
            <w:tcW w:w="1620" w:type="dxa"/>
            <w:tcBorders>
              <w:top w:val="single" w:sz="8" w:space="0" w:color="auto"/>
              <w:left w:val="nil"/>
              <w:bottom w:val="single" w:sz="8" w:space="0" w:color="auto"/>
              <w:right w:val="nil"/>
            </w:tcBorders>
            <w:noWrap/>
            <w:vAlign w:val="center"/>
            <w:hideMark/>
          </w:tcPr>
          <w:p w14:paraId="222D3BA6"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Prob.</w:t>
            </w:r>
          </w:p>
        </w:tc>
        <w:tc>
          <w:tcPr>
            <w:tcW w:w="1540" w:type="dxa"/>
            <w:tcBorders>
              <w:top w:val="single" w:sz="8" w:space="0" w:color="auto"/>
              <w:left w:val="nil"/>
              <w:bottom w:val="single" w:sz="8" w:space="0" w:color="auto"/>
              <w:right w:val="nil"/>
            </w:tcBorders>
            <w:noWrap/>
            <w:vAlign w:val="center"/>
            <w:hideMark/>
          </w:tcPr>
          <w:p w14:paraId="3C56137D"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Model</w:t>
            </w:r>
          </w:p>
        </w:tc>
      </w:tr>
      <w:tr w:rsidR="00DF5B90" w:rsidRPr="00DF5B90" w14:paraId="7B773038" w14:textId="77777777" w:rsidTr="00DF5B90">
        <w:trPr>
          <w:trHeight w:val="20"/>
          <w:jc w:val="center"/>
        </w:trPr>
        <w:tc>
          <w:tcPr>
            <w:tcW w:w="3420" w:type="dxa"/>
            <w:tcBorders>
              <w:top w:val="single" w:sz="4" w:space="0" w:color="auto"/>
              <w:left w:val="nil"/>
              <w:bottom w:val="nil"/>
              <w:right w:val="nil"/>
            </w:tcBorders>
            <w:vAlign w:val="bottom"/>
            <w:hideMark/>
          </w:tcPr>
          <w:p w14:paraId="3FF8A186"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XAU to V JKSE</w:t>
            </w:r>
          </w:p>
        </w:tc>
        <w:tc>
          <w:tcPr>
            <w:tcW w:w="1710" w:type="dxa"/>
            <w:vAlign w:val="center"/>
            <w:hideMark/>
          </w:tcPr>
          <w:p w14:paraId="405966B9"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57.92902</w:t>
            </w:r>
          </w:p>
        </w:tc>
        <w:tc>
          <w:tcPr>
            <w:tcW w:w="1620" w:type="dxa"/>
            <w:noWrap/>
            <w:vAlign w:val="center"/>
            <w:hideMark/>
          </w:tcPr>
          <w:p w14:paraId="40C6A744"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200BB04D"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414F7836" w14:textId="77777777" w:rsidTr="00DF5B90">
        <w:trPr>
          <w:trHeight w:val="20"/>
          <w:jc w:val="center"/>
        </w:trPr>
        <w:tc>
          <w:tcPr>
            <w:tcW w:w="3420" w:type="dxa"/>
            <w:vAlign w:val="bottom"/>
            <w:hideMark/>
          </w:tcPr>
          <w:p w14:paraId="2681C1AA"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XAU to V KLSE</w:t>
            </w:r>
          </w:p>
        </w:tc>
        <w:tc>
          <w:tcPr>
            <w:tcW w:w="1710" w:type="dxa"/>
            <w:vAlign w:val="center"/>
            <w:hideMark/>
          </w:tcPr>
          <w:p w14:paraId="5AEF7132"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52.75937</w:t>
            </w:r>
          </w:p>
        </w:tc>
        <w:tc>
          <w:tcPr>
            <w:tcW w:w="1620" w:type="dxa"/>
            <w:noWrap/>
            <w:vAlign w:val="center"/>
            <w:hideMark/>
          </w:tcPr>
          <w:p w14:paraId="2ED66E38"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734F3920"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14B9DB08" w14:textId="77777777" w:rsidTr="00DF5B90">
        <w:trPr>
          <w:trHeight w:val="20"/>
          <w:jc w:val="center"/>
        </w:trPr>
        <w:tc>
          <w:tcPr>
            <w:tcW w:w="3420" w:type="dxa"/>
            <w:vAlign w:val="bottom"/>
            <w:hideMark/>
          </w:tcPr>
          <w:p w14:paraId="20C38590"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XAU to V PSEi</w:t>
            </w:r>
          </w:p>
        </w:tc>
        <w:tc>
          <w:tcPr>
            <w:tcW w:w="1710" w:type="dxa"/>
            <w:vAlign w:val="center"/>
            <w:hideMark/>
          </w:tcPr>
          <w:p w14:paraId="07E7A5E8"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56.79076</w:t>
            </w:r>
          </w:p>
        </w:tc>
        <w:tc>
          <w:tcPr>
            <w:tcW w:w="1620" w:type="dxa"/>
            <w:noWrap/>
            <w:vAlign w:val="center"/>
            <w:hideMark/>
          </w:tcPr>
          <w:p w14:paraId="5CD4586C"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59510857"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0B576216" w14:textId="77777777" w:rsidTr="00DF5B90">
        <w:trPr>
          <w:trHeight w:val="20"/>
          <w:jc w:val="center"/>
        </w:trPr>
        <w:tc>
          <w:tcPr>
            <w:tcW w:w="3420" w:type="dxa"/>
            <w:vAlign w:val="bottom"/>
            <w:hideMark/>
          </w:tcPr>
          <w:p w14:paraId="39148B30"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XAU to V STI</w:t>
            </w:r>
          </w:p>
        </w:tc>
        <w:tc>
          <w:tcPr>
            <w:tcW w:w="1710" w:type="dxa"/>
            <w:vAlign w:val="center"/>
            <w:hideMark/>
          </w:tcPr>
          <w:p w14:paraId="642C7CA3"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57.74675</w:t>
            </w:r>
          </w:p>
        </w:tc>
        <w:tc>
          <w:tcPr>
            <w:tcW w:w="1620" w:type="dxa"/>
            <w:noWrap/>
            <w:vAlign w:val="center"/>
            <w:hideMark/>
          </w:tcPr>
          <w:p w14:paraId="19B66F01"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06CD4186"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5C5D43DF" w14:textId="77777777" w:rsidTr="00DF5B90">
        <w:trPr>
          <w:trHeight w:val="20"/>
          <w:jc w:val="center"/>
        </w:trPr>
        <w:tc>
          <w:tcPr>
            <w:tcW w:w="3420" w:type="dxa"/>
            <w:vAlign w:val="bottom"/>
            <w:hideMark/>
          </w:tcPr>
          <w:p w14:paraId="325AA682"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XAU to V SETI</w:t>
            </w:r>
          </w:p>
        </w:tc>
        <w:tc>
          <w:tcPr>
            <w:tcW w:w="1710" w:type="dxa"/>
            <w:vAlign w:val="center"/>
            <w:hideMark/>
          </w:tcPr>
          <w:p w14:paraId="5AB28BC3"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56.73282</w:t>
            </w:r>
          </w:p>
        </w:tc>
        <w:tc>
          <w:tcPr>
            <w:tcW w:w="1620" w:type="dxa"/>
            <w:noWrap/>
            <w:vAlign w:val="center"/>
            <w:hideMark/>
          </w:tcPr>
          <w:p w14:paraId="0EA89D12"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759E7E39"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61602292" w14:textId="77777777" w:rsidTr="00DF5B90">
        <w:trPr>
          <w:trHeight w:val="20"/>
          <w:jc w:val="center"/>
        </w:trPr>
        <w:tc>
          <w:tcPr>
            <w:tcW w:w="3420" w:type="dxa"/>
            <w:vAlign w:val="bottom"/>
            <w:hideMark/>
          </w:tcPr>
          <w:p w14:paraId="0101A2E6"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XAU to V VN30</w:t>
            </w:r>
          </w:p>
        </w:tc>
        <w:tc>
          <w:tcPr>
            <w:tcW w:w="1710" w:type="dxa"/>
            <w:noWrap/>
            <w:vAlign w:val="center"/>
            <w:hideMark/>
          </w:tcPr>
          <w:p w14:paraId="36D2FFB6"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57.12873</w:t>
            </w:r>
          </w:p>
        </w:tc>
        <w:tc>
          <w:tcPr>
            <w:tcW w:w="1620" w:type="dxa"/>
            <w:noWrap/>
            <w:vAlign w:val="center"/>
            <w:hideMark/>
          </w:tcPr>
          <w:p w14:paraId="57A8BEC3"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7FAB1561"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07AF590E" w14:textId="77777777" w:rsidTr="00DF5B90">
        <w:trPr>
          <w:trHeight w:val="20"/>
          <w:jc w:val="center"/>
        </w:trPr>
        <w:tc>
          <w:tcPr>
            <w:tcW w:w="3420" w:type="dxa"/>
            <w:vAlign w:val="bottom"/>
            <w:hideMark/>
          </w:tcPr>
          <w:p w14:paraId="401B3074"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XAU to V LSX</w:t>
            </w:r>
          </w:p>
        </w:tc>
        <w:tc>
          <w:tcPr>
            <w:tcW w:w="1710" w:type="dxa"/>
            <w:vAlign w:val="center"/>
            <w:hideMark/>
          </w:tcPr>
          <w:p w14:paraId="6E1E9DD1"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50.45520</w:t>
            </w:r>
          </w:p>
        </w:tc>
        <w:tc>
          <w:tcPr>
            <w:tcW w:w="1620" w:type="dxa"/>
            <w:noWrap/>
            <w:vAlign w:val="center"/>
            <w:hideMark/>
          </w:tcPr>
          <w:p w14:paraId="2799464D"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3E2AB6B0"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1ABFA16E" w14:textId="77777777" w:rsidTr="00DF5B90">
        <w:trPr>
          <w:trHeight w:val="20"/>
          <w:jc w:val="center"/>
        </w:trPr>
        <w:tc>
          <w:tcPr>
            <w:tcW w:w="3420" w:type="dxa"/>
            <w:vAlign w:val="bottom"/>
            <w:hideMark/>
          </w:tcPr>
          <w:p w14:paraId="6CF81CC4"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XAU to V Nikkei</w:t>
            </w:r>
          </w:p>
        </w:tc>
        <w:tc>
          <w:tcPr>
            <w:tcW w:w="1710" w:type="dxa"/>
            <w:vAlign w:val="center"/>
            <w:hideMark/>
          </w:tcPr>
          <w:p w14:paraId="05746B44"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57.60386</w:t>
            </w:r>
          </w:p>
        </w:tc>
        <w:tc>
          <w:tcPr>
            <w:tcW w:w="1620" w:type="dxa"/>
            <w:noWrap/>
            <w:vAlign w:val="center"/>
            <w:hideMark/>
          </w:tcPr>
          <w:p w14:paraId="5E43BE15"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67E0162D"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0390736A" w14:textId="77777777" w:rsidTr="00DF5B90">
        <w:trPr>
          <w:trHeight w:val="20"/>
          <w:jc w:val="center"/>
        </w:trPr>
        <w:tc>
          <w:tcPr>
            <w:tcW w:w="3420" w:type="dxa"/>
            <w:vAlign w:val="bottom"/>
            <w:hideMark/>
          </w:tcPr>
          <w:p w14:paraId="44A0ADB6"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XAU to V Kospi</w:t>
            </w:r>
          </w:p>
        </w:tc>
        <w:tc>
          <w:tcPr>
            <w:tcW w:w="1710" w:type="dxa"/>
            <w:vAlign w:val="center"/>
            <w:hideMark/>
          </w:tcPr>
          <w:p w14:paraId="6334F429"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56.69101</w:t>
            </w:r>
          </w:p>
        </w:tc>
        <w:tc>
          <w:tcPr>
            <w:tcW w:w="1620" w:type="dxa"/>
            <w:noWrap/>
            <w:vAlign w:val="center"/>
            <w:hideMark/>
          </w:tcPr>
          <w:p w14:paraId="0187A8F5"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4C696D3C"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1B8412A5" w14:textId="77777777" w:rsidTr="00DF5B90">
        <w:trPr>
          <w:trHeight w:val="20"/>
          <w:jc w:val="center"/>
        </w:trPr>
        <w:tc>
          <w:tcPr>
            <w:tcW w:w="3420" w:type="dxa"/>
            <w:vAlign w:val="bottom"/>
            <w:hideMark/>
          </w:tcPr>
          <w:p w14:paraId="57A85591"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XAU to V SSEC</w:t>
            </w:r>
          </w:p>
        </w:tc>
        <w:tc>
          <w:tcPr>
            <w:tcW w:w="1710" w:type="dxa"/>
            <w:vAlign w:val="center"/>
            <w:hideMark/>
          </w:tcPr>
          <w:p w14:paraId="6FE76E05"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53.84792</w:t>
            </w:r>
          </w:p>
        </w:tc>
        <w:tc>
          <w:tcPr>
            <w:tcW w:w="1620" w:type="dxa"/>
            <w:noWrap/>
            <w:vAlign w:val="center"/>
            <w:hideMark/>
          </w:tcPr>
          <w:p w14:paraId="1C74A78F"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424CE899"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6286C8F7" w14:textId="77777777" w:rsidTr="00DF5B90">
        <w:trPr>
          <w:trHeight w:val="20"/>
          <w:jc w:val="center"/>
        </w:trPr>
        <w:tc>
          <w:tcPr>
            <w:tcW w:w="3420" w:type="dxa"/>
            <w:tcBorders>
              <w:top w:val="single" w:sz="4" w:space="0" w:color="auto"/>
              <w:left w:val="nil"/>
              <w:bottom w:val="nil"/>
              <w:right w:val="nil"/>
            </w:tcBorders>
            <w:vAlign w:val="bottom"/>
            <w:hideMark/>
          </w:tcPr>
          <w:p w14:paraId="34CC0E59"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DXY to V JKSE</w:t>
            </w:r>
          </w:p>
        </w:tc>
        <w:tc>
          <w:tcPr>
            <w:tcW w:w="1710" w:type="dxa"/>
            <w:tcBorders>
              <w:top w:val="single" w:sz="4" w:space="0" w:color="auto"/>
              <w:left w:val="nil"/>
              <w:bottom w:val="nil"/>
              <w:right w:val="nil"/>
            </w:tcBorders>
            <w:vAlign w:val="center"/>
            <w:hideMark/>
          </w:tcPr>
          <w:p w14:paraId="134F2DF9"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50.15919</w:t>
            </w:r>
          </w:p>
        </w:tc>
        <w:tc>
          <w:tcPr>
            <w:tcW w:w="1620" w:type="dxa"/>
            <w:tcBorders>
              <w:top w:val="single" w:sz="4" w:space="0" w:color="auto"/>
              <w:left w:val="nil"/>
              <w:bottom w:val="nil"/>
              <w:right w:val="nil"/>
            </w:tcBorders>
            <w:noWrap/>
            <w:vAlign w:val="center"/>
            <w:hideMark/>
          </w:tcPr>
          <w:p w14:paraId="5FA3616D"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tcBorders>
              <w:top w:val="single" w:sz="4" w:space="0" w:color="auto"/>
              <w:left w:val="nil"/>
              <w:bottom w:val="nil"/>
              <w:right w:val="nil"/>
            </w:tcBorders>
            <w:noWrap/>
            <w:vAlign w:val="center"/>
            <w:hideMark/>
          </w:tcPr>
          <w:p w14:paraId="19DD86BD"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7236D523" w14:textId="77777777" w:rsidTr="00DF5B90">
        <w:trPr>
          <w:trHeight w:val="20"/>
          <w:jc w:val="center"/>
        </w:trPr>
        <w:tc>
          <w:tcPr>
            <w:tcW w:w="3420" w:type="dxa"/>
            <w:vAlign w:val="bottom"/>
            <w:hideMark/>
          </w:tcPr>
          <w:p w14:paraId="67D8906F"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DXY to V KLSE</w:t>
            </w:r>
          </w:p>
        </w:tc>
        <w:tc>
          <w:tcPr>
            <w:tcW w:w="1710" w:type="dxa"/>
            <w:vAlign w:val="center"/>
            <w:hideMark/>
          </w:tcPr>
          <w:p w14:paraId="7A29D0F5"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71.77257</w:t>
            </w:r>
          </w:p>
        </w:tc>
        <w:tc>
          <w:tcPr>
            <w:tcW w:w="1620" w:type="dxa"/>
            <w:noWrap/>
            <w:vAlign w:val="center"/>
            <w:hideMark/>
          </w:tcPr>
          <w:p w14:paraId="314230A7"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53515500"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27E0DE7D" w14:textId="77777777" w:rsidTr="00DF5B90">
        <w:trPr>
          <w:trHeight w:val="20"/>
          <w:jc w:val="center"/>
        </w:trPr>
        <w:tc>
          <w:tcPr>
            <w:tcW w:w="3420" w:type="dxa"/>
            <w:vAlign w:val="bottom"/>
            <w:hideMark/>
          </w:tcPr>
          <w:p w14:paraId="3C9B8E62"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DXY to V PSEi</w:t>
            </w:r>
          </w:p>
        </w:tc>
        <w:tc>
          <w:tcPr>
            <w:tcW w:w="1710" w:type="dxa"/>
            <w:vAlign w:val="center"/>
            <w:hideMark/>
          </w:tcPr>
          <w:p w14:paraId="36B22A62"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85.72262</w:t>
            </w:r>
          </w:p>
        </w:tc>
        <w:tc>
          <w:tcPr>
            <w:tcW w:w="1620" w:type="dxa"/>
            <w:noWrap/>
            <w:vAlign w:val="center"/>
            <w:hideMark/>
          </w:tcPr>
          <w:p w14:paraId="6C10B0D7"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575D0DA2"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57889DC5" w14:textId="77777777" w:rsidTr="00DF5B90">
        <w:trPr>
          <w:trHeight w:val="20"/>
          <w:jc w:val="center"/>
        </w:trPr>
        <w:tc>
          <w:tcPr>
            <w:tcW w:w="3420" w:type="dxa"/>
            <w:vAlign w:val="bottom"/>
            <w:hideMark/>
          </w:tcPr>
          <w:p w14:paraId="78C424B1"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DXY to V STI</w:t>
            </w:r>
          </w:p>
        </w:tc>
        <w:tc>
          <w:tcPr>
            <w:tcW w:w="1710" w:type="dxa"/>
            <w:vAlign w:val="center"/>
            <w:hideMark/>
          </w:tcPr>
          <w:p w14:paraId="17C09EDA"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30.73514</w:t>
            </w:r>
          </w:p>
        </w:tc>
        <w:tc>
          <w:tcPr>
            <w:tcW w:w="1620" w:type="dxa"/>
            <w:noWrap/>
            <w:vAlign w:val="center"/>
            <w:hideMark/>
          </w:tcPr>
          <w:p w14:paraId="539AD11C"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7554F6AF"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0D213BFE" w14:textId="77777777" w:rsidTr="00DF5B90">
        <w:trPr>
          <w:trHeight w:val="20"/>
          <w:jc w:val="center"/>
        </w:trPr>
        <w:tc>
          <w:tcPr>
            <w:tcW w:w="3420" w:type="dxa"/>
            <w:vAlign w:val="bottom"/>
            <w:hideMark/>
          </w:tcPr>
          <w:p w14:paraId="2F1974B2"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DXY to V SETI</w:t>
            </w:r>
          </w:p>
        </w:tc>
        <w:tc>
          <w:tcPr>
            <w:tcW w:w="1710" w:type="dxa"/>
            <w:vAlign w:val="center"/>
            <w:hideMark/>
          </w:tcPr>
          <w:p w14:paraId="7E9E9A3D"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47.24103</w:t>
            </w:r>
          </w:p>
        </w:tc>
        <w:tc>
          <w:tcPr>
            <w:tcW w:w="1620" w:type="dxa"/>
            <w:noWrap/>
            <w:vAlign w:val="center"/>
            <w:hideMark/>
          </w:tcPr>
          <w:p w14:paraId="2590249A"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25D8E6F6"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29DFCD95" w14:textId="77777777" w:rsidTr="00DF5B90">
        <w:trPr>
          <w:trHeight w:val="20"/>
          <w:jc w:val="center"/>
        </w:trPr>
        <w:tc>
          <w:tcPr>
            <w:tcW w:w="3420" w:type="dxa"/>
            <w:vAlign w:val="bottom"/>
            <w:hideMark/>
          </w:tcPr>
          <w:p w14:paraId="4F0743D5"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DXY to V VN30</w:t>
            </w:r>
          </w:p>
        </w:tc>
        <w:tc>
          <w:tcPr>
            <w:tcW w:w="1710" w:type="dxa"/>
            <w:vAlign w:val="center"/>
            <w:hideMark/>
          </w:tcPr>
          <w:p w14:paraId="64C223EF"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80.92270</w:t>
            </w:r>
          </w:p>
        </w:tc>
        <w:tc>
          <w:tcPr>
            <w:tcW w:w="1620" w:type="dxa"/>
            <w:noWrap/>
            <w:vAlign w:val="center"/>
            <w:hideMark/>
          </w:tcPr>
          <w:p w14:paraId="06E974B3"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452EA795"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78C638D1" w14:textId="77777777" w:rsidTr="00DF5B90">
        <w:trPr>
          <w:trHeight w:val="20"/>
          <w:jc w:val="center"/>
        </w:trPr>
        <w:tc>
          <w:tcPr>
            <w:tcW w:w="3420" w:type="dxa"/>
            <w:vAlign w:val="bottom"/>
            <w:hideMark/>
          </w:tcPr>
          <w:p w14:paraId="09DE876D"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DXY to V LSX</w:t>
            </w:r>
          </w:p>
        </w:tc>
        <w:tc>
          <w:tcPr>
            <w:tcW w:w="1710" w:type="dxa"/>
            <w:vAlign w:val="center"/>
            <w:hideMark/>
          </w:tcPr>
          <w:p w14:paraId="38FE2036"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83.60832</w:t>
            </w:r>
          </w:p>
        </w:tc>
        <w:tc>
          <w:tcPr>
            <w:tcW w:w="1620" w:type="dxa"/>
            <w:noWrap/>
            <w:vAlign w:val="center"/>
            <w:hideMark/>
          </w:tcPr>
          <w:p w14:paraId="082699A1"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4BE05914"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5C7627D3" w14:textId="77777777" w:rsidTr="00DF5B90">
        <w:trPr>
          <w:trHeight w:val="20"/>
          <w:jc w:val="center"/>
        </w:trPr>
        <w:tc>
          <w:tcPr>
            <w:tcW w:w="3420" w:type="dxa"/>
            <w:vAlign w:val="bottom"/>
            <w:hideMark/>
          </w:tcPr>
          <w:p w14:paraId="677EA0FC"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DXY to V Nikkei</w:t>
            </w:r>
          </w:p>
        </w:tc>
        <w:tc>
          <w:tcPr>
            <w:tcW w:w="1710" w:type="dxa"/>
            <w:vAlign w:val="center"/>
            <w:hideMark/>
          </w:tcPr>
          <w:p w14:paraId="7FF2D582"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49.27255</w:t>
            </w:r>
          </w:p>
        </w:tc>
        <w:tc>
          <w:tcPr>
            <w:tcW w:w="1620" w:type="dxa"/>
            <w:noWrap/>
            <w:vAlign w:val="center"/>
            <w:hideMark/>
          </w:tcPr>
          <w:p w14:paraId="21F5E6FF"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71AB8765"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3C052CCA" w14:textId="77777777" w:rsidTr="00DF5B90">
        <w:trPr>
          <w:trHeight w:val="20"/>
          <w:jc w:val="center"/>
        </w:trPr>
        <w:tc>
          <w:tcPr>
            <w:tcW w:w="3420" w:type="dxa"/>
            <w:vAlign w:val="bottom"/>
            <w:hideMark/>
          </w:tcPr>
          <w:p w14:paraId="3BE2A67D"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DXY to V Kospi</w:t>
            </w:r>
          </w:p>
        </w:tc>
        <w:tc>
          <w:tcPr>
            <w:tcW w:w="1710" w:type="dxa"/>
            <w:vAlign w:val="center"/>
            <w:hideMark/>
          </w:tcPr>
          <w:p w14:paraId="0119E547"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59.49530</w:t>
            </w:r>
          </w:p>
        </w:tc>
        <w:tc>
          <w:tcPr>
            <w:tcW w:w="1620" w:type="dxa"/>
            <w:noWrap/>
            <w:vAlign w:val="center"/>
            <w:hideMark/>
          </w:tcPr>
          <w:p w14:paraId="597D7C6E"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3E1B652C"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0F3AE8E8" w14:textId="77777777" w:rsidTr="00DF5B90">
        <w:trPr>
          <w:trHeight w:val="20"/>
          <w:jc w:val="center"/>
        </w:trPr>
        <w:tc>
          <w:tcPr>
            <w:tcW w:w="3420" w:type="dxa"/>
            <w:tcBorders>
              <w:top w:val="nil"/>
              <w:left w:val="nil"/>
              <w:bottom w:val="single" w:sz="4" w:space="0" w:color="auto"/>
              <w:right w:val="nil"/>
            </w:tcBorders>
            <w:vAlign w:val="bottom"/>
            <w:hideMark/>
          </w:tcPr>
          <w:p w14:paraId="2D941920"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DXY to V SSEC</w:t>
            </w:r>
          </w:p>
        </w:tc>
        <w:tc>
          <w:tcPr>
            <w:tcW w:w="1710" w:type="dxa"/>
            <w:tcBorders>
              <w:top w:val="nil"/>
              <w:left w:val="nil"/>
              <w:bottom w:val="single" w:sz="4" w:space="0" w:color="auto"/>
              <w:right w:val="nil"/>
            </w:tcBorders>
            <w:vAlign w:val="center"/>
            <w:hideMark/>
          </w:tcPr>
          <w:p w14:paraId="2594AF00"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54.01321</w:t>
            </w:r>
          </w:p>
        </w:tc>
        <w:tc>
          <w:tcPr>
            <w:tcW w:w="1620" w:type="dxa"/>
            <w:tcBorders>
              <w:top w:val="nil"/>
              <w:left w:val="nil"/>
              <w:bottom w:val="single" w:sz="4" w:space="0" w:color="auto"/>
              <w:right w:val="nil"/>
            </w:tcBorders>
            <w:noWrap/>
            <w:vAlign w:val="center"/>
            <w:hideMark/>
          </w:tcPr>
          <w:p w14:paraId="540A6CB0"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tcBorders>
              <w:top w:val="nil"/>
              <w:left w:val="nil"/>
              <w:bottom w:val="single" w:sz="4" w:space="0" w:color="auto"/>
              <w:right w:val="nil"/>
            </w:tcBorders>
            <w:noWrap/>
            <w:vAlign w:val="center"/>
            <w:hideMark/>
          </w:tcPr>
          <w:p w14:paraId="2EF8860A"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3AC21A32" w14:textId="77777777" w:rsidTr="00DF5B90">
        <w:trPr>
          <w:trHeight w:val="20"/>
          <w:jc w:val="center"/>
        </w:trPr>
        <w:tc>
          <w:tcPr>
            <w:tcW w:w="3420" w:type="dxa"/>
            <w:tcBorders>
              <w:top w:val="single" w:sz="4" w:space="0" w:color="auto"/>
              <w:left w:val="nil"/>
              <w:bottom w:val="single" w:sz="8" w:space="0" w:color="auto"/>
              <w:right w:val="nil"/>
            </w:tcBorders>
            <w:vAlign w:val="center"/>
            <w:hideMark/>
          </w:tcPr>
          <w:p w14:paraId="6205B364" w14:textId="40E140C0" w:rsidR="00DF5B90" w:rsidRPr="00DF5B90" w:rsidRDefault="00DF5B90" w:rsidP="00DF5B90">
            <w:pPr>
              <w:spacing w:after="0" w:line="240" w:lineRule="auto"/>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During Rus</w:t>
            </w:r>
            <w:r w:rsidR="006E23DC">
              <w:rPr>
                <w:rFonts w:asciiTheme="minorHAnsi" w:eastAsia="Times New Roman" w:hAnsiTheme="minorHAnsi" w:cstheme="minorHAnsi"/>
                <w:b/>
                <w:bCs/>
                <w:color w:val="000000"/>
                <w:lang w:val="id-ID"/>
              </w:rPr>
              <w:t>s</w:t>
            </w:r>
            <w:r w:rsidRPr="00DF5B90">
              <w:rPr>
                <w:rFonts w:asciiTheme="minorHAnsi" w:eastAsia="Times New Roman" w:hAnsiTheme="minorHAnsi" w:cstheme="minorHAnsi"/>
                <w:b/>
                <w:bCs/>
                <w:color w:val="000000"/>
                <w:lang w:val="id-ID"/>
              </w:rPr>
              <w:t>ia-Ukrain</w:t>
            </w:r>
            <w:r w:rsidR="006E23DC">
              <w:rPr>
                <w:rFonts w:asciiTheme="minorHAnsi" w:eastAsia="Times New Roman" w:hAnsiTheme="minorHAnsi" w:cstheme="minorHAnsi"/>
                <w:b/>
                <w:bCs/>
                <w:color w:val="000000"/>
                <w:lang w:val="id-ID"/>
              </w:rPr>
              <w:t>e War</w:t>
            </w:r>
          </w:p>
        </w:tc>
        <w:tc>
          <w:tcPr>
            <w:tcW w:w="1710" w:type="dxa"/>
            <w:tcBorders>
              <w:top w:val="single" w:sz="4" w:space="0" w:color="auto"/>
              <w:left w:val="nil"/>
              <w:bottom w:val="single" w:sz="8" w:space="0" w:color="auto"/>
              <w:right w:val="nil"/>
            </w:tcBorders>
            <w:vAlign w:val="center"/>
            <w:hideMark/>
          </w:tcPr>
          <w:p w14:paraId="0FBFFC7E"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Jarque-Bera</w:t>
            </w:r>
          </w:p>
        </w:tc>
        <w:tc>
          <w:tcPr>
            <w:tcW w:w="1620" w:type="dxa"/>
            <w:tcBorders>
              <w:top w:val="single" w:sz="4" w:space="0" w:color="auto"/>
              <w:left w:val="nil"/>
              <w:bottom w:val="single" w:sz="8" w:space="0" w:color="auto"/>
              <w:right w:val="nil"/>
            </w:tcBorders>
            <w:noWrap/>
            <w:vAlign w:val="center"/>
            <w:hideMark/>
          </w:tcPr>
          <w:p w14:paraId="5346163C"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Prob.</w:t>
            </w:r>
          </w:p>
        </w:tc>
        <w:tc>
          <w:tcPr>
            <w:tcW w:w="1540" w:type="dxa"/>
            <w:tcBorders>
              <w:top w:val="single" w:sz="4" w:space="0" w:color="auto"/>
              <w:left w:val="nil"/>
              <w:bottom w:val="single" w:sz="8" w:space="0" w:color="auto"/>
              <w:right w:val="nil"/>
            </w:tcBorders>
            <w:noWrap/>
            <w:vAlign w:val="center"/>
            <w:hideMark/>
          </w:tcPr>
          <w:p w14:paraId="42CFD8EF"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Model</w:t>
            </w:r>
          </w:p>
        </w:tc>
      </w:tr>
      <w:tr w:rsidR="00DF5B90" w:rsidRPr="00DF5B90" w14:paraId="18F35BF6" w14:textId="77777777" w:rsidTr="00DF5B90">
        <w:trPr>
          <w:trHeight w:val="20"/>
          <w:jc w:val="center"/>
        </w:trPr>
        <w:tc>
          <w:tcPr>
            <w:tcW w:w="3420" w:type="dxa"/>
            <w:tcBorders>
              <w:top w:val="single" w:sz="4" w:space="0" w:color="auto"/>
              <w:left w:val="nil"/>
              <w:bottom w:val="nil"/>
              <w:right w:val="nil"/>
            </w:tcBorders>
            <w:vAlign w:val="bottom"/>
            <w:hideMark/>
          </w:tcPr>
          <w:p w14:paraId="4373D40B"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XAU to V JKSE</w:t>
            </w:r>
          </w:p>
        </w:tc>
        <w:tc>
          <w:tcPr>
            <w:tcW w:w="1710" w:type="dxa"/>
            <w:vAlign w:val="center"/>
            <w:hideMark/>
          </w:tcPr>
          <w:p w14:paraId="4D9A88B4"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20.30976</w:t>
            </w:r>
          </w:p>
        </w:tc>
        <w:tc>
          <w:tcPr>
            <w:tcW w:w="1620" w:type="dxa"/>
            <w:vAlign w:val="center"/>
            <w:hideMark/>
          </w:tcPr>
          <w:p w14:paraId="3C7B5202"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6205F0CA"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0A70A260" w14:textId="77777777" w:rsidTr="00DF5B90">
        <w:trPr>
          <w:trHeight w:val="20"/>
          <w:jc w:val="center"/>
        </w:trPr>
        <w:tc>
          <w:tcPr>
            <w:tcW w:w="3420" w:type="dxa"/>
            <w:vAlign w:val="bottom"/>
            <w:hideMark/>
          </w:tcPr>
          <w:p w14:paraId="4B1BB965"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XAU to V KLSE</w:t>
            </w:r>
          </w:p>
        </w:tc>
        <w:tc>
          <w:tcPr>
            <w:tcW w:w="1710" w:type="dxa"/>
            <w:vAlign w:val="center"/>
            <w:hideMark/>
          </w:tcPr>
          <w:p w14:paraId="01A4270B"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19.30308</w:t>
            </w:r>
          </w:p>
        </w:tc>
        <w:tc>
          <w:tcPr>
            <w:tcW w:w="1620" w:type="dxa"/>
            <w:vAlign w:val="center"/>
            <w:hideMark/>
          </w:tcPr>
          <w:p w14:paraId="117A9230"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0.0001</w:t>
            </w:r>
          </w:p>
        </w:tc>
        <w:tc>
          <w:tcPr>
            <w:tcW w:w="1540" w:type="dxa"/>
            <w:noWrap/>
            <w:vAlign w:val="center"/>
            <w:hideMark/>
          </w:tcPr>
          <w:p w14:paraId="2646EFF7"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46E41D5C" w14:textId="77777777" w:rsidTr="00DF5B90">
        <w:trPr>
          <w:trHeight w:val="20"/>
          <w:jc w:val="center"/>
        </w:trPr>
        <w:tc>
          <w:tcPr>
            <w:tcW w:w="3420" w:type="dxa"/>
            <w:vAlign w:val="bottom"/>
            <w:hideMark/>
          </w:tcPr>
          <w:p w14:paraId="1E11EB38"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XAU to V PSEi</w:t>
            </w:r>
          </w:p>
        </w:tc>
        <w:tc>
          <w:tcPr>
            <w:tcW w:w="1710" w:type="dxa"/>
            <w:vAlign w:val="center"/>
            <w:hideMark/>
          </w:tcPr>
          <w:p w14:paraId="3079973A"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21.86189</w:t>
            </w:r>
          </w:p>
        </w:tc>
        <w:tc>
          <w:tcPr>
            <w:tcW w:w="1620" w:type="dxa"/>
            <w:noWrap/>
            <w:vAlign w:val="center"/>
            <w:hideMark/>
          </w:tcPr>
          <w:p w14:paraId="43AB6007"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208FC778"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2870C89B" w14:textId="77777777" w:rsidTr="00DF5B90">
        <w:trPr>
          <w:trHeight w:val="20"/>
          <w:jc w:val="center"/>
        </w:trPr>
        <w:tc>
          <w:tcPr>
            <w:tcW w:w="3420" w:type="dxa"/>
            <w:vAlign w:val="bottom"/>
            <w:hideMark/>
          </w:tcPr>
          <w:p w14:paraId="3847394D"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XAU to V STI</w:t>
            </w:r>
          </w:p>
        </w:tc>
        <w:tc>
          <w:tcPr>
            <w:tcW w:w="1710" w:type="dxa"/>
            <w:vAlign w:val="center"/>
            <w:hideMark/>
          </w:tcPr>
          <w:p w14:paraId="1F6E0183"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24.38700</w:t>
            </w:r>
          </w:p>
        </w:tc>
        <w:tc>
          <w:tcPr>
            <w:tcW w:w="1620" w:type="dxa"/>
            <w:vAlign w:val="center"/>
            <w:hideMark/>
          </w:tcPr>
          <w:p w14:paraId="5A3CBD74"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673CF430"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4EACB41D" w14:textId="77777777" w:rsidTr="00DF5B90">
        <w:trPr>
          <w:trHeight w:val="20"/>
          <w:jc w:val="center"/>
        </w:trPr>
        <w:tc>
          <w:tcPr>
            <w:tcW w:w="3420" w:type="dxa"/>
            <w:vAlign w:val="bottom"/>
            <w:hideMark/>
          </w:tcPr>
          <w:p w14:paraId="09CC9CC2"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XAU to V SETI</w:t>
            </w:r>
          </w:p>
        </w:tc>
        <w:tc>
          <w:tcPr>
            <w:tcW w:w="1710" w:type="dxa"/>
            <w:vAlign w:val="center"/>
            <w:hideMark/>
          </w:tcPr>
          <w:p w14:paraId="09A665AB"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21.82829</w:t>
            </w:r>
          </w:p>
        </w:tc>
        <w:tc>
          <w:tcPr>
            <w:tcW w:w="1620" w:type="dxa"/>
            <w:noWrap/>
            <w:vAlign w:val="center"/>
            <w:hideMark/>
          </w:tcPr>
          <w:p w14:paraId="4F970485"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6F955361"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7E2F1808" w14:textId="77777777" w:rsidTr="00DF5B90">
        <w:trPr>
          <w:trHeight w:val="20"/>
          <w:jc w:val="center"/>
        </w:trPr>
        <w:tc>
          <w:tcPr>
            <w:tcW w:w="3420" w:type="dxa"/>
            <w:vAlign w:val="bottom"/>
            <w:hideMark/>
          </w:tcPr>
          <w:p w14:paraId="52868A63"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XAU to V VN30</w:t>
            </w:r>
          </w:p>
        </w:tc>
        <w:tc>
          <w:tcPr>
            <w:tcW w:w="1710" w:type="dxa"/>
            <w:vAlign w:val="center"/>
            <w:hideMark/>
          </w:tcPr>
          <w:p w14:paraId="0E77C73E"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24.52903</w:t>
            </w:r>
          </w:p>
        </w:tc>
        <w:tc>
          <w:tcPr>
            <w:tcW w:w="1620" w:type="dxa"/>
            <w:noWrap/>
            <w:vAlign w:val="center"/>
            <w:hideMark/>
          </w:tcPr>
          <w:p w14:paraId="24234FBF"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79B70B08"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101286F3" w14:textId="77777777" w:rsidTr="00DF5B90">
        <w:trPr>
          <w:trHeight w:val="20"/>
          <w:jc w:val="center"/>
        </w:trPr>
        <w:tc>
          <w:tcPr>
            <w:tcW w:w="3420" w:type="dxa"/>
            <w:vAlign w:val="bottom"/>
            <w:hideMark/>
          </w:tcPr>
          <w:p w14:paraId="6FB9DAEC"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XAU to V LSX</w:t>
            </w:r>
          </w:p>
        </w:tc>
        <w:tc>
          <w:tcPr>
            <w:tcW w:w="1710" w:type="dxa"/>
            <w:vAlign w:val="center"/>
            <w:hideMark/>
          </w:tcPr>
          <w:p w14:paraId="48107EDA"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15.60584</w:t>
            </w:r>
          </w:p>
        </w:tc>
        <w:tc>
          <w:tcPr>
            <w:tcW w:w="1620" w:type="dxa"/>
            <w:noWrap/>
            <w:vAlign w:val="center"/>
            <w:hideMark/>
          </w:tcPr>
          <w:p w14:paraId="3BDF596C"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0.0004</w:t>
            </w:r>
          </w:p>
        </w:tc>
        <w:tc>
          <w:tcPr>
            <w:tcW w:w="1540" w:type="dxa"/>
            <w:noWrap/>
            <w:vAlign w:val="center"/>
            <w:hideMark/>
          </w:tcPr>
          <w:p w14:paraId="0276511D"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612EFBA1" w14:textId="77777777" w:rsidTr="00DF5B90">
        <w:trPr>
          <w:trHeight w:val="20"/>
          <w:jc w:val="center"/>
        </w:trPr>
        <w:tc>
          <w:tcPr>
            <w:tcW w:w="3420" w:type="dxa"/>
            <w:vAlign w:val="bottom"/>
            <w:hideMark/>
          </w:tcPr>
          <w:p w14:paraId="31CFE1B6"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XAU to V Nikkei</w:t>
            </w:r>
          </w:p>
        </w:tc>
        <w:tc>
          <w:tcPr>
            <w:tcW w:w="1710" w:type="dxa"/>
            <w:vAlign w:val="center"/>
            <w:hideMark/>
          </w:tcPr>
          <w:p w14:paraId="0F12CDE6"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23.39937</w:t>
            </w:r>
          </w:p>
        </w:tc>
        <w:tc>
          <w:tcPr>
            <w:tcW w:w="1620" w:type="dxa"/>
            <w:noWrap/>
            <w:vAlign w:val="center"/>
            <w:hideMark/>
          </w:tcPr>
          <w:p w14:paraId="5F71AEAB"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2746C637"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2E930525" w14:textId="77777777" w:rsidTr="00DF5B90">
        <w:trPr>
          <w:trHeight w:val="20"/>
          <w:jc w:val="center"/>
        </w:trPr>
        <w:tc>
          <w:tcPr>
            <w:tcW w:w="3420" w:type="dxa"/>
            <w:vAlign w:val="bottom"/>
            <w:hideMark/>
          </w:tcPr>
          <w:p w14:paraId="62782C8C"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XAU to V Kospi</w:t>
            </w:r>
          </w:p>
        </w:tc>
        <w:tc>
          <w:tcPr>
            <w:tcW w:w="1710" w:type="dxa"/>
            <w:vAlign w:val="center"/>
            <w:hideMark/>
          </w:tcPr>
          <w:p w14:paraId="3751E7A1"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21.39442</w:t>
            </w:r>
          </w:p>
        </w:tc>
        <w:tc>
          <w:tcPr>
            <w:tcW w:w="1620" w:type="dxa"/>
            <w:noWrap/>
            <w:vAlign w:val="center"/>
            <w:hideMark/>
          </w:tcPr>
          <w:p w14:paraId="5C2FCD20"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30DD22F6"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1ADBC986" w14:textId="77777777" w:rsidTr="00DF5B90">
        <w:trPr>
          <w:trHeight w:val="20"/>
          <w:jc w:val="center"/>
        </w:trPr>
        <w:tc>
          <w:tcPr>
            <w:tcW w:w="3420" w:type="dxa"/>
            <w:vAlign w:val="bottom"/>
            <w:hideMark/>
          </w:tcPr>
          <w:p w14:paraId="593924BF"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XAU to V SSEC</w:t>
            </w:r>
          </w:p>
        </w:tc>
        <w:tc>
          <w:tcPr>
            <w:tcW w:w="1710" w:type="dxa"/>
            <w:vAlign w:val="center"/>
            <w:hideMark/>
          </w:tcPr>
          <w:p w14:paraId="00439818"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22.24005</w:t>
            </w:r>
          </w:p>
        </w:tc>
        <w:tc>
          <w:tcPr>
            <w:tcW w:w="1620" w:type="dxa"/>
            <w:noWrap/>
            <w:vAlign w:val="center"/>
            <w:hideMark/>
          </w:tcPr>
          <w:p w14:paraId="3C2E88FE"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604A3B8F"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3E704684" w14:textId="77777777" w:rsidTr="00DF5B90">
        <w:trPr>
          <w:trHeight w:val="20"/>
          <w:jc w:val="center"/>
        </w:trPr>
        <w:tc>
          <w:tcPr>
            <w:tcW w:w="3420" w:type="dxa"/>
            <w:tcBorders>
              <w:top w:val="single" w:sz="4" w:space="0" w:color="auto"/>
              <w:left w:val="nil"/>
              <w:bottom w:val="nil"/>
              <w:right w:val="nil"/>
            </w:tcBorders>
            <w:vAlign w:val="bottom"/>
            <w:hideMark/>
          </w:tcPr>
          <w:p w14:paraId="7CCED4B8"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DXY to V JKSE</w:t>
            </w:r>
          </w:p>
        </w:tc>
        <w:tc>
          <w:tcPr>
            <w:tcW w:w="1710" w:type="dxa"/>
            <w:tcBorders>
              <w:top w:val="single" w:sz="4" w:space="0" w:color="auto"/>
              <w:left w:val="nil"/>
              <w:bottom w:val="nil"/>
              <w:right w:val="nil"/>
            </w:tcBorders>
            <w:vAlign w:val="center"/>
            <w:hideMark/>
          </w:tcPr>
          <w:p w14:paraId="25C39C25"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24.24458</w:t>
            </w:r>
          </w:p>
        </w:tc>
        <w:tc>
          <w:tcPr>
            <w:tcW w:w="1620" w:type="dxa"/>
            <w:tcBorders>
              <w:top w:val="single" w:sz="4" w:space="0" w:color="auto"/>
              <w:left w:val="nil"/>
              <w:bottom w:val="nil"/>
              <w:right w:val="nil"/>
            </w:tcBorders>
            <w:noWrap/>
            <w:vAlign w:val="center"/>
            <w:hideMark/>
          </w:tcPr>
          <w:p w14:paraId="5C49F050"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tcBorders>
              <w:top w:val="single" w:sz="4" w:space="0" w:color="auto"/>
              <w:left w:val="nil"/>
              <w:bottom w:val="nil"/>
              <w:right w:val="nil"/>
            </w:tcBorders>
            <w:noWrap/>
            <w:vAlign w:val="center"/>
            <w:hideMark/>
          </w:tcPr>
          <w:p w14:paraId="1B9501BC"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5EB0E3E8" w14:textId="77777777" w:rsidTr="00DF5B90">
        <w:trPr>
          <w:trHeight w:val="20"/>
          <w:jc w:val="center"/>
        </w:trPr>
        <w:tc>
          <w:tcPr>
            <w:tcW w:w="3420" w:type="dxa"/>
            <w:vAlign w:val="bottom"/>
            <w:hideMark/>
          </w:tcPr>
          <w:p w14:paraId="744DF8C9"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DXY to V KLSE</w:t>
            </w:r>
          </w:p>
        </w:tc>
        <w:tc>
          <w:tcPr>
            <w:tcW w:w="1710" w:type="dxa"/>
            <w:vAlign w:val="center"/>
            <w:hideMark/>
          </w:tcPr>
          <w:p w14:paraId="6E4E381E"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13.02286</w:t>
            </w:r>
          </w:p>
        </w:tc>
        <w:tc>
          <w:tcPr>
            <w:tcW w:w="1620" w:type="dxa"/>
            <w:noWrap/>
            <w:vAlign w:val="center"/>
            <w:hideMark/>
          </w:tcPr>
          <w:p w14:paraId="49CBD5E7"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0.0015</w:t>
            </w:r>
          </w:p>
        </w:tc>
        <w:tc>
          <w:tcPr>
            <w:tcW w:w="1540" w:type="dxa"/>
            <w:noWrap/>
            <w:vAlign w:val="center"/>
            <w:hideMark/>
          </w:tcPr>
          <w:p w14:paraId="2BD9D443"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5023C9EC" w14:textId="77777777" w:rsidTr="00DF5B90">
        <w:trPr>
          <w:trHeight w:val="20"/>
          <w:jc w:val="center"/>
        </w:trPr>
        <w:tc>
          <w:tcPr>
            <w:tcW w:w="3420" w:type="dxa"/>
            <w:vAlign w:val="bottom"/>
            <w:hideMark/>
          </w:tcPr>
          <w:p w14:paraId="432425C1"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DXY to V PSEi</w:t>
            </w:r>
          </w:p>
        </w:tc>
        <w:tc>
          <w:tcPr>
            <w:tcW w:w="1710" w:type="dxa"/>
            <w:vAlign w:val="center"/>
            <w:hideMark/>
          </w:tcPr>
          <w:p w14:paraId="5CC93B39"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22.16161</w:t>
            </w:r>
          </w:p>
        </w:tc>
        <w:tc>
          <w:tcPr>
            <w:tcW w:w="1620" w:type="dxa"/>
            <w:noWrap/>
            <w:vAlign w:val="center"/>
            <w:hideMark/>
          </w:tcPr>
          <w:p w14:paraId="2EF1D8F1"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0F1C6A39"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227D1E19" w14:textId="77777777" w:rsidTr="00DF5B90">
        <w:trPr>
          <w:trHeight w:val="20"/>
          <w:jc w:val="center"/>
        </w:trPr>
        <w:tc>
          <w:tcPr>
            <w:tcW w:w="3420" w:type="dxa"/>
            <w:vAlign w:val="bottom"/>
            <w:hideMark/>
          </w:tcPr>
          <w:p w14:paraId="08064BF0"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DXY to V STI</w:t>
            </w:r>
          </w:p>
        </w:tc>
        <w:tc>
          <w:tcPr>
            <w:tcW w:w="1710" w:type="dxa"/>
            <w:vAlign w:val="center"/>
            <w:hideMark/>
          </w:tcPr>
          <w:p w14:paraId="749BEA8F"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18.17554</w:t>
            </w:r>
          </w:p>
        </w:tc>
        <w:tc>
          <w:tcPr>
            <w:tcW w:w="1620" w:type="dxa"/>
            <w:noWrap/>
            <w:vAlign w:val="center"/>
            <w:hideMark/>
          </w:tcPr>
          <w:p w14:paraId="1C826EE1"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0.0001</w:t>
            </w:r>
          </w:p>
        </w:tc>
        <w:tc>
          <w:tcPr>
            <w:tcW w:w="1540" w:type="dxa"/>
            <w:noWrap/>
            <w:vAlign w:val="center"/>
            <w:hideMark/>
          </w:tcPr>
          <w:p w14:paraId="52E47C30"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3DDE6E5F" w14:textId="77777777" w:rsidTr="00DF5B90">
        <w:trPr>
          <w:trHeight w:val="20"/>
          <w:jc w:val="center"/>
        </w:trPr>
        <w:tc>
          <w:tcPr>
            <w:tcW w:w="3420" w:type="dxa"/>
            <w:vAlign w:val="bottom"/>
            <w:hideMark/>
          </w:tcPr>
          <w:p w14:paraId="34F864B2"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DXY to V SETI</w:t>
            </w:r>
          </w:p>
        </w:tc>
        <w:tc>
          <w:tcPr>
            <w:tcW w:w="1710" w:type="dxa"/>
            <w:vAlign w:val="center"/>
            <w:hideMark/>
          </w:tcPr>
          <w:p w14:paraId="383BE2AC"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18.38645</w:t>
            </w:r>
          </w:p>
        </w:tc>
        <w:tc>
          <w:tcPr>
            <w:tcW w:w="1620" w:type="dxa"/>
            <w:noWrap/>
            <w:vAlign w:val="center"/>
            <w:hideMark/>
          </w:tcPr>
          <w:p w14:paraId="6C73AA70"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0.0001</w:t>
            </w:r>
          </w:p>
        </w:tc>
        <w:tc>
          <w:tcPr>
            <w:tcW w:w="1540" w:type="dxa"/>
            <w:noWrap/>
            <w:vAlign w:val="center"/>
            <w:hideMark/>
          </w:tcPr>
          <w:p w14:paraId="2C5E6F3E"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523F6554" w14:textId="77777777" w:rsidTr="00DF5B90">
        <w:trPr>
          <w:trHeight w:val="20"/>
          <w:jc w:val="center"/>
        </w:trPr>
        <w:tc>
          <w:tcPr>
            <w:tcW w:w="3420" w:type="dxa"/>
            <w:vAlign w:val="bottom"/>
            <w:hideMark/>
          </w:tcPr>
          <w:p w14:paraId="193D0BFB"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DXY to V VN30</w:t>
            </w:r>
          </w:p>
        </w:tc>
        <w:tc>
          <w:tcPr>
            <w:tcW w:w="1710" w:type="dxa"/>
            <w:vAlign w:val="center"/>
            <w:hideMark/>
          </w:tcPr>
          <w:p w14:paraId="56014B03"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24.54598</w:t>
            </w:r>
          </w:p>
        </w:tc>
        <w:tc>
          <w:tcPr>
            <w:tcW w:w="1620" w:type="dxa"/>
            <w:vAlign w:val="center"/>
            <w:hideMark/>
          </w:tcPr>
          <w:p w14:paraId="0AA7A017"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5BB53858"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6258AE1D" w14:textId="77777777" w:rsidTr="00DF5B90">
        <w:trPr>
          <w:trHeight w:val="20"/>
          <w:jc w:val="center"/>
        </w:trPr>
        <w:tc>
          <w:tcPr>
            <w:tcW w:w="3420" w:type="dxa"/>
            <w:vAlign w:val="bottom"/>
            <w:hideMark/>
          </w:tcPr>
          <w:p w14:paraId="651F2DCA"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DXY to V LSX</w:t>
            </w:r>
          </w:p>
        </w:tc>
        <w:tc>
          <w:tcPr>
            <w:tcW w:w="1710" w:type="dxa"/>
            <w:vAlign w:val="center"/>
            <w:hideMark/>
          </w:tcPr>
          <w:p w14:paraId="782C9C42"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21.90163</w:t>
            </w:r>
          </w:p>
        </w:tc>
        <w:tc>
          <w:tcPr>
            <w:tcW w:w="1620" w:type="dxa"/>
            <w:noWrap/>
            <w:vAlign w:val="center"/>
            <w:hideMark/>
          </w:tcPr>
          <w:p w14:paraId="6273962C"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0754FC1E"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7BE4142F" w14:textId="77777777" w:rsidTr="00DF5B90">
        <w:trPr>
          <w:trHeight w:val="20"/>
          <w:jc w:val="center"/>
        </w:trPr>
        <w:tc>
          <w:tcPr>
            <w:tcW w:w="3420" w:type="dxa"/>
            <w:vAlign w:val="bottom"/>
            <w:hideMark/>
          </w:tcPr>
          <w:p w14:paraId="7F1C769B"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DXY to V Nikkei</w:t>
            </w:r>
          </w:p>
        </w:tc>
        <w:tc>
          <w:tcPr>
            <w:tcW w:w="1710" w:type="dxa"/>
            <w:vAlign w:val="center"/>
            <w:hideMark/>
          </w:tcPr>
          <w:p w14:paraId="01FF23FB"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21.70320</w:t>
            </w:r>
          </w:p>
        </w:tc>
        <w:tc>
          <w:tcPr>
            <w:tcW w:w="1620" w:type="dxa"/>
            <w:noWrap/>
            <w:vAlign w:val="center"/>
            <w:hideMark/>
          </w:tcPr>
          <w:p w14:paraId="3413F77A"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7D09CC00"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226FE41F" w14:textId="77777777" w:rsidTr="00DF5B90">
        <w:trPr>
          <w:trHeight w:val="20"/>
          <w:jc w:val="center"/>
        </w:trPr>
        <w:tc>
          <w:tcPr>
            <w:tcW w:w="3420" w:type="dxa"/>
            <w:vAlign w:val="bottom"/>
            <w:hideMark/>
          </w:tcPr>
          <w:p w14:paraId="77E73666"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DXY to V Kospi</w:t>
            </w:r>
          </w:p>
        </w:tc>
        <w:tc>
          <w:tcPr>
            <w:tcW w:w="1710" w:type="dxa"/>
            <w:vAlign w:val="center"/>
            <w:hideMark/>
          </w:tcPr>
          <w:p w14:paraId="7C1ED379"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17.81468</w:t>
            </w:r>
          </w:p>
        </w:tc>
        <w:tc>
          <w:tcPr>
            <w:tcW w:w="1620" w:type="dxa"/>
            <w:noWrap/>
            <w:vAlign w:val="center"/>
            <w:hideMark/>
          </w:tcPr>
          <w:p w14:paraId="45A3C2DE"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0.0001</w:t>
            </w:r>
          </w:p>
        </w:tc>
        <w:tc>
          <w:tcPr>
            <w:tcW w:w="1540" w:type="dxa"/>
            <w:noWrap/>
            <w:vAlign w:val="center"/>
            <w:hideMark/>
          </w:tcPr>
          <w:p w14:paraId="36778681"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1AE35763" w14:textId="77777777" w:rsidTr="00DF5B90">
        <w:trPr>
          <w:trHeight w:val="20"/>
          <w:jc w:val="center"/>
        </w:trPr>
        <w:tc>
          <w:tcPr>
            <w:tcW w:w="3420" w:type="dxa"/>
            <w:tcBorders>
              <w:top w:val="nil"/>
              <w:left w:val="nil"/>
              <w:bottom w:val="single" w:sz="4" w:space="0" w:color="auto"/>
              <w:right w:val="nil"/>
            </w:tcBorders>
            <w:vAlign w:val="bottom"/>
            <w:hideMark/>
          </w:tcPr>
          <w:p w14:paraId="398F4A43"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DXY to V SSEC</w:t>
            </w:r>
          </w:p>
        </w:tc>
        <w:tc>
          <w:tcPr>
            <w:tcW w:w="1710" w:type="dxa"/>
            <w:tcBorders>
              <w:top w:val="nil"/>
              <w:left w:val="nil"/>
              <w:bottom w:val="single" w:sz="4" w:space="0" w:color="auto"/>
              <w:right w:val="nil"/>
            </w:tcBorders>
            <w:vAlign w:val="center"/>
            <w:hideMark/>
          </w:tcPr>
          <w:p w14:paraId="4920AD61"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21.75964</w:t>
            </w:r>
          </w:p>
        </w:tc>
        <w:tc>
          <w:tcPr>
            <w:tcW w:w="1620" w:type="dxa"/>
            <w:tcBorders>
              <w:top w:val="nil"/>
              <w:left w:val="nil"/>
              <w:bottom w:val="single" w:sz="4" w:space="0" w:color="auto"/>
              <w:right w:val="nil"/>
            </w:tcBorders>
            <w:noWrap/>
            <w:vAlign w:val="center"/>
            <w:hideMark/>
          </w:tcPr>
          <w:p w14:paraId="05A82F32"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tcBorders>
              <w:top w:val="nil"/>
              <w:left w:val="nil"/>
              <w:bottom w:val="single" w:sz="4" w:space="0" w:color="auto"/>
              <w:right w:val="nil"/>
            </w:tcBorders>
            <w:noWrap/>
            <w:vAlign w:val="center"/>
            <w:hideMark/>
          </w:tcPr>
          <w:p w14:paraId="2027332F"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0ABF185A" w14:textId="77777777" w:rsidTr="00DF5B90">
        <w:trPr>
          <w:trHeight w:val="20"/>
          <w:jc w:val="center"/>
        </w:trPr>
        <w:tc>
          <w:tcPr>
            <w:tcW w:w="3420" w:type="dxa"/>
            <w:tcBorders>
              <w:top w:val="single" w:sz="8" w:space="0" w:color="auto"/>
              <w:left w:val="nil"/>
              <w:bottom w:val="single" w:sz="8" w:space="0" w:color="auto"/>
              <w:right w:val="nil"/>
            </w:tcBorders>
            <w:vAlign w:val="center"/>
            <w:hideMark/>
          </w:tcPr>
          <w:p w14:paraId="1E9C251E" w14:textId="33ACF3E8" w:rsidR="00DF5B90" w:rsidRPr="00DF5B90" w:rsidRDefault="006E23DC" w:rsidP="00DF5B90">
            <w:pPr>
              <w:spacing w:after="0" w:line="240" w:lineRule="auto"/>
              <w:rPr>
                <w:rFonts w:asciiTheme="minorHAnsi" w:eastAsia="Times New Roman" w:hAnsiTheme="minorHAnsi" w:cstheme="minorHAnsi"/>
                <w:b/>
                <w:bCs/>
                <w:color w:val="000000"/>
                <w:lang w:val="id-ID"/>
              </w:rPr>
            </w:pPr>
            <w:r>
              <w:rPr>
                <w:rFonts w:asciiTheme="minorHAnsi" w:eastAsia="Times New Roman" w:hAnsiTheme="minorHAnsi" w:cstheme="minorHAnsi"/>
                <w:b/>
                <w:bCs/>
                <w:color w:val="000000"/>
                <w:lang w:val="id-ID"/>
              </w:rPr>
              <w:t xml:space="preserve">During </w:t>
            </w:r>
            <w:r w:rsidR="00DF5B90" w:rsidRPr="00DF5B90">
              <w:rPr>
                <w:rFonts w:asciiTheme="minorHAnsi" w:eastAsia="Times New Roman" w:hAnsiTheme="minorHAnsi" w:cstheme="minorHAnsi"/>
                <w:b/>
                <w:bCs/>
                <w:color w:val="000000"/>
                <w:lang w:val="id-ID"/>
              </w:rPr>
              <w:t>Hamas-Israel</w:t>
            </w:r>
            <w:r>
              <w:rPr>
                <w:rFonts w:asciiTheme="minorHAnsi" w:eastAsia="Times New Roman" w:hAnsiTheme="minorHAnsi" w:cstheme="minorHAnsi"/>
                <w:b/>
                <w:bCs/>
                <w:color w:val="000000"/>
                <w:lang w:val="id-ID"/>
              </w:rPr>
              <w:t xml:space="preserve"> Conflict</w:t>
            </w:r>
          </w:p>
        </w:tc>
        <w:tc>
          <w:tcPr>
            <w:tcW w:w="1710" w:type="dxa"/>
            <w:tcBorders>
              <w:top w:val="single" w:sz="8" w:space="0" w:color="auto"/>
              <w:left w:val="nil"/>
              <w:bottom w:val="single" w:sz="8" w:space="0" w:color="auto"/>
              <w:right w:val="nil"/>
            </w:tcBorders>
            <w:vAlign w:val="center"/>
            <w:hideMark/>
          </w:tcPr>
          <w:p w14:paraId="6748B38E"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Jarque-Bera</w:t>
            </w:r>
          </w:p>
        </w:tc>
        <w:tc>
          <w:tcPr>
            <w:tcW w:w="1620" w:type="dxa"/>
            <w:tcBorders>
              <w:top w:val="single" w:sz="8" w:space="0" w:color="auto"/>
              <w:left w:val="nil"/>
              <w:bottom w:val="single" w:sz="8" w:space="0" w:color="auto"/>
              <w:right w:val="nil"/>
            </w:tcBorders>
            <w:noWrap/>
            <w:vAlign w:val="center"/>
            <w:hideMark/>
          </w:tcPr>
          <w:p w14:paraId="6B1D4F9C"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Prob.</w:t>
            </w:r>
          </w:p>
        </w:tc>
        <w:tc>
          <w:tcPr>
            <w:tcW w:w="1540" w:type="dxa"/>
            <w:tcBorders>
              <w:top w:val="single" w:sz="8" w:space="0" w:color="auto"/>
              <w:left w:val="nil"/>
              <w:bottom w:val="single" w:sz="8" w:space="0" w:color="auto"/>
              <w:right w:val="nil"/>
            </w:tcBorders>
            <w:noWrap/>
            <w:vAlign w:val="center"/>
            <w:hideMark/>
          </w:tcPr>
          <w:p w14:paraId="5E840BA1"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Model</w:t>
            </w:r>
          </w:p>
        </w:tc>
      </w:tr>
      <w:tr w:rsidR="00DF5B90" w:rsidRPr="00DF5B90" w14:paraId="6FBAAB09" w14:textId="77777777" w:rsidTr="00DF5B90">
        <w:trPr>
          <w:trHeight w:val="20"/>
          <w:jc w:val="center"/>
        </w:trPr>
        <w:tc>
          <w:tcPr>
            <w:tcW w:w="3420" w:type="dxa"/>
            <w:tcBorders>
              <w:top w:val="single" w:sz="4" w:space="0" w:color="auto"/>
              <w:left w:val="nil"/>
              <w:bottom w:val="nil"/>
              <w:right w:val="nil"/>
            </w:tcBorders>
            <w:vAlign w:val="bottom"/>
            <w:hideMark/>
          </w:tcPr>
          <w:p w14:paraId="6015E7A5"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XAU to V JKSE</w:t>
            </w:r>
          </w:p>
        </w:tc>
        <w:tc>
          <w:tcPr>
            <w:tcW w:w="1710" w:type="dxa"/>
            <w:vAlign w:val="center"/>
            <w:hideMark/>
          </w:tcPr>
          <w:p w14:paraId="43649290"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110.34500</w:t>
            </w:r>
          </w:p>
        </w:tc>
        <w:tc>
          <w:tcPr>
            <w:tcW w:w="1620" w:type="dxa"/>
            <w:noWrap/>
            <w:vAlign w:val="center"/>
            <w:hideMark/>
          </w:tcPr>
          <w:p w14:paraId="04576E31"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292AF30B"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09D88B0A" w14:textId="77777777" w:rsidTr="00DF5B90">
        <w:trPr>
          <w:trHeight w:val="20"/>
          <w:jc w:val="center"/>
        </w:trPr>
        <w:tc>
          <w:tcPr>
            <w:tcW w:w="3420" w:type="dxa"/>
            <w:vAlign w:val="bottom"/>
            <w:hideMark/>
          </w:tcPr>
          <w:p w14:paraId="67406164"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XAU to V KLSE</w:t>
            </w:r>
          </w:p>
        </w:tc>
        <w:tc>
          <w:tcPr>
            <w:tcW w:w="1710" w:type="dxa"/>
            <w:vAlign w:val="center"/>
            <w:hideMark/>
          </w:tcPr>
          <w:p w14:paraId="2BE5338A"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109.80840</w:t>
            </w:r>
          </w:p>
        </w:tc>
        <w:tc>
          <w:tcPr>
            <w:tcW w:w="1620" w:type="dxa"/>
            <w:noWrap/>
            <w:vAlign w:val="center"/>
            <w:hideMark/>
          </w:tcPr>
          <w:p w14:paraId="12F6F26D"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26BF0967"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4CFEE321" w14:textId="77777777" w:rsidTr="00DF5B90">
        <w:trPr>
          <w:trHeight w:val="20"/>
          <w:jc w:val="center"/>
        </w:trPr>
        <w:tc>
          <w:tcPr>
            <w:tcW w:w="3420" w:type="dxa"/>
            <w:vAlign w:val="bottom"/>
            <w:hideMark/>
          </w:tcPr>
          <w:p w14:paraId="535AB135"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XAU to V PSEi</w:t>
            </w:r>
          </w:p>
        </w:tc>
        <w:tc>
          <w:tcPr>
            <w:tcW w:w="1710" w:type="dxa"/>
            <w:vAlign w:val="center"/>
            <w:hideMark/>
          </w:tcPr>
          <w:p w14:paraId="594D2F65"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77.73817</w:t>
            </w:r>
          </w:p>
        </w:tc>
        <w:tc>
          <w:tcPr>
            <w:tcW w:w="1620" w:type="dxa"/>
            <w:vAlign w:val="center"/>
            <w:hideMark/>
          </w:tcPr>
          <w:p w14:paraId="01201A2D"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4798D3B7"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7B2F0E19" w14:textId="77777777" w:rsidTr="00DF5B90">
        <w:trPr>
          <w:trHeight w:val="20"/>
          <w:jc w:val="center"/>
        </w:trPr>
        <w:tc>
          <w:tcPr>
            <w:tcW w:w="3420" w:type="dxa"/>
            <w:vAlign w:val="bottom"/>
            <w:hideMark/>
          </w:tcPr>
          <w:p w14:paraId="695C5183"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XAU to V STI</w:t>
            </w:r>
          </w:p>
        </w:tc>
        <w:tc>
          <w:tcPr>
            <w:tcW w:w="1710" w:type="dxa"/>
            <w:vAlign w:val="center"/>
            <w:hideMark/>
          </w:tcPr>
          <w:p w14:paraId="15AFF758"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109.98860</w:t>
            </w:r>
          </w:p>
        </w:tc>
        <w:tc>
          <w:tcPr>
            <w:tcW w:w="1620" w:type="dxa"/>
            <w:noWrap/>
            <w:vAlign w:val="center"/>
            <w:hideMark/>
          </w:tcPr>
          <w:p w14:paraId="1AB09BE6"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0459917D"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14D603C8" w14:textId="77777777" w:rsidTr="00DF5B90">
        <w:trPr>
          <w:trHeight w:val="20"/>
          <w:jc w:val="center"/>
        </w:trPr>
        <w:tc>
          <w:tcPr>
            <w:tcW w:w="3420" w:type="dxa"/>
            <w:vAlign w:val="bottom"/>
            <w:hideMark/>
          </w:tcPr>
          <w:p w14:paraId="573CBCEE"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XAU to V SETI</w:t>
            </w:r>
          </w:p>
        </w:tc>
        <w:tc>
          <w:tcPr>
            <w:tcW w:w="1710" w:type="dxa"/>
            <w:vAlign w:val="center"/>
            <w:hideMark/>
          </w:tcPr>
          <w:p w14:paraId="5028ED5F"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57.51811</w:t>
            </w:r>
          </w:p>
        </w:tc>
        <w:tc>
          <w:tcPr>
            <w:tcW w:w="1620" w:type="dxa"/>
            <w:noWrap/>
            <w:vAlign w:val="center"/>
            <w:hideMark/>
          </w:tcPr>
          <w:p w14:paraId="4D273977"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74D46FE8"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4E94DA30" w14:textId="77777777" w:rsidTr="00DF5B90">
        <w:trPr>
          <w:trHeight w:val="20"/>
          <w:jc w:val="center"/>
        </w:trPr>
        <w:tc>
          <w:tcPr>
            <w:tcW w:w="3420" w:type="dxa"/>
            <w:vAlign w:val="bottom"/>
            <w:hideMark/>
          </w:tcPr>
          <w:p w14:paraId="715BC3BB"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XAU to V VN30</w:t>
            </w:r>
          </w:p>
        </w:tc>
        <w:tc>
          <w:tcPr>
            <w:tcW w:w="1710" w:type="dxa"/>
            <w:vAlign w:val="center"/>
            <w:hideMark/>
          </w:tcPr>
          <w:p w14:paraId="6870BFFD"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113.80550</w:t>
            </w:r>
          </w:p>
        </w:tc>
        <w:tc>
          <w:tcPr>
            <w:tcW w:w="1620" w:type="dxa"/>
            <w:vAlign w:val="center"/>
            <w:hideMark/>
          </w:tcPr>
          <w:p w14:paraId="48822BD8"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44D8DCA1"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06BC89EE" w14:textId="77777777" w:rsidTr="00DF5B90">
        <w:trPr>
          <w:trHeight w:val="20"/>
          <w:jc w:val="center"/>
        </w:trPr>
        <w:tc>
          <w:tcPr>
            <w:tcW w:w="3420" w:type="dxa"/>
            <w:vAlign w:val="bottom"/>
            <w:hideMark/>
          </w:tcPr>
          <w:p w14:paraId="3F834B23"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XAU to V LSX</w:t>
            </w:r>
          </w:p>
        </w:tc>
        <w:tc>
          <w:tcPr>
            <w:tcW w:w="1710" w:type="dxa"/>
            <w:vAlign w:val="center"/>
            <w:hideMark/>
          </w:tcPr>
          <w:p w14:paraId="2AE6668B"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74.04591</w:t>
            </w:r>
          </w:p>
        </w:tc>
        <w:tc>
          <w:tcPr>
            <w:tcW w:w="1620" w:type="dxa"/>
            <w:noWrap/>
            <w:vAlign w:val="center"/>
            <w:hideMark/>
          </w:tcPr>
          <w:p w14:paraId="63F89A64"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5347DB7F"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6DB92C4B" w14:textId="77777777" w:rsidTr="00DF5B90">
        <w:trPr>
          <w:trHeight w:val="20"/>
          <w:jc w:val="center"/>
        </w:trPr>
        <w:tc>
          <w:tcPr>
            <w:tcW w:w="3420" w:type="dxa"/>
            <w:vAlign w:val="bottom"/>
            <w:hideMark/>
          </w:tcPr>
          <w:p w14:paraId="0A042D6E"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XAU to V Nikkei</w:t>
            </w:r>
          </w:p>
        </w:tc>
        <w:tc>
          <w:tcPr>
            <w:tcW w:w="1710" w:type="dxa"/>
            <w:vAlign w:val="center"/>
            <w:hideMark/>
          </w:tcPr>
          <w:p w14:paraId="5D4F90C1"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94.28037</w:t>
            </w:r>
          </w:p>
        </w:tc>
        <w:tc>
          <w:tcPr>
            <w:tcW w:w="1620" w:type="dxa"/>
            <w:noWrap/>
            <w:vAlign w:val="center"/>
            <w:hideMark/>
          </w:tcPr>
          <w:p w14:paraId="50711401"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1D1946AD"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3C44C0B8" w14:textId="77777777" w:rsidTr="00DF5B90">
        <w:trPr>
          <w:trHeight w:val="20"/>
          <w:jc w:val="center"/>
        </w:trPr>
        <w:tc>
          <w:tcPr>
            <w:tcW w:w="3420" w:type="dxa"/>
            <w:vAlign w:val="bottom"/>
            <w:hideMark/>
          </w:tcPr>
          <w:p w14:paraId="73E52417"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XAU to V Kospi</w:t>
            </w:r>
          </w:p>
        </w:tc>
        <w:tc>
          <w:tcPr>
            <w:tcW w:w="1710" w:type="dxa"/>
            <w:vAlign w:val="center"/>
            <w:hideMark/>
          </w:tcPr>
          <w:p w14:paraId="38A68775"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94.01787</w:t>
            </w:r>
          </w:p>
        </w:tc>
        <w:tc>
          <w:tcPr>
            <w:tcW w:w="1620" w:type="dxa"/>
            <w:noWrap/>
            <w:vAlign w:val="center"/>
            <w:hideMark/>
          </w:tcPr>
          <w:p w14:paraId="67A76C24"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1CEC9CB6"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186F7EEF" w14:textId="77777777" w:rsidTr="00DF5B90">
        <w:trPr>
          <w:trHeight w:val="20"/>
          <w:jc w:val="center"/>
        </w:trPr>
        <w:tc>
          <w:tcPr>
            <w:tcW w:w="3420" w:type="dxa"/>
            <w:tcBorders>
              <w:top w:val="nil"/>
              <w:left w:val="nil"/>
              <w:bottom w:val="single" w:sz="4" w:space="0" w:color="auto"/>
              <w:right w:val="nil"/>
            </w:tcBorders>
            <w:vAlign w:val="bottom"/>
            <w:hideMark/>
          </w:tcPr>
          <w:p w14:paraId="34A21B13"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XAU to V SSEC</w:t>
            </w:r>
          </w:p>
        </w:tc>
        <w:tc>
          <w:tcPr>
            <w:tcW w:w="1710" w:type="dxa"/>
            <w:tcBorders>
              <w:top w:val="nil"/>
              <w:left w:val="nil"/>
              <w:bottom w:val="single" w:sz="4" w:space="0" w:color="auto"/>
              <w:right w:val="nil"/>
            </w:tcBorders>
            <w:vAlign w:val="center"/>
            <w:hideMark/>
          </w:tcPr>
          <w:p w14:paraId="49F585A3"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107.12760</w:t>
            </w:r>
          </w:p>
        </w:tc>
        <w:tc>
          <w:tcPr>
            <w:tcW w:w="1620" w:type="dxa"/>
            <w:tcBorders>
              <w:top w:val="nil"/>
              <w:left w:val="nil"/>
              <w:bottom w:val="single" w:sz="4" w:space="0" w:color="auto"/>
              <w:right w:val="nil"/>
            </w:tcBorders>
            <w:noWrap/>
            <w:vAlign w:val="center"/>
            <w:hideMark/>
          </w:tcPr>
          <w:p w14:paraId="6B14A0F8"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tcBorders>
              <w:top w:val="nil"/>
              <w:left w:val="nil"/>
              <w:bottom w:val="single" w:sz="4" w:space="0" w:color="auto"/>
              <w:right w:val="nil"/>
            </w:tcBorders>
            <w:noWrap/>
            <w:vAlign w:val="center"/>
            <w:hideMark/>
          </w:tcPr>
          <w:p w14:paraId="1170335F"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6F3C9D4F" w14:textId="77777777" w:rsidTr="00DF5B90">
        <w:trPr>
          <w:trHeight w:val="20"/>
          <w:jc w:val="center"/>
        </w:trPr>
        <w:tc>
          <w:tcPr>
            <w:tcW w:w="3420" w:type="dxa"/>
            <w:vAlign w:val="bottom"/>
            <w:hideMark/>
          </w:tcPr>
          <w:p w14:paraId="08654BE1"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DXY to V JKSE</w:t>
            </w:r>
          </w:p>
        </w:tc>
        <w:tc>
          <w:tcPr>
            <w:tcW w:w="1710" w:type="dxa"/>
            <w:vAlign w:val="center"/>
            <w:hideMark/>
          </w:tcPr>
          <w:p w14:paraId="311C9AEE"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20.17894</w:t>
            </w:r>
          </w:p>
        </w:tc>
        <w:tc>
          <w:tcPr>
            <w:tcW w:w="1620" w:type="dxa"/>
            <w:noWrap/>
            <w:vAlign w:val="center"/>
            <w:hideMark/>
          </w:tcPr>
          <w:p w14:paraId="31706C09"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40ED6B5D"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70146A88" w14:textId="77777777" w:rsidTr="00DF5B90">
        <w:trPr>
          <w:trHeight w:val="20"/>
          <w:jc w:val="center"/>
        </w:trPr>
        <w:tc>
          <w:tcPr>
            <w:tcW w:w="3420" w:type="dxa"/>
            <w:vAlign w:val="bottom"/>
            <w:hideMark/>
          </w:tcPr>
          <w:p w14:paraId="036BC754"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DXY to V KLSE</w:t>
            </w:r>
          </w:p>
        </w:tc>
        <w:tc>
          <w:tcPr>
            <w:tcW w:w="1710" w:type="dxa"/>
            <w:vAlign w:val="center"/>
            <w:hideMark/>
          </w:tcPr>
          <w:p w14:paraId="58CA9D15"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25.91552</w:t>
            </w:r>
          </w:p>
        </w:tc>
        <w:tc>
          <w:tcPr>
            <w:tcW w:w="1620" w:type="dxa"/>
            <w:noWrap/>
            <w:vAlign w:val="center"/>
            <w:hideMark/>
          </w:tcPr>
          <w:p w14:paraId="6FF917FA"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4219BA7F"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510DFD3D" w14:textId="77777777" w:rsidTr="00DF5B90">
        <w:trPr>
          <w:trHeight w:val="20"/>
          <w:jc w:val="center"/>
        </w:trPr>
        <w:tc>
          <w:tcPr>
            <w:tcW w:w="3420" w:type="dxa"/>
            <w:vAlign w:val="bottom"/>
            <w:hideMark/>
          </w:tcPr>
          <w:p w14:paraId="5A47DFC9"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DXY to V PSEi</w:t>
            </w:r>
          </w:p>
        </w:tc>
        <w:tc>
          <w:tcPr>
            <w:tcW w:w="1710" w:type="dxa"/>
            <w:vAlign w:val="center"/>
            <w:hideMark/>
          </w:tcPr>
          <w:p w14:paraId="12610FF1"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36.16575</w:t>
            </w:r>
          </w:p>
        </w:tc>
        <w:tc>
          <w:tcPr>
            <w:tcW w:w="1620" w:type="dxa"/>
            <w:noWrap/>
            <w:vAlign w:val="center"/>
            <w:hideMark/>
          </w:tcPr>
          <w:p w14:paraId="30AD55F0"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04C6934F"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064A3B7A" w14:textId="77777777" w:rsidTr="00DF5B90">
        <w:trPr>
          <w:trHeight w:val="20"/>
          <w:jc w:val="center"/>
        </w:trPr>
        <w:tc>
          <w:tcPr>
            <w:tcW w:w="3420" w:type="dxa"/>
            <w:vAlign w:val="bottom"/>
            <w:hideMark/>
          </w:tcPr>
          <w:p w14:paraId="20B8E833"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DXY to V STI</w:t>
            </w:r>
          </w:p>
        </w:tc>
        <w:tc>
          <w:tcPr>
            <w:tcW w:w="1710" w:type="dxa"/>
            <w:vAlign w:val="center"/>
            <w:hideMark/>
          </w:tcPr>
          <w:p w14:paraId="70B0BA9A"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29.82524</w:t>
            </w:r>
          </w:p>
        </w:tc>
        <w:tc>
          <w:tcPr>
            <w:tcW w:w="1620" w:type="dxa"/>
            <w:noWrap/>
            <w:vAlign w:val="center"/>
            <w:hideMark/>
          </w:tcPr>
          <w:p w14:paraId="46F38A20"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0806C1EC"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5760A770" w14:textId="77777777" w:rsidTr="00DF5B90">
        <w:trPr>
          <w:trHeight w:val="20"/>
          <w:jc w:val="center"/>
        </w:trPr>
        <w:tc>
          <w:tcPr>
            <w:tcW w:w="3420" w:type="dxa"/>
            <w:vAlign w:val="bottom"/>
            <w:hideMark/>
          </w:tcPr>
          <w:p w14:paraId="68D86865"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DXY to V SETI</w:t>
            </w:r>
          </w:p>
        </w:tc>
        <w:tc>
          <w:tcPr>
            <w:tcW w:w="1710" w:type="dxa"/>
            <w:vAlign w:val="center"/>
            <w:hideMark/>
          </w:tcPr>
          <w:p w14:paraId="5129E9EB"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37.26904</w:t>
            </w:r>
          </w:p>
        </w:tc>
        <w:tc>
          <w:tcPr>
            <w:tcW w:w="1620" w:type="dxa"/>
            <w:noWrap/>
            <w:vAlign w:val="center"/>
            <w:hideMark/>
          </w:tcPr>
          <w:p w14:paraId="4FFFC68B"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2270AB19"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7F7E0B25" w14:textId="77777777" w:rsidTr="00DF5B90">
        <w:trPr>
          <w:trHeight w:val="20"/>
          <w:jc w:val="center"/>
        </w:trPr>
        <w:tc>
          <w:tcPr>
            <w:tcW w:w="3420" w:type="dxa"/>
            <w:vAlign w:val="bottom"/>
            <w:hideMark/>
          </w:tcPr>
          <w:p w14:paraId="320446DC"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DXY to V VN30</w:t>
            </w:r>
          </w:p>
        </w:tc>
        <w:tc>
          <w:tcPr>
            <w:tcW w:w="1710" w:type="dxa"/>
            <w:vAlign w:val="center"/>
            <w:hideMark/>
          </w:tcPr>
          <w:p w14:paraId="691F3139"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41.79642</w:t>
            </w:r>
          </w:p>
        </w:tc>
        <w:tc>
          <w:tcPr>
            <w:tcW w:w="1620" w:type="dxa"/>
            <w:noWrap/>
            <w:vAlign w:val="center"/>
            <w:hideMark/>
          </w:tcPr>
          <w:p w14:paraId="6CB04699"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41915531"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08E22499" w14:textId="77777777" w:rsidTr="00DF5B90">
        <w:trPr>
          <w:trHeight w:val="20"/>
          <w:jc w:val="center"/>
        </w:trPr>
        <w:tc>
          <w:tcPr>
            <w:tcW w:w="3420" w:type="dxa"/>
            <w:vAlign w:val="bottom"/>
            <w:hideMark/>
          </w:tcPr>
          <w:p w14:paraId="217E7C2F"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DXY to V LSX</w:t>
            </w:r>
          </w:p>
        </w:tc>
        <w:tc>
          <w:tcPr>
            <w:tcW w:w="1710" w:type="dxa"/>
            <w:vAlign w:val="center"/>
            <w:hideMark/>
          </w:tcPr>
          <w:p w14:paraId="0C6EE6BA"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35.37340</w:t>
            </w:r>
          </w:p>
        </w:tc>
        <w:tc>
          <w:tcPr>
            <w:tcW w:w="1620" w:type="dxa"/>
            <w:noWrap/>
            <w:vAlign w:val="center"/>
            <w:hideMark/>
          </w:tcPr>
          <w:p w14:paraId="15962445"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3BFA3579"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0115A316" w14:textId="77777777" w:rsidTr="00DF5B90">
        <w:trPr>
          <w:trHeight w:val="20"/>
          <w:jc w:val="center"/>
        </w:trPr>
        <w:tc>
          <w:tcPr>
            <w:tcW w:w="3420" w:type="dxa"/>
            <w:vAlign w:val="bottom"/>
            <w:hideMark/>
          </w:tcPr>
          <w:p w14:paraId="66A2B98D"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DXY to V Nikkei</w:t>
            </w:r>
          </w:p>
        </w:tc>
        <w:tc>
          <w:tcPr>
            <w:tcW w:w="1710" w:type="dxa"/>
            <w:vAlign w:val="center"/>
            <w:hideMark/>
          </w:tcPr>
          <w:p w14:paraId="0BB54A5D"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36.89711</w:t>
            </w:r>
          </w:p>
        </w:tc>
        <w:tc>
          <w:tcPr>
            <w:tcW w:w="1620" w:type="dxa"/>
            <w:noWrap/>
            <w:vAlign w:val="center"/>
            <w:hideMark/>
          </w:tcPr>
          <w:p w14:paraId="44F29A17"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2A0E4910"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208FDACD" w14:textId="77777777" w:rsidTr="00DF5B90">
        <w:trPr>
          <w:trHeight w:val="20"/>
          <w:jc w:val="center"/>
        </w:trPr>
        <w:tc>
          <w:tcPr>
            <w:tcW w:w="3420" w:type="dxa"/>
            <w:vAlign w:val="bottom"/>
            <w:hideMark/>
          </w:tcPr>
          <w:p w14:paraId="361E4647"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DXY to V Kospi</w:t>
            </w:r>
          </w:p>
        </w:tc>
        <w:tc>
          <w:tcPr>
            <w:tcW w:w="1710" w:type="dxa"/>
            <w:vAlign w:val="center"/>
            <w:hideMark/>
          </w:tcPr>
          <w:p w14:paraId="427AEFFB"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23.36064</w:t>
            </w:r>
          </w:p>
        </w:tc>
        <w:tc>
          <w:tcPr>
            <w:tcW w:w="1620" w:type="dxa"/>
            <w:noWrap/>
            <w:vAlign w:val="center"/>
            <w:hideMark/>
          </w:tcPr>
          <w:p w14:paraId="01553B7E"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3DD7F2F1"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5506C645" w14:textId="77777777" w:rsidTr="00DF5B90">
        <w:trPr>
          <w:trHeight w:val="20"/>
          <w:jc w:val="center"/>
        </w:trPr>
        <w:tc>
          <w:tcPr>
            <w:tcW w:w="3420" w:type="dxa"/>
            <w:tcBorders>
              <w:top w:val="nil"/>
              <w:left w:val="nil"/>
              <w:bottom w:val="single" w:sz="4" w:space="0" w:color="auto"/>
              <w:right w:val="nil"/>
            </w:tcBorders>
            <w:vAlign w:val="bottom"/>
            <w:hideMark/>
          </w:tcPr>
          <w:p w14:paraId="49C9A1D8"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DXY to V SSEC</w:t>
            </w:r>
          </w:p>
        </w:tc>
        <w:tc>
          <w:tcPr>
            <w:tcW w:w="1710" w:type="dxa"/>
            <w:vAlign w:val="center"/>
            <w:hideMark/>
          </w:tcPr>
          <w:p w14:paraId="5752BE39"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30.39812</w:t>
            </w:r>
          </w:p>
        </w:tc>
        <w:tc>
          <w:tcPr>
            <w:tcW w:w="1620" w:type="dxa"/>
            <w:vAlign w:val="center"/>
            <w:hideMark/>
          </w:tcPr>
          <w:p w14:paraId="1C5879FC"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094C73E5"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7CF5AEF0" w14:textId="77777777" w:rsidTr="00DF5B90">
        <w:trPr>
          <w:trHeight w:val="20"/>
          <w:jc w:val="center"/>
        </w:trPr>
        <w:tc>
          <w:tcPr>
            <w:tcW w:w="3420" w:type="dxa"/>
            <w:tcBorders>
              <w:top w:val="single" w:sz="8" w:space="0" w:color="auto"/>
              <w:left w:val="nil"/>
              <w:bottom w:val="single" w:sz="8" w:space="0" w:color="auto"/>
              <w:right w:val="nil"/>
            </w:tcBorders>
            <w:vAlign w:val="center"/>
            <w:hideMark/>
          </w:tcPr>
          <w:p w14:paraId="7FF13A1A" w14:textId="77777777" w:rsidR="00DF5B90" w:rsidRPr="00DF5B90" w:rsidRDefault="00DF5B90" w:rsidP="00DF5B90">
            <w:pPr>
              <w:spacing w:after="0" w:line="240" w:lineRule="auto"/>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All Period</w:t>
            </w:r>
          </w:p>
        </w:tc>
        <w:tc>
          <w:tcPr>
            <w:tcW w:w="1710" w:type="dxa"/>
            <w:tcBorders>
              <w:top w:val="single" w:sz="8" w:space="0" w:color="auto"/>
              <w:left w:val="nil"/>
              <w:bottom w:val="single" w:sz="8" w:space="0" w:color="auto"/>
              <w:right w:val="nil"/>
            </w:tcBorders>
            <w:vAlign w:val="center"/>
            <w:hideMark/>
          </w:tcPr>
          <w:p w14:paraId="644EED02"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Jarque-Bera</w:t>
            </w:r>
          </w:p>
        </w:tc>
        <w:tc>
          <w:tcPr>
            <w:tcW w:w="1620" w:type="dxa"/>
            <w:tcBorders>
              <w:top w:val="single" w:sz="8" w:space="0" w:color="auto"/>
              <w:left w:val="nil"/>
              <w:bottom w:val="single" w:sz="8" w:space="0" w:color="auto"/>
              <w:right w:val="nil"/>
            </w:tcBorders>
            <w:noWrap/>
            <w:vAlign w:val="center"/>
            <w:hideMark/>
          </w:tcPr>
          <w:p w14:paraId="42E73F6A"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Prob.</w:t>
            </w:r>
          </w:p>
        </w:tc>
        <w:tc>
          <w:tcPr>
            <w:tcW w:w="1540" w:type="dxa"/>
            <w:tcBorders>
              <w:top w:val="single" w:sz="8" w:space="0" w:color="auto"/>
              <w:left w:val="nil"/>
              <w:bottom w:val="single" w:sz="8" w:space="0" w:color="auto"/>
              <w:right w:val="nil"/>
            </w:tcBorders>
            <w:noWrap/>
            <w:vAlign w:val="center"/>
            <w:hideMark/>
          </w:tcPr>
          <w:p w14:paraId="3C78AF9B"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Model</w:t>
            </w:r>
          </w:p>
        </w:tc>
      </w:tr>
      <w:tr w:rsidR="00DF5B90" w:rsidRPr="00DF5B90" w14:paraId="13C5D3C1" w14:textId="77777777" w:rsidTr="00DF5B90">
        <w:trPr>
          <w:trHeight w:val="20"/>
          <w:jc w:val="center"/>
        </w:trPr>
        <w:tc>
          <w:tcPr>
            <w:tcW w:w="3420" w:type="dxa"/>
            <w:vAlign w:val="bottom"/>
            <w:hideMark/>
          </w:tcPr>
          <w:p w14:paraId="78452106"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XAU to V JKSE</w:t>
            </w:r>
          </w:p>
        </w:tc>
        <w:tc>
          <w:tcPr>
            <w:tcW w:w="1710" w:type="dxa"/>
            <w:tcBorders>
              <w:top w:val="single" w:sz="4" w:space="0" w:color="auto"/>
              <w:left w:val="nil"/>
              <w:bottom w:val="nil"/>
              <w:right w:val="nil"/>
            </w:tcBorders>
            <w:vAlign w:val="center"/>
            <w:hideMark/>
          </w:tcPr>
          <w:p w14:paraId="0F10DC7E"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139.90550</w:t>
            </w:r>
          </w:p>
        </w:tc>
        <w:tc>
          <w:tcPr>
            <w:tcW w:w="1620" w:type="dxa"/>
            <w:tcBorders>
              <w:top w:val="single" w:sz="4" w:space="0" w:color="auto"/>
              <w:left w:val="nil"/>
              <w:bottom w:val="nil"/>
              <w:right w:val="nil"/>
            </w:tcBorders>
            <w:noWrap/>
            <w:vAlign w:val="center"/>
            <w:hideMark/>
          </w:tcPr>
          <w:p w14:paraId="14E78440"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tcBorders>
              <w:top w:val="single" w:sz="4" w:space="0" w:color="auto"/>
              <w:left w:val="nil"/>
              <w:bottom w:val="nil"/>
              <w:right w:val="nil"/>
            </w:tcBorders>
            <w:noWrap/>
            <w:vAlign w:val="center"/>
            <w:hideMark/>
          </w:tcPr>
          <w:p w14:paraId="10C940C1"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1C438C95" w14:textId="77777777" w:rsidTr="00DF5B90">
        <w:trPr>
          <w:trHeight w:val="20"/>
          <w:jc w:val="center"/>
        </w:trPr>
        <w:tc>
          <w:tcPr>
            <w:tcW w:w="3420" w:type="dxa"/>
            <w:vAlign w:val="bottom"/>
            <w:hideMark/>
          </w:tcPr>
          <w:p w14:paraId="275949F6"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XAU to V KLSE</w:t>
            </w:r>
          </w:p>
        </w:tc>
        <w:tc>
          <w:tcPr>
            <w:tcW w:w="1710" w:type="dxa"/>
            <w:vAlign w:val="center"/>
            <w:hideMark/>
          </w:tcPr>
          <w:p w14:paraId="27773AB6"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146.45490</w:t>
            </w:r>
          </w:p>
        </w:tc>
        <w:tc>
          <w:tcPr>
            <w:tcW w:w="1620" w:type="dxa"/>
            <w:noWrap/>
            <w:vAlign w:val="center"/>
            <w:hideMark/>
          </w:tcPr>
          <w:p w14:paraId="24141184"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30F0ADAD"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4CFF65CD" w14:textId="77777777" w:rsidTr="00DF5B90">
        <w:trPr>
          <w:trHeight w:val="20"/>
          <w:jc w:val="center"/>
        </w:trPr>
        <w:tc>
          <w:tcPr>
            <w:tcW w:w="3420" w:type="dxa"/>
            <w:vAlign w:val="bottom"/>
            <w:hideMark/>
          </w:tcPr>
          <w:p w14:paraId="6674F596"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XAU to V PSEi</w:t>
            </w:r>
          </w:p>
        </w:tc>
        <w:tc>
          <w:tcPr>
            <w:tcW w:w="1710" w:type="dxa"/>
            <w:vAlign w:val="center"/>
            <w:hideMark/>
          </w:tcPr>
          <w:p w14:paraId="2FFE63F2"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136.84690</w:t>
            </w:r>
          </w:p>
        </w:tc>
        <w:tc>
          <w:tcPr>
            <w:tcW w:w="1620" w:type="dxa"/>
            <w:noWrap/>
            <w:vAlign w:val="center"/>
            <w:hideMark/>
          </w:tcPr>
          <w:p w14:paraId="4D4CF655"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1C92F64B"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27949B5A" w14:textId="77777777" w:rsidTr="00DF5B90">
        <w:trPr>
          <w:trHeight w:val="20"/>
          <w:jc w:val="center"/>
        </w:trPr>
        <w:tc>
          <w:tcPr>
            <w:tcW w:w="3420" w:type="dxa"/>
            <w:vAlign w:val="bottom"/>
            <w:hideMark/>
          </w:tcPr>
          <w:p w14:paraId="7CF1390B"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XAU to V STI</w:t>
            </w:r>
          </w:p>
        </w:tc>
        <w:tc>
          <w:tcPr>
            <w:tcW w:w="1710" w:type="dxa"/>
            <w:vAlign w:val="center"/>
            <w:hideMark/>
          </w:tcPr>
          <w:p w14:paraId="4D265774"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151.29170</w:t>
            </w:r>
          </w:p>
        </w:tc>
        <w:tc>
          <w:tcPr>
            <w:tcW w:w="1620" w:type="dxa"/>
            <w:noWrap/>
            <w:vAlign w:val="center"/>
            <w:hideMark/>
          </w:tcPr>
          <w:p w14:paraId="52F5CBBD"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3A960041"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3AC2F288" w14:textId="77777777" w:rsidTr="00DF5B90">
        <w:trPr>
          <w:trHeight w:val="20"/>
          <w:jc w:val="center"/>
        </w:trPr>
        <w:tc>
          <w:tcPr>
            <w:tcW w:w="3420" w:type="dxa"/>
            <w:vAlign w:val="bottom"/>
            <w:hideMark/>
          </w:tcPr>
          <w:p w14:paraId="0B188817"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XAU to V SETI</w:t>
            </w:r>
          </w:p>
        </w:tc>
        <w:tc>
          <w:tcPr>
            <w:tcW w:w="1710" w:type="dxa"/>
            <w:vAlign w:val="center"/>
            <w:hideMark/>
          </w:tcPr>
          <w:p w14:paraId="47299D44"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131.91550</w:t>
            </w:r>
          </w:p>
        </w:tc>
        <w:tc>
          <w:tcPr>
            <w:tcW w:w="1620" w:type="dxa"/>
            <w:noWrap/>
            <w:vAlign w:val="center"/>
            <w:hideMark/>
          </w:tcPr>
          <w:p w14:paraId="22831B69"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1ABF5F97"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73A6A532" w14:textId="77777777" w:rsidTr="00DF5B90">
        <w:trPr>
          <w:trHeight w:val="20"/>
          <w:jc w:val="center"/>
        </w:trPr>
        <w:tc>
          <w:tcPr>
            <w:tcW w:w="3420" w:type="dxa"/>
            <w:vAlign w:val="bottom"/>
            <w:hideMark/>
          </w:tcPr>
          <w:p w14:paraId="63DF1A9B"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XAU to V VN30</w:t>
            </w:r>
          </w:p>
        </w:tc>
        <w:tc>
          <w:tcPr>
            <w:tcW w:w="1710" w:type="dxa"/>
            <w:vAlign w:val="center"/>
            <w:hideMark/>
          </w:tcPr>
          <w:p w14:paraId="010C85ED"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145.84600</w:t>
            </w:r>
          </w:p>
        </w:tc>
        <w:tc>
          <w:tcPr>
            <w:tcW w:w="1620" w:type="dxa"/>
            <w:noWrap/>
            <w:vAlign w:val="center"/>
            <w:hideMark/>
          </w:tcPr>
          <w:p w14:paraId="587A91DD"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713AB109"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71EC3C4B" w14:textId="77777777" w:rsidTr="00DF5B90">
        <w:trPr>
          <w:trHeight w:val="20"/>
          <w:jc w:val="center"/>
        </w:trPr>
        <w:tc>
          <w:tcPr>
            <w:tcW w:w="3420" w:type="dxa"/>
            <w:vAlign w:val="bottom"/>
            <w:hideMark/>
          </w:tcPr>
          <w:p w14:paraId="5B1C63FA"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XAU to V LSX</w:t>
            </w:r>
          </w:p>
        </w:tc>
        <w:tc>
          <w:tcPr>
            <w:tcW w:w="1710" w:type="dxa"/>
            <w:vAlign w:val="center"/>
            <w:hideMark/>
          </w:tcPr>
          <w:p w14:paraId="6B344E8D"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135.98100</w:t>
            </w:r>
          </w:p>
        </w:tc>
        <w:tc>
          <w:tcPr>
            <w:tcW w:w="1620" w:type="dxa"/>
            <w:noWrap/>
            <w:vAlign w:val="center"/>
            <w:hideMark/>
          </w:tcPr>
          <w:p w14:paraId="50B6642B"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002DA3A9"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0B37FA8E" w14:textId="77777777" w:rsidTr="00DF5B90">
        <w:trPr>
          <w:trHeight w:val="20"/>
          <w:jc w:val="center"/>
        </w:trPr>
        <w:tc>
          <w:tcPr>
            <w:tcW w:w="3420" w:type="dxa"/>
            <w:vAlign w:val="bottom"/>
            <w:hideMark/>
          </w:tcPr>
          <w:p w14:paraId="0ED20867"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XAU to V Nikkei</w:t>
            </w:r>
          </w:p>
        </w:tc>
        <w:tc>
          <w:tcPr>
            <w:tcW w:w="1710" w:type="dxa"/>
            <w:vAlign w:val="center"/>
            <w:hideMark/>
          </w:tcPr>
          <w:p w14:paraId="2A9922B9"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144.72310</w:t>
            </w:r>
          </w:p>
        </w:tc>
        <w:tc>
          <w:tcPr>
            <w:tcW w:w="1620" w:type="dxa"/>
            <w:noWrap/>
            <w:vAlign w:val="center"/>
            <w:hideMark/>
          </w:tcPr>
          <w:p w14:paraId="4FD5DBBD"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5A5BB4E7"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217E4A28" w14:textId="77777777" w:rsidTr="00DF5B90">
        <w:trPr>
          <w:trHeight w:val="20"/>
          <w:jc w:val="center"/>
        </w:trPr>
        <w:tc>
          <w:tcPr>
            <w:tcW w:w="3420" w:type="dxa"/>
            <w:vAlign w:val="bottom"/>
            <w:hideMark/>
          </w:tcPr>
          <w:p w14:paraId="7D93DDFE"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XAU to V Kospi</w:t>
            </w:r>
          </w:p>
        </w:tc>
        <w:tc>
          <w:tcPr>
            <w:tcW w:w="1710" w:type="dxa"/>
            <w:vAlign w:val="center"/>
            <w:hideMark/>
          </w:tcPr>
          <w:p w14:paraId="2CB85342"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136.34710</w:t>
            </w:r>
          </w:p>
        </w:tc>
        <w:tc>
          <w:tcPr>
            <w:tcW w:w="1620" w:type="dxa"/>
            <w:noWrap/>
            <w:vAlign w:val="center"/>
            <w:hideMark/>
          </w:tcPr>
          <w:p w14:paraId="365ED9BA"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6FD38ABC"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1B69302C" w14:textId="77777777" w:rsidTr="00DF5B90">
        <w:trPr>
          <w:trHeight w:val="20"/>
          <w:jc w:val="center"/>
        </w:trPr>
        <w:tc>
          <w:tcPr>
            <w:tcW w:w="3420" w:type="dxa"/>
            <w:tcBorders>
              <w:top w:val="nil"/>
              <w:left w:val="nil"/>
              <w:bottom w:val="single" w:sz="4" w:space="0" w:color="auto"/>
              <w:right w:val="nil"/>
            </w:tcBorders>
            <w:vAlign w:val="bottom"/>
            <w:hideMark/>
          </w:tcPr>
          <w:p w14:paraId="04EF9DC0"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XAU to V SSEC</w:t>
            </w:r>
          </w:p>
        </w:tc>
        <w:tc>
          <w:tcPr>
            <w:tcW w:w="1710" w:type="dxa"/>
            <w:vAlign w:val="center"/>
            <w:hideMark/>
          </w:tcPr>
          <w:p w14:paraId="77839195"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133.94790</w:t>
            </w:r>
          </w:p>
        </w:tc>
        <w:tc>
          <w:tcPr>
            <w:tcW w:w="1620" w:type="dxa"/>
            <w:noWrap/>
            <w:vAlign w:val="center"/>
            <w:hideMark/>
          </w:tcPr>
          <w:p w14:paraId="0D75023C"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5CE36A13"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57435F9C" w14:textId="77777777" w:rsidTr="00DF5B90">
        <w:trPr>
          <w:trHeight w:val="20"/>
          <w:jc w:val="center"/>
        </w:trPr>
        <w:tc>
          <w:tcPr>
            <w:tcW w:w="3420" w:type="dxa"/>
            <w:vAlign w:val="bottom"/>
            <w:hideMark/>
          </w:tcPr>
          <w:p w14:paraId="2D69D696"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DXY to V JKSE</w:t>
            </w:r>
          </w:p>
        </w:tc>
        <w:tc>
          <w:tcPr>
            <w:tcW w:w="1710" w:type="dxa"/>
            <w:tcBorders>
              <w:top w:val="single" w:sz="4" w:space="0" w:color="auto"/>
              <w:left w:val="nil"/>
              <w:bottom w:val="nil"/>
              <w:right w:val="nil"/>
            </w:tcBorders>
            <w:vAlign w:val="center"/>
            <w:hideMark/>
          </w:tcPr>
          <w:p w14:paraId="505A00B9"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115.09510</w:t>
            </w:r>
          </w:p>
        </w:tc>
        <w:tc>
          <w:tcPr>
            <w:tcW w:w="1620" w:type="dxa"/>
            <w:tcBorders>
              <w:top w:val="single" w:sz="4" w:space="0" w:color="auto"/>
              <w:left w:val="nil"/>
              <w:bottom w:val="nil"/>
              <w:right w:val="nil"/>
            </w:tcBorders>
            <w:noWrap/>
            <w:vAlign w:val="center"/>
            <w:hideMark/>
          </w:tcPr>
          <w:p w14:paraId="27DA96F2"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tcBorders>
              <w:top w:val="single" w:sz="4" w:space="0" w:color="auto"/>
              <w:left w:val="nil"/>
              <w:bottom w:val="nil"/>
              <w:right w:val="nil"/>
            </w:tcBorders>
            <w:noWrap/>
            <w:vAlign w:val="center"/>
            <w:hideMark/>
          </w:tcPr>
          <w:p w14:paraId="07DD7E4F"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4373D135" w14:textId="77777777" w:rsidTr="00DF5B90">
        <w:trPr>
          <w:trHeight w:val="20"/>
          <w:jc w:val="center"/>
        </w:trPr>
        <w:tc>
          <w:tcPr>
            <w:tcW w:w="3420" w:type="dxa"/>
            <w:vAlign w:val="bottom"/>
            <w:hideMark/>
          </w:tcPr>
          <w:p w14:paraId="4EB7C561"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DXY to V KLSE</w:t>
            </w:r>
          </w:p>
        </w:tc>
        <w:tc>
          <w:tcPr>
            <w:tcW w:w="1710" w:type="dxa"/>
            <w:vAlign w:val="center"/>
            <w:hideMark/>
          </w:tcPr>
          <w:p w14:paraId="7B1BEEAE"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88.51715</w:t>
            </w:r>
          </w:p>
        </w:tc>
        <w:tc>
          <w:tcPr>
            <w:tcW w:w="1620" w:type="dxa"/>
            <w:noWrap/>
            <w:vAlign w:val="center"/>
            <w:hideMark/>
          </w:tcPr>
          <w:p w14:paraId="79A07E3F"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1D182C9A"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1BF346C7" w14:textId="77777777" w:rsidTr="00DF5B90">
        <w:trPr>
          <w:trHeight w:val="20"/>
          <w:jc w:val="center"/>
        </w:trPr>
        <w:tc>
          <w:tcPr>
            <w:tcW w:w="3420" w:type="dxa"/>
            <w:vAlign w:val="bottom"/>
            <w:hideMark/>
          </w:tcPr>
          <w:p w14:paraId="4D2DC01C"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DXY to V PSEi</w:t>
            </w:r>
          </w:p>
        </w:tc>
        <w:tc>
          <w:tcPr>
            <w:tcW w:w="1710" w:type="dxa"/>
            <w:vAlign w:val="center"/>
            <w:hideMark/>
          </w:tcPr>
          <w:p w14:paraId="6F2FD48D"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127.28110</w:t>
            </w:r>
          </w:p>
        </w:tc>
        <w:tc>
          <w:tcPr>
            <w:tcW w:w="1620" w:type="dxa"/>
            <w:noWrap/>
            <w:vAlign w:val="center"/>
            <w:hideMark/>
          </w:tcPr>
          <w:p w14:paraId="18FA1205"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4C9219C4"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52A5EF43" w14:textId="77777777" w:rsidTr="00DF5B90">
        <w:trPr>
          <w:trHeight w:val="20"/>
          <w:jc w:val="center"/>
        </w:trPr>
        <w:tc>
          <w:tcPr>
            <w:tcW w:w="3420" w:type="dxa"/>
            <w:vAlign w:val="bottom"/>
            <w:hideMark/>
          </w:tcPr>
          <w:p w14:paraId="5EEEFA36"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DXY to V STI</w:t>
            </w:r>
          </w:p>
        </w:tc>
        <w:tc>
          <w:tcPr>
            <w:tcW w:w="1710" w:type="dxa"/>
            <w:vAlign w:val="center"/>
            <w:hideMark/>
          </w:tcPr>
          <w:p w14:paraId="1101D31F"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91.37453</w:t>
            </w:r>
          </w:p>
        </w:tc>
        <w:tc>
          <w:tcPr>
            <w:tcW w:w="1620" w:type="dxa"/>
            <w:noWrap/>
            <w:vAlign w:val="center"/>
            <w:hideMark/>
          </w:tcPr>
          <w:p w14:paraId="0E0CF626"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224BD7E3"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1F9604C1" w14:textId="77777777" w:rsidTr="00DF5B90">
        <w:trPr>
          <w:trHeight w:val="20"/>
          <w:jc w:val="center"/>
        </w:trPr>
        <w:tc>
          <w:tcPr>
            <w:tcW w:w="3420" w:type="dxa"/>
            <w:vAlign w:val="bottom"/>
            <w:hideMark/>
          </w:tcPr>
          <w:p w14:paraId="42D8C856"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DXY to V SETI</w:t>
            </w:r>
          </w:p>
        </w:tc>
        <w:tc>
          <w:tcPr>
            <w:tcW w:w="1710" w:type="dxa"/>
            <w:vAlign w:val="center"/>
            <w:hideMark/>
          </w:tcPr>
          <w:p w14:paraId="118A73C5"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100.44510</w:t>
            </w:r>
          </w:p>
        </w:tc>
        <w:tc>
          <w:tcPr>
            <w:tcW w:w="1620" w:type="dxa"/>
            <w:noWrap/>
            <w:vAlign w:val="center"/>
            <w:hideMark/>
          </w:tcPr>
          <w:p w14:paraId="07880EF5"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09B27DF0"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11CAFF02" w14:textId="77777777" w:rsidTr="00DF5B90">
        <w:trPr>
          <w:trHeight w:val="20"/>
          <w:jc w:val="center"/>
        </w:trPr>
        <w:tc>
          <w:tcPr>
            <w:tcW w:w="3420" w:type="dxa"/>
            <w:vAlign w:val="bottom"/>
            <w:hideMark/>
          </w:tcPr>
          <w:p w14:paraId="59412C2A"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DXY to V VN30</w:t>
            </w:r>
          </w:p>
        </w:tc>
        <w:tc>
          <w:tcPr>
            <w:tcW w:w="1710" w:type="dxa"/>
            <w:vAlign w:val="center"/>
            <w:hideMark/>
          </w:tcPr>
          <w:p w14:paraId="34482F1C"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135.95490</w:t>
            </w:r>
          </w:p>
        </w:tc>
        <w:tc>
          <w:tcPr>
            <w:tcW w:w="1620" w:type="dxa"/>
            <w:noWrap/>
            <w:vAlign w:val="center"/>
            <w:hideMark/>
          </w:tcPr>
          <w:p w14:paraId="50441592"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5EFC580E"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7FE18956" w14:textId="77777777" w:rsidTr="00DF5B90">
        <w:trPr>
          <w:trHeight w:val="20"/>
          <w:jc w:val="center"/>
        </w:trPr>
        <w:tc>
          <w:tcPr>
            <w:tcW w:w="3420" w:type="dxa"/>
            <w:vAlign w:val="bottom"/>
            <w:hideMark/>
          </w:tcPr>
          <w:p w14:paraId="33A5B51C"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DXY to V LSX</w:t>
            </w:r>
          </w:p>
        </w:tc>
        <w:tc>
          <w:tcPr>
            <w:tcW w:w="1710" w:type="dxa"/>
            <w:vAlign w:val="center"/>
            <w:hideMark/>
          </w:tcPr>
          <w:p w14:paraId="7721D4A7"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122.98200</w:t>
            </w:r>
          </w:p>
        </w:tc>
        <w:tc>
          <w:tcPr>
            <w:tcW w:w="1620" w:type="dxa"/>
            <w:noWrap/>
            <w:vAlign w:val="center"/>
            <w:hideMark/>
          </w:tcPr>
          <w:p w14:paraId="67E7F091"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4804EC14"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3AA21AE5" w14:textId="77777777" w:rsidTr="00DF5B90">
        <w:trPr>
          <w:trHeight w:val="20"/>
          <w:jc w:val="center"/>
        </w:trPr>
        <w:tc>
          <w:tcPr>
            <w:tcW w:w="3420" w:type="dxa"/>
            <w:vAlign w:val="bottom"/>
            <w:hideMark/>
          </w:tcPr>
          <w:p w14:paraId="0A5EB2CA"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DXY to V Nikkei</w:t>
            </w:r>
          </w:p>
        </w:tc>
        <w:tc>
          <w:tcPr>
            <w:tcW w:w="1710" w:type="dxa"/>
            <w:vAlign w:val="center"/>
            <w:hideMark/>
          </w:tcPr>
          <w:p w14:paraId="6DFD9D50"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110.25560</w:t>
            </w:r>
          </w:p>
        </w:tc>
        <w:tc>
          <w:tcPr>
            <w:tcW w:w="1620" w:type="dxa"/>
            <w:noWrap/>
            <w:vAlign w:val="center"/>
            <w:hideMark/>
          </w:tcPr>
          <w:p w14:paraId="3588ED2A"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60FF3BB3"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539963BE" w14:textId="77777777" w:rsidTr="00DF5B90">
        <w:trPr>
          <w:trHeight w:val="20"/>
          <w:jc w:val="center"/>
        </w:trPr>
        <w:tc>
          <w:tcPr>
            <w:tcW w:w="3420" w:type="dxa"/>
            <w:vAlign w:val="bottom"/>
            <w:hideMark/>
          </w:tcPr>
          <w:p w14:paraId="77EE8700"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DXY to V Kospi</w:t>
            </w:r>
          </w:p>
        </w:tc>
        <w:tc>
          <w:tcPr>
            <w:tcW w:w="1710" w:type="dxa"/>
            <w:vAlign w:val="center"/>
            <w:hideMark/>
          </w:tcPr>
          <w:p w14:paraId="14BDF39A"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97.93579</w:t>
            </w:r>
          </w:p>
        </w:tc>
        <w:tc>
          <w:tcPr>
            <w:tcW w:w="1620" w:type="dxa"/>
            <w:noWrap/>
            <w:vAlign w:val="center"/>
            <w:hideMark/>
          </w:tcPr>
          <w:p w14:paraId="5637244D"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noWrap/>
            <w:vAlign w:val="center"/>
            <w:hideMark/>
          </w:tcPr>
          <w:p w14:paraId="1C787125"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r w:rsidR="00DF5B90" w:rsidRPr="00DF5B90" w14:paraId="09C8EDE4" w14:textId="77777777" w:rsidTr="00DF5B90">
        <w:trPr>
          <w:trHeight w:val="20"/>
          <w:jc w:val="center"/>
        </w:trPr>
        <w:tc>
          <w:tcPr>
            <w:tcW w:w="3420" w:type="dxa"/>
            <w:tcBorders>
              <w:top w:val="nil"/>
              <w:left w:val="nil"/>
              <w:bottom w:val="single" w:sz="8" w:space="0" w:color="auto"/>
              <w:right w:val="nil"/>
            </w:tcBorders>
            <w:vAlign w:val="bottom"/>
            <w:hideMark/>
          </w:tcPr>
          <w:p w14:paraId="3E945EEB"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R DXY to V SSEC</w:t>
            </w:r>
          </w:p>
        </w:tc>
        <w:tc>
          <w:tcPr>
            <w:tcW w:w="1710" w:type="dxa"/>
            <w:tcBorders>
              <w:top w:val="nil"/>
              <w:left w:val="nil"/>
              <w:bottom w:val="single" w:sz="8" w:space="0" w:color="auto"/>
              <w:right w:val="nil"/>
            </w:tcBorders>
            <w:vAlign w:val="center"/>
            <w:hideMark/>
          </w:tcPr>
          <w:p w14:paraId="5D0A309D"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112.54670</w:t>
            </w:r>
          </w:p>
        </w:tc>
        <w:tc>
          <w:tcPr>
            <w:tcW w:w="1620" w:type="dxa"/>
            <w:tcBorders>
              <w:top w:val="nil"/>
              <w:left w:val="nil"/>
              <w:bottom w:val="single" w:sz="8" w:space="0" w:color="auto"/>
              <w:right w:val="nil"/>
            </w:tcBorders>
            <w:noWrap/>
            <w:vAlign w:val="center"/>
            <w:hideMark/>
          </w:tcPr>
          <w:p w14:paraId="6AF7EFAB"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540" w:type="dxa"/>
            <w:tcBorders>
              <w:top w:val="nil"/>
              <w:left w:val="nil"/>
              <w:bottom w:val="single" w:sz="8" w:space="0" w:color="auto"/>
              <w:right w:val="nil"/>
            </w:tcBorders>
            <w:noWrap/>
            <w:vAlign w:val="center"/>
            <w:hideMark/>
          </w:tcPr>
          <w:p w14:paraId="44B25DE5" w14:textId="77777777" w:rsidR="00DF5B90" w:rsidRPr="00DF5B90" w:rsidRDefault="00DF5B90" w:rsidP="00DF5B90">
            <w:pPr>
              <w:tabs>
                <w:tab w:val="left" w:pos="1245"/>
              </w:tabs>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GED</w:t>
            </w:r>
          </w:p>
        </w:tc>
      </w:tr>
    </w:tbl>
    <w:p w14:paraId="1D10A4D8" w14:textId="488FD224" w:rsidR="00DF5B90" w:rsidRPr="00DF5B90" w:rsidRDefault="00DF5B90" w:rsidP="00DF5B90">
      <w:pPr>
        <w:spacing w:before="240" w:line="240" w:lineRule="auto"/>
        <w:ind w:firstLine="284"/>
        <w:jc w:val="both"/>
        <w:rPr>
          <w:rFonts w:asciiTheme="minorHAnsi" w:hAnsiTheme="minorHAnsi" w:cstheme="minorHAnsi"/>
          <w:color w:val="222222"/>
          <w:shd w:val="clear" w:color="auto" w:fill="FFFFFF"/>
          <w:lang w:val="id-ID"/>
        </w:rPr>
      </w:pPr>
      <w:r w:rsidRPr="00DF5B90">
        <w:rPr>
          <w:rFonts w:asciiTheme="minorHAnsi" w:hAnsiTheme="minorHAnsi" w:cstheme="minorHAnsi"/>
          <w:color w:val="222222"/>
          <w:shd w:val="clear" w:color="auto" w:fill="FFFFFF"/>
          <w:lang w:val="id-ID"/>
        </w:rPr>
        <w:t xml:space="preserve">In recent years, the use of GARCH models in the financial sector has increased as they are considered capable of efficiently predicting the volatility of financial data </w:t>
      </w:r>
      <w:r w:rsidRPr="00DF5B90">
        <w:rPr>
          <w:rFonts w:asciiTheme="minorHAnsi" w:hAnsiTheme="minorHAnsi" w:cstheme="minorHAnsi"/>
          <w:color w:val="222222"/>
          <w:shd w:val="clear" w:color="auto" w:fill="FFFFFF"/>
          <w:lang w:val="id-ID"/>
        </w:rPr>
        <w:fldChar w:fldCharType="begin" w:fldLock="1"/>
      </w:r>
      <w:r w:rsidRPr="00DF5B90">
        <w:rPr>
          <w:rFonts w:asciiTheme="minorHAnsi" w:hAnsiTheme="minorHAnsi" w:cstheme="minorHAnsi"/>
          <w:color w:val="222222"/>
          <w:shd w:val="clear" w:color="auto" w:fill="FFFFFF"/>
          <w:lang w:val="id-ID"/>
        </w:rPr>
        <w:instrText>ADDIN CSL_CITATION {"citationItems":[{"id":"ITEM-1","itemData":{"DOI":"10.3390/economies10050102","ISSN":"22277099","abstract":"The stock market is constantly shifting and full of unknowns. In India in 2000, technological advancements led to significant growth in the Indian stock market, introducing online share trading via the internet and computers. Hence, it has become essential to manage risk in the Indian stock market, and volatility plays a critical part in assessing the risks of different stock market elements such as portfolio risk management, derivative pricing, and hedging techniques. As a result, several scholars have lately been interested in forecasting stock market volatility. This study analyzed India VIX (NIFTY 50 volatility index) to identify the behavior of the Indian stock market in terms of volatility and then evaluated the forecasting ability of GARCH-and RNN-based LSTM models using India VIX out of sample data. The results indicated that the NIFTY 50 index’s volatility is asymmetric, and leverage effects are evident in the results of the EGARCH (1, 1) model. Asymmetric GARCH models such as EGARCH (1, 1) and TARCH (1, 1) showed slightly better forecasting accuracy than symmetric GARCH models like GARCH (1, 1). The results also showed that overall GARCH models are slightly better than RNN-based LSTM models in forecasting the volatility of the NIFTY 50 index. Both types of models (GARCH models and RNN based LSTM models) fared equally well in predicting the direction of the NIFTY 50 index volatility. In contrast, GARCH models outperformed the LSTM model in predicting the value of volatility.","author":[{"dropping-particle":"","family":"Mahajan","given":"Vanshu","non-dropping-particle":"","parse-names":false,"suffix":""},{"dropping-particle":"","family":"Thakan","given":"Sunil","non-dropping-particle":"","parse-names":false,"suffix":""},{"dropping-particle":"","family":"Malik","given":"Aashish","non-dropping-particle":"","parse-names":false,"suffix":""}],"container-title":"Economies","id":"ITEM-1","issue":"5","issued":{"date-parts":[["2022"]]},"page":"1-20","title":"Modeling and forecasting the volatility of NIFTY 50 using GARCH and RNN models","type":"article-journal","volume":"10"},"uris":["http://www.mendeley.com/documents/?uuid=cebac062-4e86-464d-9d15-68ef8d266b13"]}],"mendeley":{"formattedCitation":"(Mahajan et al., 2022)","plainTextFormattedCitation":"(Mahajan et al., 2022)","previouslyFormattedCitation":"(Mahajan et al., 2022)"},"properties":{"noteIndex":0},"schema":"https://github.com/citation-style-language/schema/raw/master/csl-citation.json"}</w:instrText>
      </w:r>
      <w:r w:rsidRPr="00DF5B90">
        <w:rPr>
          <w:rFonts w:asciiTheme="minorHAnsi" w:hAnsiTheme="minorHAnsi" w:cstheme="minorHAnsi"/>
          <w:color w:val="222222"/>
          <w:shd w:val="clear" w:color="auto" w:fill="FFFFFF"/>
          <w:lang w:val="id-ID"/>
        </w:rPr>
        <w:fldChar w:fldCharType="separate"/>
      </w:r>
      <w:r w:rsidRPr="00DF5B90">
        <w:rPr>
          <w:rFonts w:asciiTheme="minorHAnsi" w:hAnsiTheme="minorHAnsi" w:cstheme="minorHAnsi"/>
          <w:noProof/>
          <w:color w:val="222222"/>
          <w:shd w:val="clear" w:color="auto" w:fill="FFFFFF"/>
          <w:lang w:val="id-ID"/>
        </w:rPr>
        <w:t>(Mahajan</w:t>
      </w:r>
      <w:r w:rsidRPr="00DF5B90">
        <w:rPr>
          <w:rFonts w:asciiTheme="minorHAnsi" w:hAnsiTheme="minorHAnsi" w:cstheme="minorHAnsi"/>
          <w:i/>
          <w:iCs/>
          <w:noProof/>
          <w:color w:val="222222"/>
          <w:shd w:val="clear" w:color="auto" w:fill="FFFFFF"/>
          <w:lang w:val="id-ID"/>
        </w:rPr>
        <w:t xml:space="preserve"> et al</w:t>
      </w:r>
      <w:r w:rsidRPr="00DF5B90">
        <w:rPr>
          <w:rFonts w:asciiTheme="minorHAnsi" w:hAnsiTheme="minorHAnsi" w:cstheme="minorHAnsi"/>
          <w:noProof/>
          <w:color w:val="222222"/>
          <w:shd w:val="clear" w:color="auto" w:fill="FFFFFF"/>
          <w:lang w:val="id-ID"/>
        </w:rPr>
        <w:t>., 2022)</w:t>
      </w:r>
      <w:r w:rsidRPr="00DF5B90">
        <w:rPr>
          <w:rFonts w:asciiTheme="minorHAnsi" w:hAnsiTheme="minorHAnsi" w:cstheme="minorHAnsi"/>
          <w:color w:val="222222"/>
          <w:shd w:val="clear" w:color="auto" w:fill="FFFFFF"/>
          <w:lang w:val="id-ID"/>
        </w:rPr>
        <w:fldChar w:fldCharType="end"/>
      </w:r>
      <w:r w:rsidRPr="00DF5B90">
        <w:rPr>
          <w:rFonts w:asciiTheme="minorHAnsi" w:hAnsiTheme="minorHAnsi" w:cstheme="minorHAnsi"/>
          <w:color w:val="222222"/>
          <w:shd w:val="clear" w:color="auto" w:fill="FFFFFF"/>
          <w:lang w:val="id-ID"/>
        </w:rPr>
        <w:t xml:space="preserve">. Table 3 shows the results of the GARCH (1.1) test that examines the effect of stock market volatility on gold prices before the Russian-Ukrainian war. The test results show that each variable follows the GARCH pattern because the probability value of GARCH for each variable is significant at the 1% level. However, stock market volatility has not been proven to affect gold prices. This is because the probability value of each variable exceeds the specified significance level. </w:t>
      </w:r>
    </w:p>
    <w:p w14:paraId="2290BC20" w14:textId="5A205349" w:rsidR="00DF5B90" w:rsidRPr="00DF5B90" w:rsidRDefault="00DF5B90" w:rsidP="00DF5B90">
      <w:pPr>
        <w:pStyle w:val="Keterangan"/>
        <w:keepNext/>
        <w:jc w:val="center"/>
        <w:rPr>
          <w:rFonts w:asciiTheme="minorHAnsi" w:hAnsiTheme="minorHAnsi" w:cstheme="minorHAnsi"/>
          <w:sz w:val="24"/>
          <w:szCs w:val="24"/>
          <w:lang w:val="id-ID"/>
        </w:rPr>
      </w:pPr>
      <w:bookmarkStart w:id="11" w:name="_Toc168426044"/>
      <w:bookmarkStart w:id="12" w:name="_Toc170310505"/>
      <w:bookmarkStart w:id="13" w:name="_Toc171071272"/>
      <w:bookmarkStart w:id="14" w:name="_Toc171072597"/>
      <w:r w:rsidRPr="00DF5B90">
        <w:rPr>
          <w:rFonts w:asciiTheme="minorHAnsi" w:hAnsiTheme="minorHAnsi" w:cstheme="minorHAnsi"/>
          <w:sz w:val="24"/>
          <w:szCs w:val="24"/>
          <w:lang w:val="id-ID"/>
        </w:rPr>
        <w:t>T</w:t>
      </w:r>
      <w:r w:rsidRPr="00DF5B90">
        <w:rPr>
          <w:rFonts w:asciiTheme="minorHAnsi" w:hAnsiTheme="minorHAnsi" w:cstheme="minorHAnsi"/>
          <w:sz w:val="24"/>
          <w:szCs w:val="24"/>
        </w:rPr>
        <w:t>able</w:t>
      </w:r>
      <w:r w:rsidRPr="00DF5B90">
        <w:rPr>
          <w:rFonts w:asciiTheme="minorHAnsi" w:hAnsiTheme="minorHAnsi" w:cstheme="minorHAnsi"/>
          <w:sz w:val="24"/>
          <w:szCs w:val="24"/>
          <w:lang w:val="id-ID"/>
        </w:rPr>
        <w:t xml:space="preserve"> </w:t>
      </w:r>
      <w:r w:rsidRPr="00DF5B90">
        <w:rPr>
          <w:rFonts w:asciiTheme="minorHAnsi" w:hAnsiTheme="minorHAnsi" w:cstheme="minorHAnsi"/>
          <w:sz w:val="24"/>
          <w:szCs w:val="24"/>
        </w:rPr>
        <w:fldChar w:fldCharType="begin"/>
      </w:r>
      <w:r w:rsidRPr="00DF5B90">
        <w:rPr>
          <w:rFonts w:asciiTheme="minorHAnsi" w:hAnsiTheme="minorHAnsi" w:cstheme="minorHAnsi"/>
          <w:sz w:val="24"/>
          <w:szCs w:val="24"/>
          <w:lang w:val="id-ID"/>
        </w:rPr>
        <w:instrText xml:space="preserve"> SEQ Table \* ARABIC </w:instrText>
      </w:r>
      <w:r w:rsidRPr="00DF5B90">
        <w:rPr>
          <w:rFonts w:asciiTheme="minorHAnsi" w:hAnsiTheme="minorHAnsi" w:cstheme="minorHAnsi"/>
          <w:sz w:val="24"/>
          <w:szCs w:val="24"/>
        </w:rPr>
        <w:fldChar w:fldCharType="separate"/>
      </w:r>
      <w:r w:rsidRPr="00DF5B90">
        <w:rPr>
          <w:rFonts w:asciiTheme="minorHAnsi" w:hAnsiTheme="minorHAnsi" w:cstheme="minorHAnsi"/>
          <w:sz w:val="24"/>
          <w:szCs w:val="24"/>
          <w:lang w:val="id-ID"/>
        </w:rPr>
        <w:t>3</w:t>
      </w:r>
      <w:bookmarkEnd w:id="11"/>
      <w:bookmarkEnd w:id="12"/>
      <w:bookmarkEnd w:id="13"/>
      <w:bookmarkEnd w:id="14"/>
      <w:r w:rsidRPr="00DF5B90">
        <w:rPr>
          <w:rFonts w:asciiTheme="minorHAnsi" w:hAnsiTheme="minorHAnsi" w:cstheme="minorHAnsi"/>
          <w:sz w:val="24"/>
          <w:szCs w:val="24"/>
          <w:lang w:val="id-ID"/>
        </w:rPr>
        <w:fldChar w:fldCharType="end"/>
      </w:r>
    </w:p>
    <w:p w14:paraId="258DE04F" w14:textId="77777777" w:rsidR="00DF5B90" w:rsidRPr="00DF5B90" w:rsidRDefault="00DF5B90" w:rsidP="00DF5B90">
      <w:pPr>
        <w:pStyle w:val="Keterangan"/>
        <w:keepNext/>
        <w:jc w:val="center"/>
        <w:rPr>
          <w:rFonts w:asciiTheme="minorHAnsi" w:hAnsiTheme="minorHAnsi" w:cstheme="minorHAnsi"/>
          <w:sz w:val="24"/>
          <w:szCs w:val="24"/>
          <w:lang w:val="id-ID"/>
        </w:rPr>
      </w:pPr>
      <w:r w:rsidRPr="00DF5B90">
        <w:rPr>
          <w:rFonts w:asciiTheme="minorHAnsi" w:hAnsiTheme="minorHAnsi" w:cstheme="minorHAnsi"/>
          <w:sz w:val="24"/>
          <w:szCs w:val="24"/>
          <w:lang w:val="id-ID"/>
        </w:rPr>
        <w:t>The Impact of Stock Market Volatility on Gold Prices Before the Russia-Ukraine War</w:t>
      </w:r>
    </w:p>
    <w:tbl>
      <w:tblPr>
        <w:tblW w:w="8682" w:type="dxa"/>
        <w:jc w:val="center"/>
        <w:tblLook w:val="04A0" w:firstRow="1" w:lastRow="0" w:firstColumn="1" w:lastColumn="0" w:noHBand="0" w:noVBand="1"/>
      </w:tblPr>
      <w:tblGrid>
        <w:gridCol w:w="827"/>
        <w:gridCol w:w="1441"/>
        <w:gridCol w:w="1045"/>
        <w:gridCol w:w="1499"/>
        <w:gridCol w:w="885"/>
        <w:gridCol w:w="885"/>
        <w:gridCol w:w="1124"/>
        <w:gridCol w:w="1272"/>
      </w:tblGrid>
      <w:tr w:rsidR="00DF5B90" w:rsidRPr="00DF5B90" w14:paraId="73584558" w14:textId="77777777" w:rsidTr="00DF5B90">
        <w:trPr>
          <w:trHeight w:val="300"/>
          <w:jc w:val="center"/>
        </w:trPr>
        <w:tc>
          <w:tcPr>
            <w:tcW w:w="8679" w:type="dxa"/>
            <w:gridSpan w:val="8"/>
            <w:tcBorders>
              <w:top w:val="single" w:sz="8" w:space="0" w:color="auto"/>
              <w:left w:val="nil"/>
              <w:bottom w:val="nil"/>
              <w:right w:val="nil"/>
            </w:tcBorders>
            <w:noWrap/>
            <w:vAlign w:val="center"/>
            <w:hideMark/>
          </w:tcPr>
          <w:p w14:paraId="4EE2F184" w14:textId="50C8B17A"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Pre Ru</w:t>
            </w:r>
            <w:r w:rsidR="006E23DC">
              <w:rPr>
                <w:rFonts w:asciiTheme="minorHAnsi" w:eastAsia="Times New Roman" w:hAnsiTheme="minorHAnsi" w:cstheme="minorHAnsi"/>
                <w:b/>
                <w:bCs/>
                <w:color w:val="000000"/>
                <w:lang w:val="id-ID"/>
              </w:rPr>
              <w:t>s</w:t>
            </w:r>
            <w:r w:rsidRPr="00DF5B90">
              <w:rPr>
                <w:rFonts w:asciiTheme="minorHAnsi" w:eastAsia="Times New Roman" w:hAnsiTheme="minorHAnsi" w:cstheme="minorHAnsi"/>
                <w:b/>
                <w:bCs/>
                <w:color w:val="000000"/>
                <w:lang w:val="id-ID"/>
              </w:rPr>
              <w:t>sia-Ukrain</w:t>
            </w:r>
            <w:r w:rsidR="006E23DC">
              <w:rPr>
                <w:rFonts w:asciiTheme="minorHAnsi" w:eastAsia="Times New Roman" w:hAnsiTheme="minorHAnsi" w:cstheme="minorHAnsi"/>
                <w:b/>
                <w:bCs/>
                <w:color w:val="000000"/>
                <w:lang w:val="id-ID"/>
              </w:rPr>
              <w:t>e War</w:t>
            </w:r>
          </w:p>
        </w:tc>
      </w:tr>
      <w:tr w:rsidR="00DF5B90" w:rsidRPr="00DF5B90" w14:paraId="66F52FCD" w14:textId="77777777" w:rsidTr="00DF5B90">
        <w:trPr>
          <w:trHeight w:val="300"/>
          <w:jc w:val="center"/>
        </w:trPr>
        <w:tc>
          <w:tcPr>
            <w:tcW w:w="2268" w:type="dxa"/>
            <w:gridSpan w:val="2"/>
            <w:vMerge w:val="restart"/>
            <w:tcBorders>
              <w:top w:val="single" w:sz="4" w:space="0" w:color="auto"/>
              <w:left w:val="nil"/>
              <w:bottom w:val="single" w:sz="8" w:space="0" w:color="000000"/>
              <w:right w:val="nil"/>
            </w:tcBorders>
            <w:noWrap/>
            <w:vAlign w:val="center"/>
            <w:hideMark/>
          </w:tcPr>
          <w:p w14:paraId="1C692C7E"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Independent Variable</w:t>
            </w:r>
          </w:p>
        </w:tc>
        <w:tc>
          <w:tcPr>
            <w:tcW w:w="0" w:type="auto"/>
            <w:gridSpan w:val="2"/>
            <w:tcBorders>
              <w:top w:val="single" w:sz="4" w:space="0" w:color="auto"/>
              <w:left w:val="nil"/>
              <w:bottom w:val="single" w:sz="4" w:space="0" w:color="auto"/>
              <w:right w:val="nil"/>
            </w:tcBorders>
            <w:vAlign w:val="center"/>
            <w:hideMark/>
          </w:tcPr>
          <w:p w14:paraId="09DCAA6E"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Mean Equation</w:t>
            </w:r>
          </w:p>
        </w:tc>
        <w:tc>
          <w:tcPr>
            <w:tcW w:w="0" w:type="auto"/>
            <w:gridSpan w:val="3"/>
            <w:tcBorders>
              <w:top w:val="single" w:sz="4" w:space="0" w:color="auto"/>
              <w:left w:val="nil"/>
              <w:bottom w:val="single" w:sz="4" w:space="0" w:color="auto"/>
              <w:right w:val="nil"/>
            </w:tcBorders>
            <w:noWrap/>
            <w:vAlign w:val="center"/>
            <w:hideMark/>
          </w:tcPr>
          <w:p w14:paraId="7182EA77"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Variance Equation</w:t>
            </w:r>
          </w:p>
        </w:tc>
        <w:tc>
          <w:tcPr>
            <w:tcW w:w="0" w:type="auto"/>
            <w:vMerge w:val="restart"/>
            <w:tcBorders>
              <w:top w:val="single" w:sz="4" w:space="0" w:color="auto"/>
              <w:left w:val="nil"/>
              <w:bottom w:val="single" w:sz="8" w:space="0" w:color="000000"/>
              <w:right w:val="nil"/>
            </w:tcBorders>
            <w:vAlign w:val="center"/>
            <w:hideMark/>
          </w:tcPr>
          <w:p w14:paraId="4669D363"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 xml:space="preserve">GED </w:t>
            </w:r>
          </w:p>
          <w:p w14:paraId="64DF560D"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Parameter</w:t>
            </w:r>
          </w:p>
        </w:tc>
      </w:tr>
      <w:tr w:rsidR="00DF5B90" w:rsidRPr="00DF5B90" w14:paraId="5C7EE020" w14:textId="77777777" w:rsidTr="00DF5B90">
        <w:trPr>
          <w:trHeight w:val="315"/>
          <w:jc w:val="center"/>
        </w:trPr>
        <w:tc>
          <w:tcPr>
            <w:tcW w:w="0" w:type="auto"/>
            <w:gridSpan w:val="2"/>
            <w:vMerge/>
            <w:tcBorders>
              <w:top w:val="single" w:sz="4" w:space="0" w:color="auto"/>
              <w:left w:val="nil"/>
              <w:bottom w:val="single" w:sz="4" w:space="0" w:color="auto"/>
              <w:right w:val="nil"/>
            </w:tcBorders>
            <w:vAlign w:val="center"/>
            <w:hideMark/>
          </w:tcPr>
          <w:p w14:paraId="6737A7B5" w14:textId="77777777" w:rsidR="00DF5B90" w:rsidRPr="00DF5B90" w:rsidRDefault="00DF5B90" w:rsidP="00DF5B90">
            <w:pPr>
              <w:spacing w:after="0" w:line="240" w:lineRule="auto"/>
              <w:rPr>
                <w:rFonts w:asciiTheme="minorHAnsi" w:eastAsia="Times New Roman" w:hAnsiTheme="minorHAnsi" w:cstheme="minorHAnsi"/>
                <w:b/>
                <w:bCs/>
                <w:color w:val="000000"/>
                <w:lang w:val="id-ID"/>
              </w:rPr>
            </w:pPr>
          </w:p>
        </w:tc>
        <w:tc>
          <w:tcPr>
            <w:tcW w:w="0" w:type="auto"/>
            <w:tcBorders>
              <w:top w:val="nil"/>
              <w:left w:val="nil"/>
              <w:bottom w:val="single" w:sz="4" w:space="0" w:color="auto"/>
              <w:right w:val="nil"/>
            </w:tcBorders>
            <w:vAlign w:val="center"/>
            <w:hideMark/>
          </w:tcPr>
          <w:p w14:paraId="5D29BB98"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C</w:t>
            </w:r>
          </w:p>
        </w:tc>
        <w:tc>
          <w:tcPr>
            <w:tcW w:w="0" w:type="auto"/>
            <w:tcBorders>
              <w:top w:val="nil"/>
              <w:left w:val="nil"/>
              <w:bottom w:val="single" w:sz="4" w:space="0" w:color="auto"/>
              <w:right w:val="nil"/>
            </w:tcBorders>
            <w:vAlign w:val="center"/>
            <w:hideMark/>
          </w:tcPr>
          <w:p w14:paraId="250EA531"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Independent Variable</w:t>
            </w:r>
          </w:p>
          <w:p w14:paraId="3DE3FCA7"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(Volatility)</w:t>
            </w:r>
          </w:p>
        </w:tc>
        <w:tc>
          <w:tcPr>
            <w:tcW w:w="0" w:type="auto"/>
            <w:tcBorders>
              <w:top w:val="nil"/>
              <w:left w:val="nil"/>
              <w:bottom w:val="single" w:sz="4" w:space="0" w:color="auto"/>
              <w:right w:val="nil"/>
            </w:tcBorders>
            <w:noWrap/>
            <w:vAlign w:val="center"/>
            <w:hideMark/>
          </w:tcPr>
          <w:p w14:paraId="6E6060D1"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C</w:t>
            </w:r>
          </w:p>
        </w:tc>
        <w:tc>
          <w:tcPr>
            <w:tcW w:w="0" w:type="auto"/>
            <w:tcBorders>
              <w:top w:val="nil"/>
              <w:left w:val="nil"/>
              <w:bottom w:val="single" w:sz="4" w:space="0" w:color="auto"/>
              <w:right w:val="nil"/>
            </w:tcBorders>
            <w:noWrap/>
            <w:vAlign w:val="center"/>
            <w:hideMark/>
          </w:tcPr>
          <w:p w14:paraId="026F1D14"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Resid</w:t>
            </w:r>
          </w:p>
        </w:tc>
        <w:tc>
          <w:tcPr>
            <w:tcW w:w="0" w:type="auto"/>
            <w:tcBorders>
              <w:top w:val="nil"/>
              <w:left w:val="nil"/>
              <w:bottom w:val="single" w:sz="4" w:space="0" w:color="auto"/>
              <w:right w:val="nil"/>
            </w:tcBorders>
            <w:noWrap/>
            <w:vAlign w:val="center"/>
            <w:hideMark/>
          </w:tcPr>
          <w:p w14:paraId="7BBB3226" w14:textId="7002513A"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G</w:t>
            </w:r>
            <w:r w:rsidR="006E23DC">
              <w:rPr>
                <w:rFonts w:asciiTheme="minorHAnsi" w:eastAsia="Times New Roman" w:hAnsiTheme="minorHAnsi" w:cstheme="minorHAnsi"/>
                <w:b/>
                <w:bCs/>
                <w:color w:val="000000"/>
                <w:lang w:val="id-ID"/>
              </w:rPr>
              <w:t>ARCH</w:t>
            </w:r>
          </w:p>
        </w:tc>
        <w:tc>
          <w:tcPr>
            <w:tcW w:w="0" w:type="auto"/>
            <w:vMerge/>
            <w:tcBorders>
              <w:top w:val="single" w:sz="4" w:space="0" w:color="auto"/>
              <w:left w:val="nil"/>
              <w:bottom w:val="single" w:sz="4" w:space="0" w:color="auto"/>
              <w:right w:val="nil"/>
            </w:tcBorders>
            <w:vAlign w:val="center"/>
            <w:hideMark/>
          </w:tcPr>
          <w:p w14:paraId="577FCA40" w14:textId="77777777" w:rsidR="00DF5B90" w:rsidRPr="00DF5B90" w:rsidRDefault="00DF5B90" w:rsidP="00DF5B90">
            <w:pPr>
              <w:spacing w:after="0" w:line="240" w:lineRule="auto"/>
              <w:rPr>
                <w:rFonts w:asciiTheme="minorHAnsi" w:eastAsia="Times New Roman" w:hAnsiTheme="minorHAnsi" w:cstheme="minorHAnsi"/>
                <w:b/>
                <w:bCs/>
                <w:color w:val="000000"/>
                <w:lang w:val="id-ID"/>
              </w:rPr>
            </w:pPr>
          </w:p>
        </w:tc>
      </w:tr>
      <w:tr w:rsidR="00DF5B90" w:rsidRPr="00DF5B90" w14:paraId="17CF8F71" w14:textId="77777777" w:rsidTr="00DF5B90">
        <w:trPr>
          <w:trHeight w:val="300"/>
          <w:jc w:val="center"/>
        </w:trPr>
        <w:tc>
          <w:tcPr>
            <w:tcW w:w="0" w:type="auto"/>
            <w:vMerge w:val="restart"/>
            <w:tcBorders>
              <w:top w:val="single" w:sz="4" w:space="0" w:color="auto"/>
              <w:left w:val="nil"/>
              <w:right w:val="nil"/>
            </w:tcBorders>
            <w:noWrap/>
            <w:vAlign w:val="center"/>
            <w:hideMark/>
          </w:tcPr>
          <w:p w14:paraId="0A691487"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JKSE</w:t>
            </w:r>
          </w:p>
        </w:tc>
        <w:tc>
          <w:tcPr>
            <w:tcW w:w="1427" w:type="dxa"/>
            <w:tcBorders>
              <w:top w:val="single" w:sz="4" w:space="0" w:color="auto"/>
            </w:tcBorders>
            <w:noWrap/>
            <w:vAlign w:val="center"/>
            <w:hideMark/>
          </w:tcPr>
          <w:p w14:paraId="7C453DE8"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tcBorders>
            <w:noWrap/>
            <w:vAlign w:val="center"/>
            <w:hideMark/>
          </w:tcPr>
          <w:p w14:paraId="0764D65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0.0009</w:t>
            </w:r>
          </w:p>
        </w:tc>
        <w:tc>
          <w:tcPr>
            <w:tcW w:w="0" w:type="auto"/>
            <w:tcBorders>
              <w:top w:val="single" w:sz="4" w:space="0" w:color="auto"/>
            </w:tcBorders>
            <w:noWrap/>
            <w:vAlign w:val="center"/>
            <w:hideMark/>
          </w:tcPr>
          <w:p w14:paraId="427F47D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-0.0001</w:t>
            </w:r>
          </w:p>
        </w:tc>
        <w:tc>
          <w:tcPr>
            <w:tcW w:w="0" w:type="auto"/>
            <w:tcBorders>
              <w:top w:val="single" w:sz="4" w:space="0" w:color="auto"/>
            </w:tcBorders>
            <w:noWrap/>
            <w:vAlign w:val="center"/>
            <w:hideMark/>
          </w:tcPr>
          <w:p w14:paraId="27F37EC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single" w:sz="4" w:space="0" w:color="auto"/>
            </w:tcBorders>
            <w:noWrap/>
            <w:vAlign w:val="center"/>
            <w:hideMark/>
          </w:tcPr>
          <w:p w14:paraId="4352C42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0.0660</w:t>
            </w:r>
          </w:p>
        </w:tc>
        <w:tc>
          <w:tcPr>
            <w:tcW w:w="0" w:type="auto"/>
            <w:tcBorders>
              <w:top w:val="single" w:sz="4" w:space="0" w:color="auto"/>
            </w:tcBorders>
            <w:noWrap/>
            <w:vAlign w:val="center"/>
            <w:hideMark/>
          </w:tcPr>
          <w:p w14:paraId="593BC05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0.6741</w:t>
            </w:r>
          </w:p>
        </w:tc>
        <w:tc>
          <w:tcPr>
            <w:tcW w:w="0" w:type="auto"/>
            <w:tcBorders>
              <w:top w:val="single" w:sz="4" w:space="0" w:color="auto"/>
            </w:tcBorders>
            <w:vAlign w:val="center"/>
            <w:hideMark/>
          </w:tcPr>
          <w:p w14:paraId="644DCD7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0.9234</w:t>
            </w:r>
          </w:p>
        </w:tc>
      </w:tr>
      <w:tr w:rsidR="00DF5B90" w:rsidRPr="00DF5B90" w14:paraId="118D3DDB" w14:textId="77777777" w:rsidTr="00DF5B90">
        <w:trPr>
          <w:trHeight w:val="300"/>
          <w:jc w:val="center"/>
        </w:trPr>
        <w:tc>
          <w:tcPr>
            <w:tcW w:w="0" w:type="auto"/>
            <w:vMerge/>
            <w:tcBorders>
              <w:top w:val="nil"/>
              <w:left w:val="nil"/>
              <w:right w:val="nil"/>
            </w:tcBorders>
            <w:vAlign w:val="center"/>
            <w:hideMark/>
          </w:tcPr>
          <w:p w14:paraId="10BEB3A7"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427" w:type="dxa"/>
            <w:noWrap/>
            <w:vAlign w:val="center"/>
            <w:hideMark/>
          </w:tcPr>
          <w:p w14:paraId="7EFEB9B9"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0D27E6E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1.9777</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4ED290D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-0.1748</w:t>
            </w:r>
          </w:p>
        </w:tc>
        <w:tc>
          <w:tcPr>
            <w:tcW w:w="0" w:type="auto"/>
            <w:noWrap/>
            <w:vAlign w:val="center"/>
            <w:hideMark/>
          </w:tcPr>
          <w:p w14:paraId="7F0AC51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1.2593</w:t>
            </w:r>
          </w:p>
        </w:tc>
        <w:tc>
          <w:tcPr>
            <w:tcW w:w="0" w:type="auto"/>
            <w:noWrap/>
            <w:vAlign w:val="center"/>
            <w:hideMark/>
          </w:tcPr>
          <w:p w14:paraId="5B39014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0.7143</w:t>
            </w:r>
          </w:p>
        </w:tc>
        <w:tc>
          <w:tcPr>
            <w:tcW w:w="0" w:type="auto"/>
            <w:noWrap/>
            <w:vAlign w:val="center"/>
            <w:hideMark/>
          </w:tcPr>
          <w:p w14:paraId="34F260C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2.9162</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51785CC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6.6641</w:t>
            </w:r>
            <w:r w:rsidRPr="00DF5B90">
              <w:rPr>
                <w:rFonts w:asciiTheme="minorHAnsi" w:eastAsia="Times New Roman" w:hAnsiTheme="minorHAnsi" w:cstheme="minorHAnsi"/>
                <w:color w:val="000000"/>
                <w:vertAlign w:val="superscript"/>
                <w:lang w:val="id-ID"/>
              </w:rPr>
              <w:t>***</w:t>
            </w:r>
          </w:p>
        </w:tc>
      </w:tr>
      <w:tr w:rsidR="00DF5B90" w:rsidRPr="00DF5B90" w14:paraId="3390150B" w14:textId="77777777" w:rsidTr="00DF5B90">
        <w:trPr>
          <w:trHeight w:val="300"/>
          <w:jc w:val="center"/>
        </w:trPr>
        <w:tc>
          <w:tcPr>
            <w:tcW w:w="0" w:type="auto"/>
            <w:vMerge/>
            <w:tcBorders>
              <w:top w:val="nil"/>
              <w:left w:val="nil"/>
              <w:bottom w:val="single" w:sz="4" w:space="0" w:color="auto"/>
              <w:right w:val="nil"/>
            </w:tcBorders>
            <w:vAlign w:val="center"/>
            <w:hideMark/>
          </w:tcPr>
          <w:p w14:paraId="728AA710"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427" w:type="dxa"/>
            <w:tcBorders>
              <w:top w:val="nil"/>
              <w:left w:val="nil"/>
              <w:bottom w:val="single" w:sz="4" w:space="0" w:color="auto"/>
              <w:right w:val="nil"/>
            </w:tcBorders>
            <w:noWrap/>
            <w:vAlign w:val="center"/>
            <w:hideMark/>
          </w:tcPr>
          <w:p w14:paraId="4C380CF8"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1D565F3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0.0480</w:t>
            </w:r>
          </w:p>
        </w:tc>
        <w:tc>
          <w:tcPr>
            <w:tcW w:w="0" w:type="auto"/>
            <w:tcBorders>
              <w:top w:val="nil"/>
              <w:left w:val="nil"/>
              <w:bottom w:val="single" w:sz="4" w:space="0" w:color="auto"/>
              <w:right w:val="nil"/>
            </w:tcBorders>
            <w:noWrap/>
            <w:vAlign w:val="center"/>
            <w:hideMark/>
          </w:tcPr>
          <w:p w14:paraId="158E66C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0.8612</w:t>
            </w:r>
          </w:p>
        </w:tc>
        <w:tc>
          <w:tcPr>
            <w:tcW w:w="0" w:type="auto"/>
            <w:tcBorders>
              <w:top w:val="nil"/>
              <w:left w:val="nil"/>
              <w:bottom w:val="single" w:sz="4" w:space="0" w:color="auto"/>
              <w:right w:val="nil"/>
            </w:tcBorders>
            <w:noWrap/>
            <w:vAlign w:val="center"/>
            <w:hideMark/>
          </w:tcPr>
          <w:p w14:paraId="130A2F9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0.2079</w:t>
            </w:r>
          </w:p>
        </w:tc>
        <w:tc>
          <w:tcPr>
            <w:tcW w:w="0" w:type="auto"/>
            <w:tcBorders>
              <w:top w:val="nil"/>
              <w:left w:val="nil"/>
              <w:bottom w:val="single" w:sz="4" w:space="0" w:color="auto"/>
              <w:right w:val="nil"/>
            </w:tcBorders>
            <w:noWrap/>
            <w:vAlign w:val="center"/>
            <w:hideMark/>
          </w:tcPr>
          <w:p w14:paraId="08D1B13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0.4751</w:t>
            </w:r>
          </w:p>
        </w:tc>
        <w:tc>
          <w:tcPr>
            <w:tcW w:w="0" w:type="auto"/>
            <w:tcBorders>
              <w:top w:val="nil"/>
              <w:left w:val="nil"/>
              <w:bottom w:val="single" w:sz="4" w:space="0" w:color="auto"/>
              <w:right w:val="nil"/>
            </w:tcBorders>
            <w:noWrap/>
            <w:vAlign w:val="center"/>
            <w:hideMark/>
          </w:tcPr>
          <w:p w14:paraId="6F89602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0.0035</w:t>
            </w:r>
          </w:p>
        </w:tc>
        <w:tc>
          <w:tcPr>
            <w:tcW w:w="0" w:type="auto"/>
            <w:tcBorders>
              <w:top w:val="nil"/>
              <w:left w:val="nil"/>
              <w:bottom w:val="single" w:sz="4" w:space="0" w:color="auto"/>
              <w:right w:val="nil"/>
            </w:tcBorders>
            <w:noWrap/>
            <w:vAlign w:val="center"/>
            <w:hideMark/>
          </w:tcPr>
          <w:p w14:paraId="0439AC3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2C45BDD2" w14:textId="77777777" w:rsidTr="00DF5B90">
        <w:trPr>
          <w:trHeight w:val="300"/>
          <w:jc w:val="center"/>
        </w:trPr>
        <w:tc>
          <w:tcPr>
            <w:tcW w:w="0" w:type="auto"/>
            <w:vMerge w:val="restart"/>
            <w:tcBorders>
              <w:top w:val="single" w:sz="4" w:space="0" w:color="auto"/>
            </w:tcBorders>
            <w:noWrap/>
            <w:vAlign w:val="center"/>
            <w:hideMark/>
          </w:tcPr>
          <w:p w14:paraId="39840BC8"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KLSE</w:t>
            </w:r>
          </w:p>
        </w:tc>
        <w:tc>
          <w:tcPr>
            <w:tcW w:w="1427" w:type="dxa"/>
            <w:tcBorders>
              <w:top w:val="single" w:sz="4" w:space="0" w:color="auto"/>
            </w:tcBorders>
            <w:noWrap/>
            <w:vAlign w:val="center"/>
            <w:hideMark/>
          </w:tcPr>
          <w:p w14:paraId="19C4C7C2"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tcBorders>
            <w:noWrap/>
            <w:vAlign w:val="center"/>
            <w:hideMark/>
          </w:tcPr>
          <w:p w14:paraId="2D30179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0.0008</w:t>
            </w:r>
          </w:p>
        </w:tc>
        <w:tc>
          <w:tcPr>
            <w:tcW w:w="0" w:type="auto"/>
            <w:tcBorders>
              <w:top w:val="single" w:sz="4" w:space="0" w:color="auto"/>
            </w:tcBorders>
            <w:noWrap/>
            <w:vAlign w:val="center"/>
            <w:hideMark/>
          </w:tcPr>
          <w:p w14:paraId="290706C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single" w:sz="4" w:space="0" w:color="auto"/>
            </w:tcBorders>
            <w:noWrap/>
            <w:vAlign w:val="center"/>
            <w:hideMark/>
          </w:tcPr>
          <w:p w14:paraId="0D9CD0B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single" w:sz="4" w:space="0" w:color="auto"/>
            </w:tcBorders>
            <w:noWrap/>
            <w:vAlign w:val="center"/>
            <w:hideMark/>
          </w:tcPr>
          <w:p w14:paraId="5400126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0.0649</w:t>
            </w:r>
          </w:p>
        </w:tc>
        <w:tc>
          <w:tcPr>
            <w:tcW w:w="0" w:type="auto"/>
            <w:tcBorders>
              <w:top w:val="single" w:sz="4" w:space="0" w:color="auto"/>
            </w:tcBorders>
            <w:noWrap/>
            <w:vAlign w:val="center"/>
            <w:hideMark/>
          </w:tcPr>
          <w:p w14:paraId="21CF31B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0.6753</w:t>
            </w:r>
          </w:p>
        </w:tc>
        <w:tc>
          <w:tcPr>
            <w:tcW w:w="0" w:type="auto"/>
            <w:tcBorders>
              <w:top w:val="single" w:sz="4" w:space="0" w:color="auto"/>
            </w:tcBorders>
            <w:vAlign w:val="center"/>
            <w:hideMark/>
          </w:tcPr>
          <w:p w14:paraId="24B4199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0.9291</w:t>
            </w:r>
          </w:p>
        </w:tc>
      </w:tr>
      <w:tr w:rsidR="00DF5B90" w:rsidRPr="00DF5B90" w14:paraId="6E21EEF6" w14:textId="77777777" w:rsidTr="00DF5B90">
        <w:trPr>
          <w:trHeight w:val="300"/>
          <w:jc w:val="center"/>
        </w:trPr>
        <w:tc>
          <w:tcPr>
            <w:tcW w:w="0" w:type="auto"/>
            <w:vMerge/>
            <w:vAlign w:val="center"/>
            <w:hideMark/>
          </w:tcPr>
          <w:p w14:paraId="0A8FFB95"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427" w:type="dxa"/>
            <w:noWrap/>
            <w:vAlign w:val="center"/>
            <w:hideMark/>
          </w:tcPr>
          <w:p w14:paraId="50B331E2"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058D922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1.9094</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232BCC7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0.0184</w:t>
            </w:r>
          </w:p>
        </w:tc>
        <w:tc>
          <w:tcPr>
            <w:tcW w:w="0" w:type="auto"/>
            <w:noWrap/>
            <w:vAlign w:val="center"/>
            <w:hideMark/>
          </w:tcPr>
          <w:p w14:paraId="624FA7D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1.2653</w:t>
            </w:r>
          </w:p>
        </w:tc>
        <w:tc>
          <w:tcPr>
            <w:tcW w:w="0" w:type="auto"/>
            <w:noWrap/>
            <w:vAlign w:val="center"/>
            <w:hideMark/>
          </w:tcPr>
          <w:p w14:paraId="24E73FF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0.7132</w:t>
            </w:r>
          </w:p>
        </w:tc>
        <w:tc>
          <w:tcPr>
            <w:tcW w:w="0" w:type="auto"/>
            <w:noWrap/>
            <w:vAlign w:val="center"/>
            <w:hideMark/>
          </w:tcPr>
          <w:p w14:paraId="568EDF6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2.9458</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421D03A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6.6603</w:t>
            </w:r>
            <w:r w:rsidRPr="00DF5B90">
              <w:rPr>
                <w:rFonts w:asciiTheme="minorHAnsi" w:eastAsia="Times New Roman" w:hAnsiTheme="minorHAnsi" w:cstheme="minorHAnsi"/>
                <w:color w:val="000000"/>
                <w:vertAlign w:val="superscript"/>
                <w:lang w:val="id-ID"/>
              </w:rPr>
              <w:t>***</w:t>
            </w:r>
          </w:p>
        </w:tc>
      </w:tr>
      <w:tr w:rsidR="00DF5B90" w:rsidRPr="00DF5B90" w14:paraId="6EAAD6C4" w14:textId="77777777" w:rsidTr="00DF5B90">
        <w:trPr>
          <w:trHeight w:val="300"/>
          <w:jc w:val="center"/>
        </w:trPr>
        <w:tc>
          <w:tcPr>
            <w:tcW w:w="0" w:type="auto"/>
            <w:vMerge/>
            <w:vAlign w:val="center"/>
            <w:hideMark/>
          </w:tcPr>
          <w:p w14:paraId="26D956A5"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427" w:type="dxa"/>
            <w:noWrap/>
            <w:vAlign w:val="center"/>
            <w:hideMark/>
          </w:tcPr>
          <w:p w14:paraId="7ADDB468"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noWrap/>
            <w:vAlign w:val="center"/>
            <w:hideMark/>
          </w:tcPr>
          <w:p w14:paraId="265EEA0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0.0562</w:t>
            </w:r>
          </w:p>
        </w:tc>
        <w:tc>
          <w:tcPr>
            <w:tcW w:w="0" w:type="auto"/>
            <w:noWrap/>
            <w:vAlign w:val="center"/>
            <w:hideMark/>
          </w:tcPr>
          <w:p w14:paraId="2244C5E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0.9853</w:t>
            </w:r>
          </w:p>
        </w:tc>
        <w:tc>
          <w:tcPr>
            <w:tcW w:w="0" w:type="auto"/>
            <w:noWrap/>
            <w:vAlign w:val="center"/>
            <w:hideMark/>
          </w:tcPr>
          <w:p w14:paraId="436984C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0.2058</w:t>
            </w:r>
          </w:p>
        </w:tc>
        <w:tc>
          <w:tcPr>
            <w:tcW w:w="0" w:type="auto"/>
            <w:noWrap/>
            <w:vAlign w:val="center"/>
            <w:hideMark/>
          </w:tcPr>
          <w:p w14:paraId="4217161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0.4757</w:t>
            </w:r>
          </w:p>
        </w:tc>
        <w:tc>
          <w:tcPr>
            <w:tcW w:w="0" w:type="auto"/>
            <w:noWrap/>
            <w:vAlign w:val="center"/>
            <w:hideMark/>
          </w:tcPr>
          <w:p w14:paraId="0AB8383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0.0032</w:t>
            </w:r>
          </w:p>
        </w:tc>
        <w:tc>
          <w:tcPr>
            <w:tcW w:w="0" w:type="auto"/>
            <w:noWrap/>
            <w:vAlign w:val="center"/>
            <w:hideMark/>
          </w:tcPr>
          <w:p w14:paraId="585276F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6389E194" w14:textId="77777777" w:rsidTr="00DF5B90">
        <w:trPr>
          <w:trHeight w:val="300"/>
          <w:jc w:val="center"/>
        </w:trPr>
        <w:tc>
          <w:tcPr>
            <w:tcW w:w="0" w:type="auto"/>
            <w:vMerge w:val="restart"/>
            <w:tcBorders>
              <w:top w:val="single" w:sz="4" w:space="0" w:color="auto"/>
              <w:left w:val="nil"/>
              <w:bottom w:val="single" w:sz="4" w:space="0" w:color="auto"/>
              <w:right w:val="nil"/>
            </w:tcBorders>
            <w:noWrap/>
            <w:vAlign w:val="center"/>
            <w:hideMark/>
          </w:tcPr>
          <w:p w14:paraId="2AFE12C4"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PSEi</w:t>
            </w:r>
          </w:p>
        </w:tc>
        <w:tc>
          <w:tcPr>
            <w:tcW w:w="1427" w:type="dxa"/>
            <w:tcBorders>
              <w:top w:val="single" w:sz="4" w:space="0" w:color="auto"/>
              <w:left w:val="nil"/>
              <w:bottom w:val="nil"/>
              <w:right w:val="nil"/>
            </w:tcBorders>
            <w:noWrap/>
            <w:vAlign w:val="center"/>
            <w:hideMark/>
          </w:tcPr>
          <w:p w14:paraId="7022C2E4"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009B8EE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0.0009</w:t>
            </w:r>
          </w:p>
        </w:tc>
        <w:tc>
          <w:tcPr>
            <w:tcW w:w="0" w:type="auto"/>
            <w:tcBorders>
              <w:top w:val="single" w:sz="4" w:space="0" w:color="auto"/>
              <w:left w:val="nil"/>
              <w:bottom w:val="nil"/>
              <w:right w:val="nil"/>
            </w:tcBorders>
            <w:noWrap/>
            <w:vAlign w:val="center"/>
            <w:hideMark/>
          </w:tcPr>
          <w:p w14:paraId="6AC6FBB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-0.0001</w:t>
            </w:r>
          </w:p>
        </w:tc>
        <w:tc>
          <w:tcPr>
            <w:tcW w:w="0" w:type="auto"/>
            <w:tcBorders>
              <w:top w:val="single" w:sz="4" w:space="0" w:color="auto"/>
              <w:left w:val="nil"/>
              <w:bottom w:val="nil"/>
              <w:right w:val="nil"/>
            </w:tcBorders>
            <w:noWrap/>
            <w:vAlign w:val="center"/>
            <w:hideMark/>
          </w:tcPr>
          <w:p w14:paraId="6EB4026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single" w:sz="4" w:space="0" w:color="auto"/>
              <w:left w:val="nil"/>
              <w:bottom w:val="nil"/>
              <w:right w:val="nil"/>
            </w:tcBorders>
            <w:noWrap/>
            <w:vAlign w:val="center"/>
            <w:hideMark/>
          </w:tcPr>
          <w:p w14:paraId="0ACD547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0.0662</w:t>
            </w:r>
          </w:p>
        </w:tc>
        <w:tc>
          <w:tcPr>
            <w:tcW w:w="0" w:type="auto"/>
            <w:tcBorders>
              <w:top w:val="single" w:sz="4" w:space="0" w:color="auto"/>
              <w:left w:val="nil"/>
              <w:bottom w:val="nil"/>
              <w:right w:val="nil"/>
            </w:tcBorders>
            <w:noWrap/>
            <w:vAlign w:val="center"/>
            <w:hideMark/>
          </w:tcPr>
          <w:p w14:paraId="022EC08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0.6739</w:t>
            </w:r>
          </w:p>
        </w:tc>
        <w:tc>
          <w:tcPr>
            <w:tcW w:w="0" w:type="auto"/>
            <w:tcBorders>
              <w:top w:val="single" w:sz="4" w:space="0" w:color="auto"/>
              <w:left w:val="nil"/>
              <w:bottom w:val="nil"/>
              <w:right w:val="nil"/>
            </w:tcBorders>
            <w:vAlign w:val="center"/>
            <w:hideMark/>
          </w:tcPr>
          <w:p w14:paraId="569D170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0.9249</w:t>
            </w:r>
          </w:p>
        </w:tc>
      </w:tr>
      <w:tr w:rsidR="00DF5B90" w:rsidRPr="00DF5B90" w14:paraId="6B22F8CB"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3B9FE0C7"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427" w:type="dxa"/>
            <w:noWrap/>
            <w:vAlign w:val="center"/>
            <w:hideMark/>
          </w:tcPr>
          <w:p w14:paraId="7F7F0F5A"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487CE07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1.9953</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79BBF6F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-0.2744</w:t>
            </w:r>
          </w:p>
        </w:tc>
        <w:tc>
          <w:tcPr>
            <w:tcW w:w="0" w:type="auto"/>
            <w:noWrap/>
            <w:vAlign w:val="center"/>
            <w:hideMark/>
          </w:tcPr>
          <w:p w14:paraId="3AFD60D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1.2559</w:t>
            </w:r>
          </w:p>
        </w:tc>
        <w:tc>
          <w:tcPr>
            <w:tcW w:w="0" w:type="auto"/>
            <w:noWrap/>
            <w:vAlign w:val="center"/>
            <w:hideMark/>
          </w:tcPr>
          <w:p w14:paraId="25797B3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0.7189</w:t>
            </w:r>
          </w:p>
        </w:tc>
        <w:tc>
          <w:tcPr>
            <w:tcW w:w="0" w:type="auto"/>
            <w:noWrap/>
            <w:vAlign w:val="center"/>
            <w:hideMark/>
          </w:tcPr>
          <w:p w14:paraId="4078B5A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2.9124</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71DDF59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6.6358</w:t>
            </w:r>
            <w:r w:rsidRPr="00DF5B90">
              <w:rPr>
                <w:rFonts w:asciiTheme="minorHAnsi" w:eastAsia="Times New Roman" w:hAnsiTheme="minorHAnsi" w:cstheme="minorHAnsi"/>
                <w:color w:val="000000"/>
                <w:vertAlign w:val="superscript"/>
                <w:lang w:val="id-ID"/>
              </w:rPr>
              <w:t>***</w:t>
            </w:r>
          </w:p>
        </w:tc>
      </w:tr>
      <w:tr w:rsidR="00DF5B90" w:rsidRPr="00DF5B90" w14:paraId="64C58C7D"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37AF6F45"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427" w:type="dxa"/>
            <w:tcBorders>
              <w:top w:val="nil"/>
              <w:left w:val="nil"/>
              <w:bottom w:val="single" w:sz="4" w:space="0" w:color="auto"/>
              <w:right w:val="nil"/>
            </w:tcBorders>
            <w:noWrap/>
            <w:vAlign w:val="center"/>
            <w:hideMark/>
          </w:tcPr>
          <w:p w14:paraId="604C76B7"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707343B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0.0460</w:t>
            </w:r>
          </w:p>
        </w:tc>
        <w:tc>
          <w:tcPr>
            <w:tcW w:w="0" w:type="auto"/>
            <w:tcBorders>
              <w:top w:val="nil"/>
              <w:left w:val="nil"/>
              <w:bottom w:val="single" w:sz="4" w:space="0" w:color="auto"/>
              <w:right w:val="nil"/>
            </w:tcBorders>
            <w:noWrap/>
            <w:vAlign w:val="center"/>
            <w:hideMark/>
          </w:tcPr>
          <w:p w14:paraId="10F9994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0.7838</w:t>
            </w:r>
          </w:p>
        </w:tc>
        <w:tc>
          <w:tcPr>
            <w:tcW w:w="0" w:type="auto"/>
            <w:tcBorders>
              <w:top w:val="nil"/>
              <w:left w:val="nil"/>
              <w:bottom w:val="single" w:sz="4" w:space="0" w:color="auto"/>
              <w:right w:val="nil"/>
            </w:tcBorders>
            <w:noWrap/>
            <w:vAlign w:val="center"/>
            <w:hideMark/>
          </w:tcPr>
          <w:p w14:paraId="5279EB8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0.2092</w:t>
            </w:r>
          </w:p>
        </w:tc>
        <w:tc>
          <w:tcPr>
            <w:tcW w:w="0" w:type="auto"/>
            <w:tcBorders>
              <w:top w:val="nil"/>
              <w:left w:val="nil"/>
              <w:bottom w:val="single" w:sz="4" w:space="0" w:color="auto"/>
              <w:right w:val="nil"/>
            </w:tcBorders>
            <w:noWrap/>
            <w:vAlign w:val="center"/>
            <w:hideMark/>
          </w:tcPr>
          <w:p w14:paraId="2A4D260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0.4722</w:t>
            </w:r>
          </w:p>
        </w:tc>
        <w:tc>
          <w:tcPr>
            <w:tcW w:w="0" w:type="auto"/>
            <w:tcBorders>
              <w:top w:val="nil"/>
              <w:left w:val="nil"/>
              <w:bottom w:val="single" w:sz="4" w:space="0" w:color="auto"/>
              <w:right w:val="nil"/>
            </w:tcBorders>
            <w:noWrap/>
            <w:vAlign w:val="center"/>
            <w:hideMark/>
          </w:tcPr>
          <w:p w14:paraId="6CB8DD2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0.0036</w:t>
            </w:r>
          </w:p>
        </w:tc>
        <w:tc>
          <w:tcPr>
            <w:tcW w:w="0" w:type="auto"/>
            <w:tcBorders>
              <w:top w:val="nil"/>
              <w:left w:val="nil"/>
              <w:bottom w:val="single" w:sz="4" w:space="0" w:color="auto"/>
              <w:right w:val="nil"/>
            </w:tcBorders>
            <w:noWrap/>
            <w:vAlign w:val="center"/>
            <w:hideMark/>
          </w:tcPr>
          <w:p w14:paraId="0B089EE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76FA710E" w14:textId="77777777" w:rsidTr="00DF5B90">
        <w:trPr>
          <w:trHeight w:val="300"/>
          <w:jc w:val="center"/>
        </w:trPr>
        <w:tc>
          <w:tcPr>
            <w:tcW w:w="0" w:type="auto"/>
            <w:vMerge w:val="restart"/>
            <w:tcBorders>
              <w:top w:val="single" w:sz="4" w:space="0" w:color="auto"/>
              <w:left w:val="nil"/>
              <w:bottom w:val="single" w:sz="4" w:space="0" w:color="auto"/>
              <w:right w:val="nil"/>
            </w:tcBorders>
            <w:noWrap/>
            <w:vAlign w:val="center"/>
            <w:hideMark/>
          </w:tcPr>
          <w:p w14:paraId="09AB7F90"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STI</w:t>
            </w:r>
          </w:p>
        </w:tc>
        <w:tc>
          <w:tcPr>
            <w:tcW w:w="1427" w:type="dxa"/>
            <w:tcBorders>
              <w:top w:val="single" w:sz="4" w:space="0" w:color="auto"/>
              <w:left w:val="nil"/>
              <w:bottom w:val="nil"/>
              <w:right w:val="nil"/>
            </w:tcBorders>
            <w:noWrap/>
            <w:vAlign w:val="center"/>
            <w:hideMark/>
          </w:tcPr>
          <w:p w14:paraId="13497D39"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0555B93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0.0008</w:t>
            </w:r>
          </w:p>
        </w:tc>
        <w:tc>
          <w:tcPr>
            <w:tcW w:w="0" w:type="auto"/>
            <w:tcBorders>
              <w:top w:val="single" w:sz="4" w:space="0" w:color="auto"/>
              <w:left w:val="nil"/>
              <w:bottom w:val="nil"/>
              <w:right w:val="nil"/>
            </w:tcBorders>
            <w:noWrap/>
            <w:vAlign w:val="center"/>
            <w:hideMark/>
          </w:tcPr>
          <w:p w14:paraId="44B0489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single" w:sz="4" w:space="0" w:color="auto"/>
              <w:left w:val="nil"/>
              <w:bottom w:val="nil"/>
              <w:right w:val="nil"/>
            </w:tcBorders>
            <w:noWrap/>
            <w:vAlign w:val="center"/>
            <w:hideMark/>
          </w:tcPr>
          <w:p w14:paraId="39DD336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single" w:sz="4" w:space="0" w:color="auto"/>
              <w:left w:val="nil"/>
              <w:bottom w:val="nil"/>
              <w:right w:val="nil"/>
            </w:tcBorders>
            <w:noWrap/>
            <w:vAlign w:val="center"/>
            <w:hideMark/>
          </w:tcPr>
          <w:p w14:paraId="760AB86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0.0650</w:t>
            </w:r>
          </w:p>
        </w:tc>
        <w:tc>
          <w:tcPr>
            <w:tcW w:w="0" w:type="auto"/>
            <w:tcBorders>
              <w:top w:val="single" w:sz="4" w:space="0" w:color="auto"/>
              <w:left w:val="nil"/>
              <w:bottom w:val="nil"/>
              <w:right w:val="nil"/>
            </w:tcBorders>
            <w:noWrap/>
            <w:vAlign w:val="center"/>
            <w:hideMark/>
          </w:tcPr>
          <w:p w14:paraId="1450750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0.6755</w:t>
            </w:r>
          </w:p>
        </w:tc>
        <w:tc>
          <w:tcPr>
            <w:tcW w:w="0" w:type="auto"/>
            <w:tcBorders>
              <w:top w:val="single" w:sz="4" w:space="0" w:color="auto"/>
              <w:left w:val="nil"/>
              <w:bottom w:val="nil"/>
              <w:right w:val="nil"/>
            </w:tcBorders>
            <w:vAlign w:val="center"/>
            <w:hideMark/>
          </w:tcPr>
          <w:p w14:paraId="6DA53BF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0.9286</w:t>
            </w:r>
          </w:p>
        </w:tc>
      </w:tr>
      <w:tr w:rsidR="00DF5B90" w:rsidRPr="00DF5B90" w14:paraId="159EB891"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00D02FE2"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427" w:type="dxa"/>
            <w:noWrap/>
            <w:vAlign w:val="center"/>
            <w:hideMark/>
          </w:tcPr>
          <w:p w14:paraId="4DC9A613"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4BF510D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1.9486</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13945A5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0.0534</w:t>
            </w:r>
          </w:p>
        </w:tc>
        <w:tc>
          <w:tcPr>
            <w:tcW w:w="0" w:type="auto"/>
            <w:noWrap/>
            <w:vAlign w:val="center"/>
            <w:hideMark/>
          </w:tcPr>
          <w:p w14:paraId="3D5B22C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1.2630</w:t>
            </w:r>
          </w:p>
        </w:tc>
        <w:tc>
          <w:tcPr>
            <w:tcW w:w="0" w:type="auto"/>
            <w:noWrap/>
            <w:vAlign w:val="center"/>
            <w:hideMark/>
          </w:tcPr>
          <w:p w14:paraId="6C51542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0.7142</w:t>
            </w:r>
          </w:p>
        </w:tc>
        <w:tc>
          <w:tcPr>
            <w:tcW w:w="0" w:type="auto"/>
            <w:noWrap/>
            <w:vAlign w:val="center"/>
            <w:hideMark/>
          </w:tcPr>
          <w:p w14:paraId="07172B2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2.9445</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1EE0155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6.6597</w:t>
            </w:r>
            <w:r w:rsidRPr="00DF5B90">
              <w:rPr>
                <w:rFonts w:asciiTheme="minorHAnsi" w:eastAsia="Times New Roman" w:hAnsiTheme="minorHAnsi" w:cstheme="minorHAnsi"/>
                <w:color w:val="000000"/>
                <w:vertAlign w:val="superscript"/>
                <w:lang w:val="id-ID"/>
              </w:rPr>
              <w:t>***</w:t>
            </w:r>
          </w:p>
        </w:tc>
      </w:tr>
      <w:tr w:rsidR="00DF5B90" w:rsidRPr="00DF5B90" w14:paraId="2A6610D8"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051B5AFC"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427" w:type="dxa"/>
            <w:tcBorders>
              <w:top w:val="nil"/>
              <w:left w:val="nil"/>
              <w:bottom w:val="single" w:sz="4" w:space="0" w:color="auto"/>
              <w:right w:val="nil"/>
            </w:tcBorders>
            <w:noWrap/>
            <w:vAlign w:val="center"/>
            <w:hideMark/>
          </w:tcPr>
          <w:p w14:paraId="057E33E4"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55996A1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0.0513</w:t>
            </w:r>
          </w:p>
        </w:tc>
        <w:tc>
          <w:tcPr>
            <w:tcW w:w="0" w:type="auto"/>
            <w:tcBorders>
              <w:top w:val="nil"/>
              <w:left w:val="nil"/>
              <w:bottom w:val="single" w:sz="4" w:space="0" w:color="auto"/>
              <w:right w:val="nil"/>
            </w:tcBorders>
            <w:noWrap/>
            <w:vAlign w:val="center"/>
            <w:hideMark/>
          </w:tcPr>
          <w:p w14:paraId="79882AB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0.9574</w:t>
            </w:r>
          </w:p>
        </w:tc>
        <w:tc>
          <w:tcPr>
            <w:tcW w:w="0" w:type="auto"/>
            <w:tcBorders>
              <w:top w:val="nil"/>
              <w:left w:val="nil"/>
              <w:bottom w:val="single" w:sz="4" w:space="0" w:color="auto"/>
              <w:right w:val="nil"/>
            </w:tcBorders>
            <w:noWrap/>
            <w:vAlign w:val="center"/>
            <w:hideMark/>
          </w:tcPr>
          <w:p w14:paraId="77DC261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0.2066</w:t>
            </w:r>
          </w:p>
        </w:tc>
        <w:tc>
          <w:tcPr>
            <w:tcW w:w="0" w:type="auto"/>
            <w:tcBorders>
              <w:top w:val="nil"/>
              <w:left w:val="nil"/>
              <w:bottom w:val="single" w:sz="4" w:space="0" w:color="auto"/>
              <w:right w:val="nil"/>
            </w:tcBorders>
            <w:noWrap/>
            <w:vAlign w:val="center"/>
            <w:hideMark/>
          </w:tcPr>
          <w:p w14:paraId="53AF332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0.4751</w:t>
            </w:r>
          </w:p>
        </w:tc>
        <w:tc>
          <w:tcPr>
            <w:tcW w:w="0" w:type="auto"/>
            <w:tcBorders>
              <w:top w:val="nil"/>
              <w:left w:val="nil"/>
              <w:bottom w:val="single" w:sz="4" w:space="0" w:color="auto"/>
              <w:right w:val="nil"/>
            </w:tcBorders>
            <w:noWrap/>
            <w:vAlign w:val="center"/>
            <w:hideMark/>
          </w:tcPr>
          <w:p w14:paraId="034B1CF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0.0032</w:t>
            </w:r>
          </w:p>
        </w:tc>
        <w:tc>
          <w:tcPr>
            <w:tcW w:w="0" w:type="auto"/>
            <w:tcBorders>
              <w:top w:val="nil"/>
              <w:left w:val="nil"/>
              <w:bottom w:val="single" w:sz="4" w:space="0" w:color="auto"/>
              <w:right w:val="nil"/>
            </w:tcBorders>
            <w:noWrap/>
            <w:vAlign w:val="center"/>
            <w:hideMark/>
          </w:tcPr>
          <w:p w14:paraId="73A209F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7F8488B4" w14:textId="77777777" w:rsidTr="00DF5B90">
        <w:trPr>
          <w:trHeight w:val="300"/>
          <w:jc w:val="center"/>
        </w:trPr>
        <w:tc>
          <w:tcPr>
            <w:tcW w:w="0" w:type="auto"/>
            <w:vMerge w:val="restart"/>
            <w:tcBorders>
              <w:top w:val="single" w:sz="4" w:space="0" w:color="auto"/>
              <w:left w:val="nil"/>
              <w:bottom w:val="single" w:sz="4" w:space="0" w:color="000000"/>
              <w:right w:val="nil"/>
            </w:tcBorders>
            <w:noWrap/>
            <w:vAlign w:val="center"/>
            <w:hideMark/>
          </w:tcPr>
          <w:p w14:paraId="28A10876"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SETI</w:t>
            </w:r>
          </w:p>
        </w:tc>
        <w:tc>
          <w:tcPr>
            <w:tcW w:w="1427" w:type="dxa"/>
            <w:tcBorders>
              <w:top w:val="single" w:sz="4" w:space="0" w:color="auto"/>
              <w:left w:val="nil"/>
              <w:bottom w:val="nil"/>
              <w:right w:val="nil"/>
            </w:tcBorders>
            <w:noWrap/>
            <w:vAlign w:val="center"/>
            <w:hideMark/>
          </w:tcPr>
          <w:p w14:paraId="44CE501D"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39E439A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0.0008</w:t>
            </w:r>
          </w:p>
        </w:tc>
        <w:tc>
          <w:tcPr>
            <w:tcW w:w="0" w:type="auto"/>
            <w:tcBorders>
              <w:top w:val="single" w:sz="4" w:space="0" w:color="auto"/>
              <w:left w:val="nil"/>
              <w:bottom w:val="nil"/>
              <w:right w:val="nil"/>
            </w:tcBorders>
            <w:noWrap/>
            <w:vAlign w:val="center"/>
            <w:hideMark/>
          </w:tcPr>
          <w:p w14:paraId="0385BD8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single" w:sz="4" w:space="0" w:color="auto"/>
              <w:left w:val="nil"/>
              <w:bottom w:val="nil"/>
              <w:right w:val="nil"/>
            </w:tcBorders>
            <w:noWrap/>
            <w:vAlign w:val="center"/>
            <w:hideMark/>
          </w:tcPr>
          <w:p w14:paraId="3CC58EE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single" w:sz="4" w:space="0" w:color="auto"/>
              <w:left w:val="nil"/>
              <w:bottom w:val="nil"/>
              <w:right w:val="nil"/>
            </w:tcBorders>
            <w:noWrap/>
            <w:vAlign w:val="center"/>
            <w:hideMark/>
          </w:tcPr>
          <w:p w14:paraId="02092FF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0.0652</w:t>
            </w:r>
          </w:p>
        </w:tc>
        <w:tc>
          <w:tcPr>
            <w:tcW w:w="0" w:type="auto"/>
            <w:tcBorders>
              <w:top w:val="single" w:sz="4" w:space="0" w:color="auto"/>
              <w:left w:val="nil"/>
              <w:bottom w:val="nil"/>
              <w:right w:val="nil"/>
            </w:tcBorders>
            <w:noWrap/>
            <w:vAlign w:val="center"/>
            <w:hideMark/>
          </w:tcPr>
          <w:p w14:paraId="3581884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0.6749</w:t>
            </w:r>
          </w:p>
        </w:tc>
        <w:tc>
          <w:tcPr>
            <w:tcW w:w="0" w:type="auto"/>
            <w:tcBorders>
              <w:top w:val="single" w:sz="4" w:space="0" w:color="auto"/>
              <w:left w:val="nil"/>
              <w:bottom w:val="nil"/>
              <w:right w:val="nil"/>
            </w:tcBorders>
            <w:vAlign w:val="center"/>
            <w:hideMark/>
          </w:tcPr>
          <w:p w14:paraId="455596B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0.9293</w:t>
            </w:r>
          </w:p>
        </w:tc>
      </w:tr>
      <w:tr w:rsidR="00DF5B90" w:rsidRPr="00DF5B90" w14:paraId="097807B1" w14:textId="77777777" w:rsidTr="00DF5B90">
        <w:trPr>
          <w:trHeight w:val="300"/>
          <w:jc w:val="center"/>
        </w:trPr>
        <w:tc>
          <w:tcPr>
            <w:tcW w:w="0" w:type="auto"/>
            <w:vMerge/>
            <w:tcBorders>
              <w:top w:val="single" w:sz="4" w:space="0" w:color="auto"/>
              <w:left w:val="nil"/>
              <w:bottom w:val="single" w:sz="4" w:space="0" w:color="000000"/>
              <w:right w:val="nil"/>
            </w:tcBorders>
            <w:vAlign w:val="center"/>
            <w:hideMark/>
          </w:tcPr>
          <w:p w14:paraId="1A7D5C80"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427" w:type="dxa"/>
            <w:noWrap/>
            <w:vAlign w:val="center"/>
            <w:hideMark/>
          </w:tcPr>
          <w:p w14:paraId="56525EC2"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310A248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1.9253</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6D27FFA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0.0452</w:t>
            </w:r>
          </w:p>
        </w:tc>
        <w:tc>
          <w:tcPr>
            <w:tcW w:w="0" w:type="auto"/>
            <w:noWrap/>
            <w:vAlign w:val="center"/>
            <w:hideMark/>
          </w:tcPr>
          <w:p w14:paraId="32883EE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1.2665</w:t>
            </w:r>
          </w:p>
        </w:tc>
        <w:tc>
          <w:tcPr>
            <w:tcW w:w="0" w:type="auto"/>
            <w:noWrap/>
            <w:vAlign w:val="center"/>
            <w:hideMark/>
          </w:tcPr>
          <w:p w14:paraId="2FE2007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0.7161</w:t>
            </w:r>
          </w:p>
        </w:tc>
        <w:tc>
          <w:tcPr>
            <w:tcW w:w="0" w:type="auto"/>
            <w:noWrap/>
            <w:vAlign w:val="center"/>
            <w:hideMark/>
          </w:tcPr>
          <w:p w14:paraId="0C38487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2.9420</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6641E84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6.5939</w:t>
            </w:r>
            <w:r w:rsidRPr="00DF5B90">
              <w:rPr>
                <w:rFonts w:asciiTheme="minorHAnsi" w:eastAsia="Times New Roman" w:hAnsiTheme="minorHAnsi" w:cstheme="minorHAnsi"/>
                <w:color w:val="000000"/>
                <w:vertAlign w:val="superscript"/>
                <w:lang w:val="id-ID"/>
              </w:rPr>
              <w:t>***</w:t>
            </w:r>
          </w:p>
        </w:tc>
      </w:tr>
      <w:tr w:rsidR="00DF5B90" w:rsidRPr="00DF5B90" w14:paraId="375F3B9D" w14:textId="77777777" w:rsidTr="00DF5B90">
        <w:trPr>
          <w:trHeight w:val="300"/>
          <w:jc w:val="center"/>
        </w:trPr>
        <w:tc>
          <w:tcPr>
            <w:tcW w:w="0" w:type="auto"/>
            <w:vMerge/>
            <w:tcBorders>
              <w:top w:val="single" w:sz="4" w:space="0" w:color="auto"/>
              <w:left w:val="nil"/>
              <w:bottom w:val="single" w:sz="4" w:space="0" w:color="000000"/>
              <w:right w:val="nil"/>
            </w:tcBorders>
            <w:vAlign w:val="center"/>
            <w:hideMark/>
          </w:tcPr>
          <w:p w14:paraId="5CCBD15D"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427" w:type="dxa"/>
            <w:tcBorders>
              <w:top w:val="nil"/>
              <w:left w:val="nil"/>
              <w:bottom w:val="single" w:sz="4" w:space="0" w:color="auto"/>
              <w:right w:val="nil"/>
            </w:tcBorders>
            <w:noWrap/>
            <w:vAlign w:val="center"/>
            <w:hideMark/>
          </w:tcPr>
          <w:p w14:paraId="122BC23E"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33C775C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0.0542</w:t>
            </w:r>
          </w:p>
        </w:tc>
        <w:tc>
          <w:tcPr>
            <w:tcW w:w="0" w:type="auto"/>
            <w:tcBorders>
              <w:top w:val="nil"/>
              <w:left w:val="nil"/>
              <w:bottom w:val="single" w:sz="4" w:space="0" w:color="auto"/>
              <w:right w:val="nil"/>
            </w:tcBorders>
            <w:noWrap/>
            <w:vAlign w:val="center"/>
            <w:hideMark/>
          </w:tcPr>
          <w:p w14:paraId="05FD2D8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0.9640</w:t>
            </w:r>
          </w:p>
        </w:tc>
        <w:tc>
          <w:tcPr>
            <w:tcW w:w="0" w:type="auto"/>
            <w:tcBorders>
              <w:top w:val="nil"/>
              <w:left w:val="nil"/>
              <w:bottom w:val="single" w:sz="4" w:space="0" w:color="auto"/>
              <w:right w:val="nil"/>
            </w:tcBorders>
            <w:noWrap/>
            <w:vAlign w:val="center"/>
            <w:hideMark/>
          </w:tcPr>
          <w:p w14:paraId="5CC95C2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0.2053</w:t>
            </w:r>
          </w:p>
        </w:tc>
        <w:tc>
          <w:tcPr>
            <w:tcW w:w="0" w:type="auto"/>
            <w:tcBorders>
              <w:top w:val="nil"/>
              <w:left w:val="nil"/>
              <w:bottom w:val="single" w:sz="4" w:space="0" w:color="auto"/>
              <w:right w:val="nil"/>
            </w:tcBorders>
            <w:noWrap/>
            <w:vAlign w:val="center"/>
            <w:hideMark/>
          </w:tcPr>
          <w:p w14:paraId="33E12D8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0.4739</w:t>
            </w:r>
          </w:p>
        </w:tc>
        <w:tc>
          <w:tcPr>
            <w:tcW w:w="0" w:type="auto"/>
            <w:tcBorders>
              <w:top w:val="nil"/>
              <w:left w:val="nil"/>
              <w:bottom w:val="single" w:sz="4" w:space="0" w:color="auto"/>
              <w:right w:val="nil"/>
            </w:tcBorders>
            <w:noWrap/>
            <w:vAlign w:val="center"/>
            <w:hideMark/>
          </w:tcPr>
          <w:p w14:paraId="609C09A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0.0033</w:t>
            </w:r>
          </w:p>
        </w:tc>
        <w:tc>
          <w:tcPr>
            <w:tcW w:w="0" w:type="auto"/>
            <w:tcBorders>
              <w:top w:val="nil"/>
              <w:left w:val="nil"/>
              <w:bottom w:val="single" w:sz="4" w:space="0" w:color="auto"/>
              <w:right w:val="nil"/>
            </w:tcBorders>
            <w:noWrap/>
            <w:vAlign w:val="center"/>
            <w:hideMark/>
          </w:tcPr>
          <w:p w14:paraId="5D2A35C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607AD882" w14:textId="77777777" w:rsidTr="00DF5B90">
        <w:trPr>
          <w:trHeight w:val="300"/>
          <w:jc w:val="center"/>
        </w:trPr>
        <w:tc>
          <w:tcPr>
            <w:tcW w:w="0" w:type="auto"/>
            <w:vMerge w:val="restart"/>
            <w:tcBorders>
              <w:top w:val="nil"/>
              <w:left w:val="nil"/>
              <w:bottom w:val="single" w:sz="4" w:space="0" w:color="auto"/>
              <w:right w:val="nil"/>
            </w:tcBorders>
            <w:noWrap/>
            <w:vAlign w:val="center"/>
            <w:hideMark/>
          </w:tcPr>
          <w:p w14:paraId="5B7EC1B6"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VN 30</w:t>
            </w:r>
          </w:p>
        </w:tc>
        <w:tc>
          <w:tcPr>
            <w:tcW w:w="1427" w:type="dxa"/>
            <w:noWrap/>
            <w:vAlign w:val="center"/>
            <w:hideMark/>
          </w:tcPr>
          <w:p w14:paraId="28DA4E7E"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noWrap/>
            <w:vAlign w:val="center"/>
            <w:hideMark/>
          </w:tcPr>
          <w:p w14:paraId="5A01F66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0.0009</w:t>
            </w:r>
          </w:p>
        </w:tc>
        <w:tc>
          <w:tcPr>
            <w:tcW w:w="0" w:type="auto"/>
            <w:noWrap/>
            <w:vAlign w:val="center"/>
            <w:hideMark/>
          </w:tcPr>
          <w:p w14:paraId="185714A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-0.0006</w:t>
            </w:r>
          </w:p>
        </w:tc>
        <w:tc>
          <w:tcPr>
            <w:tcW w:w="0" w:type="auto"/>
            <w:noWrap/>
            <w:vAlign w:val="center"/>
            <w:hideMark/>
          </w:tcPr>
          <w:p w14:paraId="5FC023D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noWrap/>
            <w:vAlign w:val="center"/>
            <w:hideMark/>
          </w:tcPr>
          <w:p w14:paraId="692B820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0.0694</w:t>
            </w:r>
          </w:p>
        </w:tc>
        <w:tc>
          <w:tcPr>
            <w:tcW w:w="0" w:type="auto"/>
            <w:noWrap/>
            <w:vAlign w:val="center"/>
            <w:hideMark/>
          </w:tcPr>
          <w:p w14:paraId="452977E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0.6527</w:t>
            </w:r>
          </w:p>
        </w:tc>
        <w:tc>
          <w:tcPr>
            <w:tcW w:w="0" w:type="auto"/>
            <w:vAlign w:val="center"/>
            <w:hideMark/>
          </w:tcPr>
          <w:p w14:paraId="62EAB05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0.9364</w:t>
            </w:r>
          </w:p>
        </w:tc>
      </w:tr>
      <w:tr w:rsidR="00DF5B90" w:rsidRPr="00DF5B90" w14:paraId="505DFDED" w14:textId="77777777" w:rsidTr="00DF5B90">
        <w:trPr>
          <w:trHeight w:val="300"/>
          <w:jc w:val="center"/>
        </w:trPr>
        <w:tc>
          <w:tcPr>
            <w:tcW w:w="0" w:type="auto"/>
            <w:vMerge/>
            <w:tcBorders>
              <w:top w:val="nil"/>
              <w:left w:val="nil"/>
              <w:bottom w:val="single" w:sz="4" w:space="0" w:color="auto"/>
              <w:right w:val="nil"/>
            </w:tcBorders>
            <w:vAlign w:val="center"/>
            <w:hideMark/>
          </w:tcPr>
          <w:p w14:paraId="63D0DF32"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427" w:type="dxa"/>
            <w:noWrap/>
            <w:vAlign w:val="center"/>
            <w:hideMark/>
          </w:tcPr>
          <w:p w14:paraId="5F0F778D"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6F6A35C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2.0158</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589D560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-1.4853</w:t>
            </w:r>
          </w:p>
        </w:tc>
        <w:tc>
          <w:tcPr>
            <w:tcW w:w="0" w:type="auto"/>
            <w:noWrap/>
            <w:vAlign w:val="center"/>
            <w:hideMark/>
          </w:tcPr>
          <w:p w14:paraId="26F9280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1.3222</w:t>
            </w:r>
          </w:p>
        </w:tc>
        <w:tc>
          <w:tcPr>
            <w:tcW w:w="0" w:type="auto"/>
            <w:noWrap/>
            <w:vAlign w:val="center"/>
            <w:hideMark/>
          </w:tcPr>
          <w:p w14:paraId="3F8148D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0.7213</w:t>
            </w:r>
          </w:p>
        </w:tc>
        <w:tc>
          <w:tcPr>
            <w:tcW w:w="0" w:type="auto"/>
            <w:noWrap/>
            <w:vAlign w:val="center"/>
            <w:hideMark/>
          </w:tcPr>
          <w:p w14:paraId="5DD4581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2.7669</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3643569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6.7237</w:t>
            </w:r>
            <w:r w:rsidRPr="00DF5B90">
              <w:rPr>
                <w:rFonts w:asciiTheme="minorHAnsi" w:eastAsia="Times New Roman" w:hAnsiTheme="minorHAnsi" w:cstheme="minorHAnsi"/>
                <w:color w:val="000000"/>
                <w:vertAlign w:val="superscript"/>
                <w:lang w:val="id-ID"/>
              </w:rPr>
              <w:t>***</w:t>
            </w:r>
          </w:p>
        </w:tc>
      </w:tr>
      <w:tr w:rsidR="00DF5B90" w:rsidRPr="00DF5B90" w14:paraId="1C9FDB47" w14:textId="77777777" w:rsidTr="00DF5B90">
        <w:trPr>
          <w:trHeight w:val="300"/>
          <w:jc w:val="center"/>
        </w:trPr>
        <w:tc>
          <w:tcPr>
            <w:tcW w:w="0" w:type="auto"/>
            <w:vMerge/>
            <w:tcBorders>
              <w:top w:val="nil"/>
              <w:left w:val="nil"/>
              <w:bottom w:val="single" w:sz="4" w:space="0" w:color="auto"/>
              <w:right w:val="nil"/>
            </w:tcBorders>
            <w:vAlign w:val="center"/>
            <w:hideMark/>
          </w:tcPr>
          <w:p w14:paraId="40E35ED7"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427" w:type="dxa"/>
            <w:tcBorders>
              <w:top w:val="nil"/>
              <w:left w:val="nil"/>
              <w:bottom w:val="single" w:sz="4" w:space="0" w:color="auto"/>
              <w:right w:val="nil"/>
            </w:tcBorders>
            <w:noWrap/>
            <w:vAlign w:val="center"/>
            <w:hideMark/>
          </w:tcPr>
          <w:p w14:paraId="6DBA2D9A"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1A74626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0.0438</w:t>
            </w:r>
          </w:p>
        </w:tc>
        <w:tc>
          <w:tcPr>
            <w:tcW w:w="0" w:type="auto"/>
            <w:tcBorders>
              <w:top w:val="nil"/>
              <w:left w:val="nil"/>
              <w:bottom w:val="single" w:sz="4" w:space="0" w:color="auto"/>
              <w:right w:val="nil"/>
            </w:tcBorders>
            <w:noWrap/>
            <w:vAlign w:val="center"/>
            <w:hideMark/>
          </w:tcPr>
          <w:p w14:paraId="7DF10EF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0.1375</w:t>
            </w:r>
          </w:p>
        </w:tc>
        <w:tc>
          <w:tcPr>
            <w:tcW w:w="0" w:type="auto"/>
            <w:tcBorders>
              <w:top w:val="nil"/>
              <w:left w:val="nil"/>
              <w:bottom w:val="single" w:sz="4" w:space="0" w:color="auto"/>
              <w:right w:val="nil"/>
            </w:tcBorders>
            <w:noWrap/>
            <w:vAlign w:val="center"/>
            <w:hideMark/>
          </w:tcPr>
          <w:p w14:paraId="23D8275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0.1861</w:t>
            </w:r>
          </w:p>
        </w:tc>
        <w:tc>
          <w:tcPr>
            <w:tcW w:w="0" w:type="auto"/>
            <w:tcBorders>
              <w:top w:val="nil"/>
              <w:left w:val="nil"/>
              <w:bottom w:val="single" w:sz="4" w:space="0" w:color="auto"/>
              <w:right w:val="nil"/>
            </w:tcBorders>
            <w:noWrap/>
            <w:vAlign w:val="center"/>
            <w:hideMark/>
          </w:tcPr>
          <w:p w14:paraId="366A407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0.4707</w:t>
            </w:r>
          </w:p>
        </w:tc>
        <w:tc>
          <w:tcPr>
            <w:tcW w:w="0" w:type="auto"/>
            <w:tcBorders>
              <w:top w:val="nil"/>
              <w:left w:val="nil"/>
              <w:bottom w:val="single" w:sz="4" w:space="0" w:color="auto"/>
              <w:right w:val="nil"/>
            </w:tcBorders>
            <w:noWrap/>
            <w:vAlign w:val="center"/>
            <w:hideMark/>
          </w:tcPr>
          <w:p w14:paraId="253926B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0.0057</w:t>
            </w:r>
          </w:p>
        </w:tc>
        <w:tc>
          <w:tcPr>
            <w:tcW w:w="0" w:type="auto"/>
            <w:tcBorders>
              <w:top w:val="nil"/>
              <w:left w:val="nil"/>
              <w:bottom w:val="single" w:sz="4" w:space="0" w:color="auto"/>
              <w:right w:val="nil"/>
            </w:tcBorders>
            <w:noWrap/>
            <w:vAlign w:val="center"/>
            <w:hideMark/>
          </w:tcPr>
          <w:p w14:paraId="1C8E5D5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227D6D79" w14:textId="77777777" w:rsidTr="00DF5B90">
        <w:trPr>
          <w:trHeight w:val="300"/>
          <w:jc w:val="center"/>
        </w:trPr>
        <w:tc>
          <w:tcPr>
            <w:tcW w:w="0" w:type="auto"/>
            <w:vMerge w:val="restart"/>
            <w:tcBorders>
              <w:top w:val="single" w:sz="4" w:space="0" w:color="auto"/>
              <w:left w:val="nil"/>
              <w:bottom w:val="single" w:sz="4" w:space="0" w:color="auto"/>
              <w:right w:val="nil"/>
            </w:tcBorders>
            <w:noWrap/>
            <w:vAlign w:val="center"/>
            <w:hideMark/>
          </w:tcPr>
          <w:p w14:paraId="3BABF242"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LSX</w:t>
            </w:r>
          </w:p>
        </w:tc>
        <w:tc>
          <w:tcPr>
            <w:tcW w:w="1427" w:type="dxa"/>
            <w:tcBorders>
              <w:top w:val="single" w:sz="4" w:space="0" w:color="auto"/>
              <w:left w:val="nil"/>
              <w:bottom w:val="nil"/>
              <w:right w:val="nil"/>
            </w:tcBorders>
            <w:noWrap/>
            <w:vAlign w:val="center"/>
            <w:hideMark/>
          </w:tcPr>
          <w:p w14:paraId="4E79A20C"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2B4A788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0.0008</w:t>
            </w:r>
          </w:p>
        </w:tc>
        <w:tc>
          <w:tcPr>
            <w:tcW w:w="0" w:type="auto"/>
            <w:tcBorders>
              <w:top w:val="single" w:sz="4" w:space="0" w:color="auto"/>
              <w:left w:val="nil"/>
              <w:bottom w:val="nil"/>
              <w:right w:val="nil"/>
            </w:tcBorders>
            <w:noWrap/>
            <w:vAlign w:val="center"/>
            <w:hideMark/>
          </w:tcPr>
          <w:p w14:paraId="62FFC36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-0.0006</w:t>
            </w:r>
          </w:p>
        </w:tc>
        <w:tc>
          <w:tcPr>
            <w:tcW w:w="0" w:type="auto"/>
            <w:tcBorders>
              <w:top w:val="single" w:sz="4" w:space="0" w:color="auto"/>
              <w:left w:val="nil"/>
              <w:bottom w:val="nil"/>
              <w:right w:val="nil"/>
            </w:tcBorders>
            <w:noWrap/>
            <w:vAlign w:val="center"/>
            <w:hideMark/>
          </w:tcPr>
          <w:p w14:paraId="08F7AB1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single" w:sz="4" w:space="0" w:color="auto"/>
              <w:left w:val="nil"/>
              <w:bottom w:val="nil"/>
              <w:right w:val="nil"/>
            </w:tcBorders>
            <w:noWrap/>
            <w:vAlign w:val="center"/>
            <w:hideMark/>
          </w:tcPr>
          <w:p w14:paraId="206A9FE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0.0733</w:t>
            </w:r>
          </w:p>
        </w:tc>
        <w:tc>
          <w:tcPr>
            <w:tcW w:w="0" w:type="auto"/>
            <w:tcBorders>
              <w:top w:val="single" w:sz="4" w:space="0" w:color="auto"/>
              <w:left w:val="nil"/>
              <w:bottom w:val="nil"/>
              <w:right w:val="nil"/>
            </w:tcBorders>
            <w:noWrap/>
            <w:vAlign w:val="center"/>
            <w:hideMark/>
          </w:tcPr>
          <w:p w14:paraId="3585ADB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0.6693</w:t>
            </w:r>
          </w:p>
        </w:tc>
        <w:tc>
          <w:tcPr>
            <w:tcW w:w="0" w:type="auto"/>
            <w:tcBorders>
              <w:top w:val="single" w:sz="4" w:space="0" w:color="auto"/>
              <w:left w:val="nil"/>
              <w:bottom w:val="nil"/>
              <w:right w:val="nil"/>
            </w:tcBorders>
            <w:vAlign w:val="center"/>
            <w:hideMark/>
          </w:tcPr>
          <w:p w14:paraId="64656FC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0.8799</w:t>
            </w:r>
          </w:p>
        </w:tc>
      </w:tr>
      <w:tr w:rsidR="00DF5B90" w:rsidRPr="00DF5B90" w14:paraId="69FD5C14"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40DD886F"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427" w:type="dxa"/>
            <w:noWrap/>
            <w:vAlign w:val="center"/>
            <w:hideMark/>
          </w:tcPr>
          <w:p w14:paraId="0DC7DD20"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477ABD1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2.0147</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4AB4D22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-1.3608</w:t>
            </w:r>
          </w:p>
        </w:tc>
        <w:tc>
          <w:tcPr>
            <w:tcW w:w="0" w:type="auto"/>
            <w:noWrap/>
            <w:vAlign w:val="center"/>
            <w:hideMark/>
          </w:tcPr>
          <w:p w14:paraId="15EE0D5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1.2145</w:t>
            </w:r>
          </w:p>
        </w:tc>
        <w:tc>
          <w:tcPr>
            <w:tcW w:w="0" w:type="auto"/>
            <w:noWrap/>
            <w:vAlign w:val="center"/>
            <w:hideMark/>
          </w:tcPr>
          <w:p w14:paraId="6883664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0.7366</w:t>
            </w:r>
          </w:p>
        </w:tc>
        <w:tc>
          <w:tcPr>
            <w:tcW w:w="0" w:type="auto"/>
            <w:noWrap/>
            <w:vAlign w:val="center"/>
            <w:hideMark/>
          </w:tcPr>
          <w:p w14:paraId="13F876A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2.7672</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3DEDE1D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6.7464</w:t>
            </w:r>
            <w:r w:rsidRPr="00DF5B90">
              <w:rPr>
                <w:rFonts w:asciiTheme="minorHAnsi" w:eastAsia="Times New Roman" w:hAnsiTheme="minorHAnsi" w:cstheme="minorHAnsi"/>
                <w:color w:val="000000"/>
                <w:vertAlign w:val="superscript"/>
                <w:lang w:val="id-ID"/>
              </w:rPr>
              <w:t>***</w:t>
            </w:r>
          </w:p>
        </w:tc>
      </w:tr>
      <w:tr w:rsidR="00DF5B90" w:rsidRPr="00DF5B90" w14:paraId="629A9C09"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37C251D8"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427" w:type="dxa"/>
            <w:tcBorders>
              <w:top w:val="nil"/>
              <w:left w:val="nil"/>
              <w:bottom w:val="single" w:sz="4" w:space="0" w:color="auto"/>
              <w:right w:val="nil"/>
            </w:tcBorders>
            <w:noWrap/>
            <w:vAlign w:val="center"/>
            <w:hideMark/>
          </w:tcPr>
          <w:p w14:paraId="34CA987F"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5B490F7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0.0439</w:t>
            </w:r>
          </w:p>
        </w:tc>
        <w:tc>
          <w:tcPr>
            <w:tcW w:w="0" w:type="auto"/>
            <w:tcBorders>
              <w:top w:val="nil"/>
              <w:left w:val="nil"/>
              <w:bottom w:val="single" w:sz="4" w:space="0" w:color="auto"/>
              <w:right w:val="nil"/>
            </w:tcBorders>
            <w:noWrap/>
            <w:vAlign w:val="center"/>
            <w:hideMark/>
          </w:tcPr>
          <w:p w14:paraId="1CE3EF9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0.1736</w:t>
            </w:r>
          </w:p>
        </w:tc>
        <w:tc>
          <w:tcPr>
            <w:tcW w:w="0" w:type="auto"/>
            <w:tcBorders>
              <w:top w:val="nil"/>
              <w:left w:val="nil"/>
              <w:bottom w:val="single" w:sz="4" w:space="0" w:color="auto"/>
              <w:right w:val="nil"/>
            </w:tcBorders>
            <w:noWrap/>
            <w:vAlign w:val="center"/>
            <w:hideMark/>
          </w:tcPr>
          <w:p w14:paraId="6F6B9B7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0.2246</w:t>
            </w:r>
          </w:p>
        </w:tc>
        <w:tc>
          <w:tcPr>
            <w:tcW w:w="0" w:type="auto"/>
            <w:tcBorders>
              <w:top w:val="nil"/>
              <w:left w:val="nil"/>
              <w:bottom w:val="single" w:sz="4" w:space="0" w:color="auto"/>
              <w:right w:val="nil"/>
            </w:tcBorders>
            <w:noWrap/>
            <w:vAlign w:val="center"/>
            <w:hideMark/>
          </w:tcPr>
          <w:p w14:paraId="0E38311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0.4613</w:t>
            </w:r>
          </w:p>
        </w:tc>
        <w:tc>
          <w:tcPr>
            <w:tcW w:w="0" w:type="auto"/>
            <w:tcBorders>
              <w:top w:val="nil"/>
              <w:left w:val="nil"/>
              <w:bottom w:val="single" w:sz="4" w:space="0" w:color="auto"/>
              <w:right w:val="nil"/>
            </w:tcBorders>
            <w:noWrap/>
            <w:vAlign w:val="center"/>
            <w:hideMark/>
          </w:tcPr>
          <w:p w14:paraId="1CC0522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0.0057</w:t>
            </w:r>
          </w:p>
        </w:tc>
        <w:tc>
          <w:tcPr>
            <w:tcW w:w="0" w:type="auto"/>
            <w:tcBorders>
              <w:top w:val="nil"/>
              <w:left w:val="nil"/>
              <w:bottom w:val="single" w:sz="4" w:space="0" w:color="auto"/>
              <w:right w:val="nil"/>
            </w:tcBorders>
            <w:noWrap/>
            <w:vAlign w:val="center"/>
            <w:hideMark/>
          </w:tcPr>
          <w:p w14:paraId="191C028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2EB4FDC0" w14:textId="77777777" w:rsidTr="00DF5B90">
        <w:trPr>
          <w:trHeight w:val="300"/>
          <w:jc w:val="center"/>
        </w:trPr>
        <w:tc>
          <w:tcPr>
            <w:tcW w:w="0" w:type="auto"/>
            <w:vMerge w:val="restart"/>
            <w:tcBorders>
              <w:top w:val="single" w:sz="4" w:space="0" w:color="auto"/>
              <w:left w:val="nil"/>
              <w:bottom w:val="nil"/>
              <w:right w:val="nil"/>
            </w:tcBorders>
            <w:noWrap/>
            <w:vAlign w:val="center"/>
            <w:hideMark/>
          </w:tcPr>
          <w:p w14:paraId="6060E3AD"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Nikkei</w:t>
            </w:r>
          </w:p>
        </w:tc>
        <w:tc>
          <w:tcPr>
            <w:tcW w:w="1427" w:type="dxa"/>
            <w:tcBorders>
              <w:top w:val="single" w:sz="4" w:space="0" w:color="auto"/>
              <w:left w:val="nil"/>
              <w:bottom w:val="nil"/>
              <w:right w:val="nil"/>
            </w:tcBorders>
            <w:noWrap/>
            <w:vAlign w:val="center"/>
            <w:hideMark/>
          </w:tcPr>
          <w:p w14:paraId="000B5EF6"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4F46A13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0.0008</w:t>
            </w:r>
          </w:p>
        </w:tc>
        <w:tc>
          <w:tcPr>
            <w:tcW w:w="0" w:type="auto"/>
            <w:tcBorders>
              <w:top w:val="single" w:sz="4" w:space="0" w:color="auto"/>
              <w:left w:val="nil"/>
              <w:bottom w:val="nil"/>
              <w:right w:val="nil"/>
            </w:tcBorders>
            <w:noWrap/>
            <w:vAlign w:val="center"/>
            <w:hideMark/>
          </w:tcPr>
          <w:p w14:paraId="63A2938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single" w:sz="4" w:space="0" w:color="auto"/>
              <w:left w:val="nil"/>
              <w:bottom w:val="nil"/>
              <w:right w:val="nil"/>
            </w:tcBorders>
            <w:noWrap/>
            <w:vAlign w:val="center"/>
            <w:hideMark/>
          </w:tcPr>
          <w:p w14:paraId="6F0217B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single" w:sz="4" w:space="0" w:color="auto"/>
              <w:left w:val="nil"/>
              <w:bottom w:val="nil"/>
              <w:right w:val="nil"/>
            </w:tcBorders>
            <w:noWrap/>
            <w:vAlign w:val="center"/>
            <w:hideMark/>
          </w:tcPr>
          <w:p w14:paraId="3E542BA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0.0658</w:t>
            </w:r>
          </w:p>
        </w:tc>
        <w:tc>
          <w:tcPr>
            <w:tcW w:w="0" w:type="auto"/>
            <w:tcBorders>
              <w:top w:val="single" w:sz="4" w:space="0" w:color="auto"/>
              <w:left w:val="nil"/>
              <w:bottom w:val="nil"/>
              <w:right w:val="nil"/>
            </w:tcBorders>
            <w:noWrap/>
            <w:vAlign w:val="center"/>
            <w:hideMark/>
          </w:tcPr>
          <w:p w14:paraId="3E1CA39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0.6701</w:t>
            </w:r>
          </w:p>
        </w:tc>
        <w:tc>
          <w:tcPr>
            <w:tcW w:w="0" w:type="auto"/>
            <w:tcBorders>
              <w:top w:val="single" w:sz="4" w:space="0" w:color="auto"/>
              <w:left w:val="nil"/>
              <w:bottom w:val="nil"/>
              <w:right w:val="nil"/>
            </w:tcBorders>
            <w:vAlign w:val="center"/>
            <w:hideMark/>
          </w:tcPr>
          <w:p w14:paraId="6BBC37C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0.9292</w:t>
            </w:r>
          </w:p>
        </w:tc>
      </w:tr>
      <w:tr w:rsidR="00DF5B90" w:rsidRPr="00DF5B90" w14:paraId="5493DC1C" w14:textId="77777777" w:rsidTr="00DF5B90">
        <w:trPr>
          <w:trHeight w:val="300"/>
          <w:jc w:val="center"/>
        </w:trPr>
        <w:tc>
          <w:tcPr>
            <w:tcW w:w="0" w:type="auto"/>
            <w:vMerge/>
            <w:tcBorders>
              <w:top w:val="single" w:sz="4" w:space="0" w:color="auto"/>
              <w:left w:val="nil"/>
              <w:bottom w:val="nil"/>
              <w:right w:val="nil"/>
            </w:tcBorders>
            <w:vAlign w:val="center"/>
            <w:hideMark/>
          </w:tcPr>
          <w:p w14:paraId="70777F98"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427" w:type="dxa"/>
            <w:noWrap/>
            <w:vAlign w:val="center"/>
            <w:hideMark/>
          </w:tcPr>
          <w:p w14:paraId="3366EA0C"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0E2DA3B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1.9538</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07EE05F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0.0975</w:t>
            </w:r>
          </w:p>
        </w:tc>
        <w:tc>
          <w:tcPr>
            <w:tcW w:w="0" w:type="auto"/>
            <w:noWrap/>
            <w:vAlign w:val="center"/>
            <w:hideMark/>
          </w:tcPr>
          <w:p w14:paraId="5167727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1.2731</w:t>
            </w:r>
          </w:p>
        </w:tc>
        <w:tc>
          <w:tcPr>
            <w:tcW w:w="0" w:type="auto"/>
            <w:noWrap/>
            <w:vAlign w:val="center"/>
            <w:hideMark/>
          </w:tcPr>
          <w:p w14:paraId="089F906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0.7138</w:t>
            </w:r>
          </w:p>
        </w:tc>
        <w:tc>
          <w:tcPr>
            <w:tcW w:w="0" w:type="auto"/>
            <w:noWrap/>
            <w:vAlign w:val="center"/>
            <w:hideMark/>
          </w:tcPr>
          <w:p w14:paraId="6C74AB3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2.8969</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52D871D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6.6535</w:t>
            </w:r>
            <w:r w:rsidRPr="00DF5B90">
              <w:rPr>
                <w:rFonts w:asciiTheme="minorHAnsi" w:eastAsia="Times New Roman" w:hAnsiTheme="minorHAnsi" w:cstheme="minorHAnsi"/>
                <w:color w:val="000000"/>
                <w:vertAlign w:val="superscript"/>
                <w:lang w:val="id-ID"/>
              </w:rPr>
              <w:t>***</w:t>
            </w:r>
          </w:p>
        </w:tc>
      </w:tr>
      <w:tr w:rsidR="00DF5B90" w:rsidRPr="00DF5B90" w14:paraId="66DAA8C6" w14:textId="77777777" w:rsidTr="00DF5B90">
        <w:trPr>
          <w:trHeight w:val="300"/>
          <w:jc w:val="center"/>
        </w:trPr>
        <w:tc>
          <w:tcPr>
            <w:tcW w:w="0" w:type="auto"/>
            <w:vMerge/>
            <w:tcBorders>
              <w:top w:val="single" w:sz="4" w:space="0" w:color="auto"/>
              <w:left w:val="nil"/>
              <w:bottom w:val="nil"/>
              <w:right w:val="nil"/>
            </w:tcBorders>
            <w:vAlign w:val="center"/>
            <w:hideMark/>
          </w:tcPr>
          <w:p w14:paraId="476FEEF2"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427" w:type="dxa"/>
            <w:noWrap/>
            <w:vAlign w:val="center"/>
            <w:hideMark/>
          </w:tcPr>
          <w:p w14:paraId="2C2E8C69"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noWrap/>
            <w:vAlign w:val="center"/>
            <w:hideMark/>
          </w:tcPr>
          <w:p w14:paraId="10CD717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0.0507</w:t>
            </w:r>
          </w:p>
        </w:tc>
        <w:tc>
          <w:tcPr>
            <w:tcW w:w="0" w:type="auto"/>
            <w:noWrap/>
            <w:vAlign w:val="center"/>
            <w:hideMark/>
          </w:tcPr>
          <w:p w14:paraId="3486832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0.9223</w:t>
            </w:r>
          </w:p>
        </w:tc>
        <w:tc>
          <w:tcPr>
            <w:tcW w:w="0" w:type="auto"/>
            <w:noWrap/>
            <w:vAlign w:val="center"/>
            <w:hideMark/>
          </w:tcPr>
          <w:p w14:paraId="2761328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0.2030</w:t>
            </w:r>
          </w:p>
        </w:tc>
        <w:tc>
          <w:tcPr>
            <w:tcW w:w="0" w:type="auto"/>
            <w:noWrap/>
            <w:vAlign w:val="center"/>
            <w:hideMark/>
          </w:tcPr>
          <w:p w14:paraId="56DB241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0.4753</w:t>
            </w:r>
          </w:p>
        </w:tc>
        <w:tc>
          <w:tcPr>
            <w:tcW w:w="0" w:type="auto"/>
            <w:noWrap/>
            <w:vAlign w:val="center"/>
            <w:hideMark/>
          </w:tcPr>
          <w:p w14:paraId="3004DDD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0.0038</w:t>
            </w:r>
          </w:p>
        </w:tc>
        <w:tc>
          <w:tcPr>
            <w:tcW w:w="0" w:type="auto"/>
            <w:noWrap/>
            <w:vAlign w:val="center"/>
            <w:hideMark/>
          </w:tcPr>
          <w:p w14:paraId="45BFB6F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5029A7F6" w14:textId="77777777" w:rsidTr="00DF5B90">
        <w:trPr>
          <w:trHeight w:val="300"/>
          <w:jc w:val="center"/>
        </w:trPr>
        <w:tc>
          <w:tcPr>
            <w:tcW w:w="0" w:type="auto"/>
            <w:vMerge w:val="restart"/>
            <w:tcBorders>
              <w:top w:val="single" w:sz="4" w:space="0" w:color="auto"/>
              <w:left w:val="nil"/>
              <w:bottom w:val="single" w:sz="4" w:space="0" w:color="000000"/>
              <w:right w:val="nil"/>
            </w:tcBorders>
            <w:noWrap/>
            <w:vAlign w:val="center"/>
            <w:hideMark/>
          </w:tcPr>
          <w:p w14:paraId="6D89909D"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Kospi</w:t>
            </w:r>
          </w:p>
        </w:tc>
        <w:tc>
          <w:tcPr>
            <w:tcW w:w="1427" w:type="dxa"/>
            <w:tcBorders>
              <w:top w:val="single" w:sz="4" w:space="0" w:color="auto"/>
              <w:left w:val="nil"/>
              <w:bottom w:val="nil"/>
              <w:right w:val="nil"/>
            </w:tcBorders>
            <w:noWrap/>
            <w:vAlign w:val="center"/>
            <w:hideMark/>
          </w:tcPr>
          <w:p w14:paraId="517DCB53"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61EE056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0.0008</w:t>
            </w:r>
          </w:p>
        </w:tc>
        <w:tc>
          <w:tcPr>
            <w:tcW w:w="0" w:type="auto"/>
            <w:tcBorders>
              <w:top w:val="single" w:sz="4" w:space="0" w:color="auto"/>
              <w:left w:val="nil"/>
              <w:bottom w:val="nil"/>
              <w:right w:val="nil"/>
            </w:tcBorders>
            <w:noWrap/>
            <w:vAlign w:val="center"/>
            <w:hideMark/>
          </w:tcPr>
          <w:p w14:paraId="0351D02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single" w:sz="4" w:space="0" w:color="auto"/>
              <w:left w:val="nil"/>
              <w:bottom w:val="nil"/>
              <w:right w:val="nil"/>
            </w:tcBorders>
            <w:noWrap/>
            <w:vAlign w:val="center"/>
            <w:hideMark/>
          </w:tcPr>
          <w:p w14:paraId="74AB478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single" w:sz="4" w:space="0" w:color="auto"/>
              <w:left w:val="nil"/>
              <w:bottom w:val="nil"/>
              <w:right w:val="nil"/>
            </w:tcBorders>
            <w:noWrap/>
            <w:vAlign w:val="center"/>
            <w:hideMark/>
          </w:tcPr>
          <w:p w14:paraId="69E4CED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0.0653</w:t>
            </w:r>
          </w:p>
        </w:tc>
        <w:tc>
          <w:tcPr>
            <w:tcW w:w="0" w:type="auto"/>
            <w:tcBorders>
              <w:top w:val="single" w:sz="4" w:space="0" w:color="auto"/>
              <w:left w:val="nil"/>
              <w:bottom w:val="nil"/>
              <w:right w:val="nil"/>
            </w:tcBorders>
            <w:noWrap/>
            <w:vAlign w:val="center"/>
            <w:hideMark/>
          </w:tcPr>
          <w:p w14:paraId="09DF8D6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0.6748</w:t>
            </w:r>
          </w:p>
        </w:tc>
        <w:tc>
          <w:tcPr>
            <w:tcW w:w="0" w:type="auto"/>
            <w:tcBorders>
              <w:top w:val="single" w:sz="4" w:space="0" w:color="auto"/>
              <w:left w:val="nil"/>
              <w:bottom w:val="nil"/>
              <w:right w:val="nil"/>
            </w:tcBorders>
            <w:vAlign w:val="center"/>
            <w:hideMark/>
          </w:tcPr>
          <w:p w14:paraId="60419CC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0.9293</w:t>
            </w:r>
          </w:p>
        </w:tc>
      </w:tr>
      <w:tr w:rsidR="00DF5B90" w:rsidRPr="00DF5B90" w14:paraId="094D7812" w14:textId="77777777" w:rsidTr="00DF5B90">
        <w:trPr>
          <w:trHeight w:val="300"/>
          <w:jc w:val="center"/>
        </w:trPr>
        <w:tc>
          <w:tcPr>
            <w:tcW w:w="0" w:type="auto"/>
            <w:vMerge/>
            <w:tcBorders>
              <w:top w:val="single" w:sz="4" w:space="0" w:color="auto"/>
              <w:left w:val="nil"/>
              <w:bottom w:val="single" w:sz="4" w:space="0" w:color="000000"/>
              <w:right w:val="nil"/>
            </w:tcBorders>
            <w:vAlign w:val="center"/>
            <w:hideMark/>
          </w:tcPr>
          <w:p w14:paraId="691D5E62"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427" w:type="dxa"/>
            <w:noWrap/>
            <w:vAlign w:val="center"/>
            <w:hideMark/>
          </w:tcPr>
          <w:p w14:paraId="26BAC386"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65EBB11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1.9193</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1DF4944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-0.0600</w:t>
            </w:r>
          </w:p>
        </w:tc>
        <w:tc>
          <w:tcPr>
            <w:tcW w:w="0" w:type="auto"/>
            <w:noWrap/>
            <w:vAlign w:val="center"/>
            <w:hideMark/>
          </w:tcPr>
          <w:p w14:paraId="4AE9E72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1.2653</w:t>
            </w:r>
          </w:p>
        </w:tc>
        <w:tc>
          <w:tcPr>
            <w:tcW w:w="0" w:type="auto"/>
            <w:noWrap/>
            <w:vAlign w:val="center"/>
            <w:hideMark/>
          </w:tcPr>
          <w:p w14:paraId="0A5577D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0.7151</w:t>
            </w:r>
          </w:p>
        </w:tc>
        <w:tc>
          <w:tcPr>
            <w:tcW w:w="0" w:type="auto"/>
            <w:noWrap/>
            <w:vAlign w:val="center"/>
            <w:hideMark/>
          </w:tcPr>
          <w:p w14:paraId="0BE3678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2.9398</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2E0823A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6.6494</w:t>
            </w:r>
            <w:r w:rsidRPr="00DF5B90">
              <w:rPr>
                <w:rFonts w:asciiTheme="minorHAnsi" w:eastAsia="Times New Roman" w:hAnsiTheme="minorHAnsi" w:cstheme="minorHAnsi"/>
                <w:color w:val="000000"/>
                <w:vertAlign w:val="superscript"/>
                <w:lang w:val="id-ID"/>
              </w:rPr>
              <w:t>***</w:t>
            </w:r>
          </w:p>
        </w:tc>
      </w:tr>
      <w:tr w:rsidR="00DF5B90" w:rsidRPr="00DF5B90" w14:paraId="569C7783" w14:textId="77777777" w:rsidTr="00DF5B90">
        <w:trPr>
          <w:trHeight w:val="300"/>
          <w:jc w:val="center"/>
        </w:trPr>
        <w:tc>
          <w:tcPr>
            <w:tcW w:w="0" w:type="auto"/>
            <w:vMerge/>
            <w:tcBorders>
              <w:top w:val="single" w:sz="4" w:space="0" w:color="auto"/>
              <w:left w:val="nil"/>
              <w:bottom w:val="single" w:sz="4" w:space="0" w:color="000000"/>
              <w:right w:val="nil"/>
            </w:tcBorders>
            <w:vAlign w:val="center"/>
            <w:hideMark/>
          </w:tcPr>
          <w:p w14:paraId="7C04044E"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427" w:type="dxa"/>
            <w:tcBorders>
              <w:top w:val="nil"/>
              <w:left w:val="nil"/>
              <w:bottom w:val="single" w:sz="4" w:space="0" w:color="auto"/>
              <w:right w:val="nil"/>
            </w:tcBorders>
            <w:noWrap/>
            <w:vAlign w:val="center"/>
            <w:hideMark/>
          </w:tcPr>
          <w:p w14:paraId="41262643"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6F96B0F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0.0549</w:t>
            </w:r>
          </w:p>
        </w:tc>
        <w:tc>
          <w:tcPr>
            <w:tcW w:w="0" w:type="auto"/>
            <w:tcBorders>
              <w:top w:val="nil"/>
              <w:left w:val="nil"/>
              <w:bottom w:val="single" w:sz="4" w:space="0" w:color="auto"/>
              <w:right w:val="nil"/>
            </w:tcBorders>
            <w:noWrap/>
            <w:vAlign w:val="center"/>
            <w:hideMark/>
          </w:tcPr>
          <w:p w14:paraId="0310627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0.9521</w:t>
            </w:r>
          </w:p>
        </w:tc>
        <w:tc>
          <w:tcPr>
            <w:tcW w:w="0" w:type="auto"/>
            <w:tcBorders>
              <w:top w:val="nil"/>
              <w:left w:val="nil"/>
              <w:bottom w:val="single" w:sz="4" w:space="0" w:color="auto"/>
              <w:right w:val="nil"/>
            </w:tcBorders>
            <w:noWrap/>
            <w:vAlign w:val="center"/>
            <w:hideMark/>
          </w:tcPr>
          <w:p w14:paraId="269DCAE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0.2058</w:t>
            </w:r>
          </w:p>
        </w:tc>
        <w:tc>
          <w:tcPr>
            <w:tcW w:w="0" w:type="auto"/>
            <w:tcBorders>
              <w:top w:val="nil"/>
              <w:left w:val="nil"/>
              <w:bottom w:val="single" w:sz="4" w:space="0" w:color="auto"/>
              <w:right w:val="nil"/>
            </w:tcBorders>
            <w:noWrap/>
            <w:vAlign w:val="center"/>
            <w:hideMark/>
          </w:tcPr>
          <w:p w14:paraId="0E7D630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0.4745</w:t>
            </w:r>
          </w:p>
        </w:tc>
        <w:tc>
          <w:tcPr>
            <w:tcW w:w="0" w:type="auto"/>
            <w:tcBorders>
              <w:top w:val="nil"/>
              <w:left w:val="nil"/>
              <w:bottom w:val="single" w:sz="4" w:space="0" w:color="auto"/>
              <w:right w:val="nil"/>
            </w:tcBorders>
            <w:noWrap/>
            <w:vAlign w:val="center"/>
            <w:hideMark/>
          </w:tcPr>
          <w:p w14:paraId="7B4BBD2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0.0033</w:t>
            </w:r>
          </w:p>
        </w:tc>
        <w:tc>
          <w:tcPr>
            <w:tcW w:w="0" w:type="auto"/>
            <w:tcBorders>
              <w:top w:val="nil"/>
              <w:left w:val="nil"/>
              <w:bottom w:val="single" w:sz="4" w:space="0" w:color="auto"/>
              <w:right w:val="nil"/>
            </w:tcBorders>
            <w:noWrap/>
            <w:vAlign w:val="center"/>
            <w:hideMark/>
          </w:tcPr>
          <w:p w14:paraId="23A39BC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509C0975" w14:textId="77777777" w:rsidTr="00DF5B90">
        <w:trPr>
          <w:trHeight w:val="300"/>
          <w:jc w:val="center"/>
        </w:trPr>
        <w:tc>
          <w:tcPr>
            <w:tcW w:w="0" w:type="auto"/>
            <w:vMerge w:val="restart"/>
            <w:tcBorders>
              <w:top w:val="nil"/>
              <w:left w:val="nil"/>
              <w:bottom w:val="single" w:sz="4" w:space="0" w:color="auto"/>
              <w:right w:val="nil"/>
            </w:tcBorders>
            <w:noWrap/>
            <w:vAlign w:val="center"/>
            <w:hideMark/>
          </w:tcPr>
          <w:p w14:paraId="4BA1C258"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SSEC</w:t>
            </w:r>
          </w:p>
        </w:tc>
        <w:tc>
          <w:tcPr>
            <w:tcW w:w="1427" w:type="dxa"/>
            <w:noWrap/>
            <w:vAlign w:val="center"/>
            <w:hideMark/>
          </w:tcPr>
          <w:p w14:paraId="17A97713"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noWrap/>
            <w:vAlign w:val="center"/>
            <w:hideMark/>
          </w:tcPr>
          <w:p w14:paraId="5B49C3D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0.0007</w:t>
            </w:r>
          </w:p>
        </w:tc>
        <w:tc>
          <w:tcPr>
            <w:tcW w:w="0" w:type="auto"/>
            <w:noWrap/>
            <w:vAlign w:val="center"/>
            <w:hideMark/>
          </w:tcPr>
          <w:p w14:paraId="37EB8BF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0.0004</w:t>
            </w:r>
          </w:p>
        </w:tc>
        <w:tc>
          <w:tcPr>
            <w:tcW w:w="0" w:type="auto"/>
            <w:noWrap/>
            <w:vAlign w:val="center"/>
            <w:hideMark/>
          </w:tcPr>
          <w:p w14:paraId="6266442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noWrap/>
            <w:vAlign w:val="center"/>
            <w:hideMark/>
          </w:tcPr>
          <w:p w14:paraId="08522EF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0.0599</w:t>
            </w:r>
          </w:p>
        </w:tc>
        <w:tc>
          <w:tcPr>
            <w:tcW w:w="0" w:type="auto"/>
            <w:noWrap/>
            <w:vAlign w:val="center"/>
            <w:hideMark/>
          </w:tcPr>
          <w:p w14:paraId="53E0918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0.6881</w:t>
            </w:r>
          </w:p>
        </w:tc>
        <w:tc>
          <w:tcPr>
            <w:tcW w:w="0" w:type="auto"/>
            <w:vAlign w:val="center"/>
            <w:hideMark/>
          </w:tcPr>
          <w:p w14:paraId="693C7D3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0.9611</w:t>
            </w:r>
          </w:p>
        </w:tc>
      </w:tr>
      <w:tr w:rsidR="00DF5B90" w:rsidRPr="00DF5B90" w14:paraId="3CD089E3" w14:textId="77777777" w:rsidTr="00DF5B90">
        <w:trPr>
          <w:trHeight w:val="300"/>
          <w:jc w:val="center"/>
        </w:trPr>
        <w:tc>
          <w:tcPr>
            <w:tcW w:w="0" w:type="auto"/>
            <w:vMerge/>
            <w:tcBorders>
              <w:top w:val="nil"/>
              <w:left w:val="nil"/>
              <w:bottom w:val="single" w:sz="4" w:space="0" w:color="auto"/>
              <w:right w:val="nil"/>
            </w:tcBorders>
            <w:vAlign w:val="center"/>
            <w:hideMark/>
          </w:tcPr>
          <w:p w14:paraId="0D23B7FB"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427" w:type="dxa"/>
            <w:noWrap/>
            <w:vAlign w:val="center"/>
            <w:hideMark/>
          </w:tcPr>
          <w:p w14:paraId="2E55CFEF"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2D16BCB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1.6497</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5C51CD5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0.8682</w:t>
            </w:r>
          </w:p>
        </w:tc>
        <w:tc>
          <w:tcPr>
            <w:tcW w:w="0" w:type="auto"/>
            <w:noWrap/>
            <w:vAlign w:val="center"/>
            <w:hideMark/>
          </w:tcPr>
          <w:p w14:paraId="493F197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1.2730</w:t>
            </w:r>
          </w:p>
        </w:tc>
        <w:tc>
          <w:tcPr>
            <w:tcW w:w="0" w:type="auto"/>
            <w:noWrap/>
            <w:vAlign w:val="center"/>
            <w:hideMark/>
          </w:tcPr>
          <w:p w14:paraId="14C086B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0.7256</w:t>
            </w:r>
          </w:p>
        </w:tc>
        <w:tc>
          <w:tcPr>
            <w:tcW w:w="0" w:type="auto"/>
            <w:noWrap/>
            <w:vAlign w:val="center"/>
            <w:hideMark/>
          </w:tcPr>
          <w:p w14:paraId="38FC822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3.1315</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4A19048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6.5454</w:t>
            </w:r>
            <w:r w:rsidRPr="00DF5B90">
              <w:rPr>
                <w:rFonts w:asciiTheme="minorHAnsi" w:eastAsia="Times New Roman" w:hAnsiTheme="minorHAnsi" w:cstheme="minorHAnsi"/>
                <w:color w:val="000000"/>
                <w:vertAlign w:val="superscript"/>
                <w:lang w:val="id-ID"/>
              </w:rPr>
              <w:t>***</w:t>
            </w:r>
          </w:p>
        </w:tc>
      </w:tr>
      <w:tr w:rsidR="00DF5B90" w:rsidRPr="00DF5B90" w14:paraId="68E601AF" w14:textId="77777777" w:rsidTr="00DF5B90">
        <w:trPr>
          <w:trHeight w:val="315"/>
          <w:jc w:val="center"/>
        </w:trPr>
        <w:tc>
          <w:tcPr>
            <w:tcW w:w="0" w:type="auto"/>
            <w:vMerge/>
            <w:tcBorders>
              <w:top w:val="nil"/>
              <w:left w:val="nil"/>
              <w:bottom w:val="single" w:sz="4" w:space="0" w:color="auto"/>
              <w:right w:val="nil"/>
            </w:tcBorders>
            <w:vAlign w:val="center"/>
            <w:hideMark/>
          </w:tcPr>
          <w:p w14:paraId="27469C30"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1427" w:type="dxa"/>
            <w:tcBorders>
              <w:top w:val="nil"/>
              <w:left w:val="nil"/>
              <w:bottom w:val="single" w:sz="4" w:space="0" w:color="auto"/>
              <w:right w:val="nil"/>
            </w:tcBorders>
            <w:noWrap/>
            <w:vAlign w:val="center"/>
            <w:hideMark/>
          </w:tcPr>
          <w:p w14:paraId="5AE2A54B"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43EC0F8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0.0990</w:t>
            </w:r>
          </w:p>
        </w:tc>
        <w:tc>
          <w:tcPr>
            <w:tcW w:w="0" w:type="auto"/>
            <w:tcBorders>
              <w:top w:val="nil"/>
              <w:left w:val="nil"/>
              <w:bottom w:val="single" w:sz="4" w:space="0" w:color="auto"/>
              <w:right w:val="nil"/>
            </w:tcBorders>
            <w:noWrap/>
            <w:vAlign w:val="center"/>
            <w:hideMark/>
          </w:tcPr>
          <w:p w14:paraId="521B98D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0.3853</w:t>
            </w:r>
          </w:p>
        </w:tc>
        <w:tc>
          <w:tcPr>
            <w:tcW w:w="0" w:type="auto"/>
            <w:tcBorders>
              <w:top w:val="nil"/>
              <w:left w:val="nil"/>
              <w:bottom w:val="single" w:sz="4" w:space="0" w:color="auto"/>
              <w:right w:val="nil"/>
            </w:tcBorders>
            <w:noWrap/>
            <w:vAlign w:val="center"/>
            <w:hideMark/>
          </w:tcPr>
          <w:p w14:paraId="07C4175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0.2030</w:t>
            </w:r>
          </w:p>
        </w:tc>
        <w:tc>
          <w:tcPr>
            <w:tcW w:w="0" w:type="auto"/>
            <w:tcBorders>
              <w:top w:val="nil"/>
              <w:left w:val="nil"/>
              <w:bottom w:val="single" w:sz="4" w:space="0" w:color="auto"/>
              <w:right w:val="nil"/>
            </w:tcBorders>
            <w:noWrap/>
            <w:vAlign w:val="center"/>
            <w:hideMark/>
          </w:tcPr>
          <w:p w14:paraId="08BF981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0.4681</w:t>
            </w:r>
          </w:p>
        </w:tc>
        <w:tc>
          <w:tcPr>
            <w:tcW w:w="0" w:type="auto"/>
            <w:tcBorders>
              <w:top w:val="nil"/>
              <w:left w:val="nil"/>
              <w:bottom w:val="single" w:sz="4" w:space="0" w:color="auto"/>
              <w:right w:val="nil"/>
            </w:tcBorders>
            <w:noWrap/>
            <w:vAlign w:val="center"/>
            <w:hideMark/>
          </w:tcPr>
          <w:p w14:paraId="393B0C3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0.0017</w:t>
            </w:r>
          </w:p>
        </w:tc>
        <w:tc>
          <w:tcPr>
            <w:tcW w:w="0" w:type="auto"/>
            <w:tcBorders>
              <w:top w:val="nil"/>
              <w:left w:val="nil"/>
              <w:bottom w:val="single" w:sz="4" w:space="0" w:color="auto"/>
              <w:right w:val="nil"/>
            </w:tcBorders>
            <w:noWrap/>
            <w:vAlign w:val="center"/>
            <w:hideMark/>
          </w:tcPr>
          <w:p w14:paraId="294F791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bl>
    <w:p w14:paraId="5ADB8099" w14:textId="77777777" w:rsidR="00DF5B90" w:rsidRPr="00DF5B90" w:rsidRDefault="00DF5B90" w:rsidP="00DF5B90">
      <w:pPr>
        <w:spacing w:after="0" w:line="240" w:lineRule="auto"/>
        <w:jc w:val="both"/>
        <w:rPr>
          <w:rFonts w:asciiTheme="minorHAnsi" w:eastAsiaTheme="minorEastAsia" w:hAnsiTheme="minorHAnsi" w:cstheme="minorHAnsi"/>
          <w:noProof/>
          <w:lang w:val="en-US" w:eastAsia="en-US"/>
        </w:rPr>
      </w:pPr>
      <w:r w:rsidRPr="00DF5B90">
        <w:rPr>
          <w:rFonts w:asciiTheme="minorHAnsi" w:eastAsiaTheme="minorEastAsia" w:hAnsiTheme="minorHAnsi" w:cstheme="minorHAnsi"/>
          <w:lang w:val="id-ID"/>
        </w:rPr>
        <w:t>***</w:t>
      </w:r>
      <w:r w:rsidRPr="00DF5B90">
        <w:rPr>
          <w:rFonts w:asciiTheme="minorHAnsi" w:hAnsiTheme="minorHAnsi" w:cstheme="minorHAnsi"/>
          <w:lang w:val="id-ID"/>
        </w:rPr>
        <w:t xml:space="preserve"> </w:t>
      </w:r>
      <w:r w:rsidRPr="00DF5B90">
        <w:rPr>
          <w:rFonts w:asciiTheme="minorHAnsi" w:eastAsiaTheme="minorEastAsia" w:hAnsiTheme="minorHAnsi" w:cstheme="minorHAnsi"/>
        </w:rPr>
        <w:t>Significant at 1% level</w:t>
      </w:r>
    </w:p>
    <w:p w14:paraId="31E1483F" w14:textId="77777777" w:rsidR="00DF5B90" w:rsidRPr="00DF5B90" w:rsidRDefault="00DF5B90" w:rsidP="00DF5B90">
      <w:pPr>
        <w:spacing w:after="0" w:line="240" w:lineRule="auto"/>
        <w:jc w:val="both"/>
        <w:rPr>
          <w:rFonts w:asciiTheme="minorHAnsi" w:eastAsiaTheme="minorEastAsia" w:hAnsiTheme="minorHAnsi" w:cstheme="minorHAnsi"/>
        </w:rPr>
      </w:pPr>
      <w:r w:rsidRPr="00DF5B90">
        <w:rPr>
          <w:rFonts w:asciiTheme="minorHAnsi" w:eastAsiaTheme="minorEastAsia" w:hAnsiTheme="minorHAnsi" w:cstheme="minorHAnsi"/>
          <w:lang w:val="id-ID"/>
        </w:rPr>
        <w:t>**</w:t>
      </w:r>
      <w:r w:rsidRPr="00DF5B90">
        <w:rPr>
          <w:rFonts w:asciiTheme="minorHAnsi" w:eastAsiaTheme="minorEastAsia" w:hAnsiTheme="minorHAnsi" w:cstheme="minorHAnsi"/>
        </w:rPr>
        <w:t xml:space="preserve"> Significant at 5% level</w:t>
      </w:r>
    </w:p>
    <w:p w14:paraId="2A9D6A7C" w14:textId="77777777" w:rsidR="00DF5B90" w:rsidRPr="00DF5B90" w:rsidRDefault="00DF5B90" w:rsidP="00DF5B90">
      <w:pPr>
        <w:spacing w:line="240" w:lineRule="auto"/>
        <w:jc w:val="both"/>
        <w:rPr>
          <w:rFonts w:asciiTheme="minorHAnsi" w:eastAsiaTheme="minorEastAsia" w:hAnsiTheme="minorHAnsi" w:cstheme="minorHAnsi"/>
          <w:lang w:val="id-ID"/>
        </w:rPr>
      </w:pPr>
      <w:r w:rsidRPr="00DF5B90">
        <w:rPr>
          <w:rFonts w:asciiTheme="minorHAnsi" w:eastAsiaTheme="minorEastAsia" w:hAnsiTheme="minorHAnsi" w:cstheme="minorHAnsi"/>
          <w:lang w:val="id-ID"/>
        </w:rPr>
        <w:t>*</w:t>
      </w:r>
      <w:r w:rsidRPr="00DF5B90">
        <w:rPr>
          <w:rFonts w:asciiTheme="minorHAnsi" w:eastAsiaTheme="minorEastAsia" w:hAnsiTheme="minorHAnsi" w:cstheme="minorHAnsi"/>
        </w:rPr>
        <w:t xml:space="preserve"> Significant at 10% level</w:t>
      </w:r>
    </w:p>
    <w:p w14:paraId="740AE977" w14:textId="58D36E4F" w:rsidR="00DF5B90" w:rsidRDefault="00DF5B90" w:rsidP="00DF5B90">
      <w:pPr>
        <w:pStyle w:val="Keterangan"/>
        <w:keepNext/>
        <w:spacing w:after="240"/>
        <w:ind w:firstLine="284"/>
        <w:rPr>
          <w:rFonts w:asciiTheme="minorHAnsi" w:hAnsiTheme="minorHAnsi" w:cstheme="minorHAnsi"/>
          <w:b w:val="0"/>
          <w:bCs w:val="0"/>
          <w:sz w:val="24"/>
          <w:szCs w:val="24"/>
          <w:shd w:val="clear" w:color="auto" w:fill="FFFFFF"/>
          <w:lang w:val="id-ID"/>
        </w:rPr>
      </w:pPr>
      <w:r w:rsidRPr="00DF5B90">
        <w:rPr>
          <w:rFonts w:asciiTheme="minorHAnsi" w:hAnsiTheme="minorHAnsi" w:cstheme="minorHAnsi"/>
          <w:b w:val="0"/>
          <w:bCs w:val="0"/>
          <w:sz w:val="24"/>
          <w:szCs w:val="24"/>
          <w:shd w:val="clear" w:color="auto" w:fill="FFFFFF"/>
          <w:lang w:val="id-ID"/>
        </w:rPr>
        <w:t xml:space="preserve">The GARCH (1.1) test of the effect of stock market volatility on gold prices during the Russia-Ukraine war period is listed in Table 4. The test results indicate that not all variables follow the GARCH pattern. Some variables that follow the GARCH pattern include PSEi, STI, LSX, Nikkei, and Kospi, which are significant at 10% and 1% significance levels. The PSEi was shown to positively influence gold prices at the 1% significance level. In addition, the STI and Kospi were also shown to positively influence gold prices at the 10% significance level. </w:t>
      </w:r>
    </w:p>
    <w:p w14:paraId="61AB72F0" w14:textId="77777777" w:rsidR="00DF5B90" w:rsidRPr="00DF5B90" w:rsidRDefault="00DF5B90" w:rsidP="00DF5B90">
      <w:pPr>
        <w:pStyle w:val="Keterangan"/>
        <w:keepNext/>
        <w:jc w:val="center"/>
        <w:rPr>
          <w:rFonts w:asciiTheme="minorHAnsi" w:hAnsiTheme="minorHAnsi" w:cstheme="minorHAnsi"/>
          <w:sz w:val="24"/>
          <w:szCs w:val="24"/>
          <w:lang w:val="id-ID"/>
        </w:rPr>
      </w:pPr>
      <w:bookmarkStart w:id="15" w:name="_Toc168426045"/>
      <w:bookmarkStart w:id="16" w:name="_Toc170310506"/>
      <w:bookmarkStart w:id="17" w:name="_Toc171071273"/>
      <w:bookmarkStart w:id="18" w:name="_Toc171072598"/>
      <w:r w:rsidRPr="00DF5B90">
        <w:rPr>
          <w:rFonts w:asciiTheme="minorHAnsi" w:hAnsiTheme="minorHAnsi" w:cstheme="minorHAnsi"/>
          <w:sz w:val="24"/>
          <w:szCs w:val="24"/>
          <w:lang w:val="id-ID"/>
        </w:rPr>
        <w:t>T</w:t>
      </w:r>
      <w:r w:rsidRPr="00DF5B90">
        <w:rPr>
          <w:rFonts w:asciiTheme="minorHAnsi" w:hAnsiTheme="minorHAnsi" w:cstheme="minorHAnsi"/>
          <w:sz w:val="24"/>
          <w:szCs w:val="24"/>
        </w:rPr>
        <w:t>able</w:t>
      </w:r>
      <w:r w:rsidRPr="00DF5B90">
        <w:rPr>
          <w:rFonts w:asciiTheme="minorHAnsi" w:hAnsiTheme="minorHAnsi" w:cstheme="minorHAnsi"/>
          <w:sz w:val="24"/>
          <w:szCs w:val="24"/>
          <w:lang w:val="id-ID"/>
        </w:rPr>
        <w:t xml:space="preserve"> </w:t>
      </w:r>
      <w:r w:rsidRPr="00DF5B90">
        <w:rPr>
          <w:rFonts w:asciiTheme="minorHAnsi" w:hAnsiTheme="minorHAnsi" w:cstheme="minorHAnsi"/>
          <w:sz w:val="24"/>
          <w:szCs w:val="24"/>
        </w:rPr>
        <w:fldChar w:fldCharType="begin"/>
      </w:r>
      <w:r w:rsidRPr="00DF5B90">
        <w:rPr>
          <w:rFonts w:asciiTheme="minorHAnsi" w:hAnsiTheme="minorHAnsi" w:cstheme="minorHAnsi"/>
          <w:sz w:val="24"/>
          <w:szCs w:val="24"/>
          <w:lang w:val="id-ID"/>
        </w:rPr>
        <w:instrText xml:space="preserve"> SEQ Table \* ARABIC </w:instrText>
      </w:r>
      <w:r w:rsidRPr="00DF5B90">
        <w:rPr>
          <w:rFonts w:asciiTheme="minorHAnsi" w:hAnsiTheme="minorHAnsi" w:cstheme="minorHAnsi"/>
          <w:sz w:val="24"/>
          <w:szCs w:val="24"/>
        </w:rPr>
        <w:fldChar w:fldCharType="separate"/>
      </w:r>
      <w:r w:rsidRPr="00DF5B90">
        <w:rPr>
          <w:rFonts w:asciiTheme="minorHAnsi" w:hAnsiTheme="minorHAnsi" w:cstheme="minorHAnsi"/>
          <w:sz w:val="24"/>
          <w:szCs w:val="24"/>
          <w:lang w:val="id-ID"/>
        </w:rPr>
        <w:t>4</w:t>
      </w:r>
      <w:bookmarkEnd w:id="15"/>
      <w:bookmarkEnd w:id="16"/>
      <w:bookmarkEnd w:id="17"/>
      <w:bookmarkEnd w:id="18"/>
      <w:r w:rsidRPr="00DF5B90">
        <w:rPr>
          <w:rFonts w:asciiTheme="minorHAnsi" w:hAnsiTheme="minorHAnsi" w:cstheme="minorHAnsi"/>
          <w:sz w:val="24"/>
          <w:szCs w:val="24"/>
          <w:lang w:val="id-ID"/>
        </w:rPr>
        <w:fldChar w:fldCharType="end"/>
      </w:r>
    </w:p>
    <w:p w14:paraId="09655302" w14:textId="77777777" w:rsidR="00DF5B90" w:rsidRPr="00DF5B90" w:rsidRDefault="00DF5B90" w:rsidP="00DF5B90">
      <w:pPr>
        <w:pStyle w:val="Keterangan"/>
        <w:keepNext/>
        <w:jc w:val="center"/>
        <w:rPr>
          <w:rFonts w:asciiTheme="minorHAnsi" w:hAnsiTheme="minorHAnsi" w:cstheme="minorHAnsi"/>
          <w:sz w:val="24"/>
          <w:szCs w:val="24"/>
          <w:lang w:val="id-ID"/>
        </w:rPr>
      </w:pPr>
      <w:r w:rsidRPr="00DF5B90">
        <w:rPr>
          <w:rFonts w:asciiTheme="minorHAnsi" w:hAnsiTheme="minorHAnsi" w:cstheme="minorHAnsi"/>
          <w:sz w:val="24"/>
          <w:szCs w:val="24"/>
          <w:lang w:val="id-ID"/>
        </w:rPr>
        <w:t>The Impact of Stock Market Volatility on Gold Prices</w:t>
      </w:r>
      <w:r w:rsidRPr="00DF5B90">
        <w:rPr>
          <w:rFonts w:asciiTheme="minorHAnsi" w:hAnsiTheme="minorHAnsi" w:cstheme="minorHAnsi"/>
          <w:sz w:val="24"/>
          <w:szCs w:val="24"/>
        </w:rPr>
        <w:t xml:space="preserve"> During T</w:t>
      </w:r>
      <w:r w:rsidRPr="00DF5B90">
        <w:rPr>
          <w:rFonts w:asciiTheme="minorHAnsi" w:hAnsiTheme="minorHAnsi" w:cstheme="minorHAnsi"/>
          <w:sz w:val="24"/>
          <w:szCs w:val="24"/>
          <w:lang w:val="id-ID"/>
        </w:rPr>
        <w:t>he Russia-Ukraine War</w:t>
      </w:r>
    </w:p>
    <w:tbl>
      <w:tblPr>
        <w:tblW w:w="9249" w:type="dxa"/>
        <w:jc w:val="center"/>
        <w:tblLook w:val="04A0" w:firstRow="1" w:lastRow="0" w:firstColumn="1" w:lastColumn="0" w:noHBand="0" w:noVBand="1"/>
      </w:tblPr>
      <w:tblGrid>
        <w:gridCol w:w="819"/>
        <w:gridCol w:w="1274"/>
        <w:gridCol w:w="965"/>
        <w:gridCol w:w="1499"/>
        <w:gridCol w:w="959"/>
        <w:gridCol w:w="1198"/>
        <w:gridCol w:w="1246"/>
        <w:gridCol w:w="1309"/>
      </w:tblGrid>
      <w:tr w:rsidR="00DF5B90" w:rsidRPr="00DF5B90" w14:paraId="78216D61" w14:textId="77777777" w:rsidTr="00DF5B90">
        <w:trPr>
          <w:trHeight w:val="315"/>
          <w:jc w:val="center"/>
        </w:trPr>
        <w:tc>
          <w:tcPr>
            <w:tcW w:w="9249" w:type="dxa"/>
            <w:gridSpan w:val="8"/>
            <w:tcBorders>
              <w:top w:val="single" w:sz="8" w:space="0" w:color="auto"/>
              <w:left w:val="nil"/>
              <w:bottom w:val="nil"/>
              <w:right w:val="nil"/>
            </w:tcBorders>
            <w:noWrap/>
            <w:vAlign w:val="center"/>
            <w:hideMark/>
          </w:tcPr>
          <w:p w14:paraId="0F2E23D5" w14:textId="207CE48B"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During Rus</w:t>
            </w:r>
            <w:r w:rsidR="006E23DC">
              <w:rPr>
                <w:rFonts w:asciiTheme="minorHAnsi" w:eastAsia="Times New Roman" w:hAnsiTheme="minorHAnsi" w:cstheme="minorHAnsi"/>
                <w:b/>
                <w:bCs/>
                <w:color w:val="000000"/>
                <w:lang w:val="id-ID"/>
              </w:rPr>
              <w:t>s</w:t>
            </w:r>
            <w:r w:rsidRPr="00DF5B90">
              <w:rPr>
                <w:rFonts w:asciiTheme="minorHAnsi" w:eastAsia="Times New Roman" w:hAnsiTheme="minorHAnsi" w:cstheme="minorHAnsi"/>
                <w:b/>
                <w:bCs/>
                <w:color w:val="000000"/>
                <w:lang w:val="id-ID"/>
              </w:rPr>
              <w:t>ia-Ukrain</w:t>
            </w:r>
            <w:r w:rsidR="006E23DC">
              <w:rPr>
                <w:rFonts w:asciiTheme="minorHAnsi" w:eastAsia="Times New Roman" w:hAnsiTheme="minorHAnsi" w:cstheme="minorHAnsi"/>
                <w:b/>
                <w:bCs/>
                <w:color w:val="000000"/>
                <w:lang w:val="id-ID"/>
              </w:rPr>
              <w:t>e War</w:t>
            </w:r>
          </w:p>
        </w:tc>
      </w:tr>
      <w:tr w:rsidR="00DF5B90" w:rsidRPr="00DF5B90" w14:paraId="0FE4E73A" w14:textId="77777777" w:rsidTr="00DF5B90">
        <w:trPr>
          <w:trHeight w:val="300"/>
          <w:jc w:val="center"/>
        </w:trPr>
        <w:tc>
          <w:tcPr>
            <w:tcW w:w="0" w:type="auto"/>
            <w:gridSpan w:val="2"/>
            <w:vMerge w:val="restart"/>
            <w:tcBorders>
              <w:top w:val="single" w:sz="4" w:space="0" w:color="auto"/>
              <w:left w:val="nil"/>
              <w:bottom w:val="single" w:sz="8" w:space="0" w:color="000000"/>
              <w:right w:val="nil"/>
            </w:tcBorders>
            <w:noWrap/>
            <w:vAlign w:val="center"/>
            <w:hideMark/>
          </w:tcPr>
          <w:p w14:paraId="356E1BA0"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en-US"/>
              </w:rPr>
            </w:pPr>
            <w:r w:rsidRPr="00DF5B90">
              <w:rPr>
                <w:rFonts w:asciiTheme="minorHAnsi" w:eastAsia="Times New Roman" w:hAnsiTheme="minorHAnsi" w:cstheme="minorHAnsi"/>
                <w:b/>
                <w:bCs/>
                <w:color w:val="000000"/>
              </w:rPr>
              <w:t>Independent</w:t>
            </w:r>
          </w:p>
          <w:p w14:paraId="5C26867D" w14:textId="77777777" w:rsidR="00DF5B90" w:rsidRPr="00DF5B90" w:rsidRDefault="00DF5B90" w:rsidP="00DF5B90">
            <w:pPr>
              <w:spacing w:after="0" w:line="240" w:lineRule="auto"/>
              <w:jc w:val="center"/>
              <w:rPr>
                <w:rFonts w:asciiTheme="minorHAnsi" w:eastAsia="Times New Roman" w:hAnsiTheme="minorHAnsi" w:cstheme="minorHAnsi"/>
                <w:b/>
                <w:bCs/>
                <w:color w:val="000000"/>
              </w:rPr>
            </w:pPr>
            <w:r w:rsidRPr="00DF5B90">
              <w:rPr>
                <w:rFonts w:asciiTheme="minorHAnsi" w:eastAsia="Times New Roman" w:hAnsiTheme="minorHAnsi" w:cstheme="minorHAnsi"/>
                <w:b/>
                <w:bCs/>
                <w:color w:val="000000"/>
              </w:rPr>
              <w:t>Variable</w:t>
            </w:r>
          </w:p>
        </w:tc>
        <w:tc>
          <w:tcPr>
            <w:tcW w:w="0" w:type="auto"/>
            <w:gridSpan w:val="2"/>
            <w:tcBorders>
              <w:top w:val="single" w:sz="4" w:space="0" w:color="auto"/>
              <w:left w:val="nil"/>
              <w:bottom w:val="single" w:sz="4" w:space="0" w:color="auto"/>
              <w:right w:val="nil"/>
            </w:tcBorders>
            <w:vAlign w:val="center"/>
            <w:hideMark/>
          </w:tcPr>
          <w:p w14:paraId="4D02608C"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Mean Equation</w:t>
            </w:r>
          </w:p>
        </w:tc>
        <w:tc>
          <w:tcPr>
            <w:tcW w:w="0" w:type="auto"/>
            <w:gridSpan w:val="3"/>
            <w:tcBorders>
              <w:top w:val="single" w:sz="4" w:space="0" w:color="auto"/>
              <w:left w:val="nil"/>
              <w:bottom w:val="single" w:sz="4" w:space="0" w:color="auto"/>
              <w:right w:val="nil"/>
            </w:tcBorders>
            <w:noWrap/>
            <w:vAlign w:val="center"/>
            <w:hideMark/>
          </w:tcPr>
          <w:p w14:paraId="6F3EAD5A"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Variance Equation</w:t>
            </w:r>
          </w:p>
        </w:tc>
        <w:tc>
          <w:tcPr>
            <w:tcW w:w="1309" w:type="dxa"/>
            <w:vMerge w:val="restart"/>
            <w:tcBorders>
              <w:top w:val="single" w:sz="4" w:space="0" w:color="auto"/>
              <w:left w:val="nil"/>
              <w:bottom w:val="single" w:sz="8" w:space="0" w:color="000000"/>
              <w:right w:val="nil"/>
            </w:tcBorders>
            <w:vAlign w:val="center"/>
            <w:hideMark/>
          </w:tcPr>
          <w:p w14:paraId="528D555F"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 xml:space="preserve">GED </w:t>
            </w:r>
          </w:p>
          <w:p w14:paraId="13110B23"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Parameter</w:t>
            </w:r>
          </w:p>
        </w:tc>
      </w:tr>
      <w:tr w:rsidR="00DF5B90" w:rsidRPr="00DF5B90" w14:paraId="2073A32C" w14:textId="77777777" w:rsidTr="00DF5B90">
        <w:trPr>
          <w:trHeight w:val="315"/>
          <w:jc w:val="center"/>
        </w:trPr>
        <w:tc>
          <w:tcPr>
            <w:tcW w:w="0" w:type="auto"/>
            <w:gridSpan w:val="2"/>
            <w:vMerge/>
            <w:tcBorders>
              <w:top w:val="single" w:sz="4" w:space="0" w:color="auto"/>
              <w:left w:val="nil"/>
              <w:bottom w:val="single" w:sz="8" w:space="0" w:color="000000"/>
              <w:right w:val="nil"/>
            </w:tcBorders>
            <w:vAlign w:val="center"/>
            <w:hideMark/>
          </w:tcPr>
          <w:p w14:paraId="5B8767AC" w14:textId="77777777" w:rsidR="00DF5B90" w:rsidRPr="00DF5B90" w:rsidRDefault="00DF5B90" w:rsidP="00DF5B90">
            <w:pPr>
              <w:spacing w:after="0" w:line="240" w:lineRule="auto"/>
              <w:rPr>
                <w:rFonts w:asciiTheme="minorHAnsi" w:eastAsia="Times New Roman" w:hAnsiTheme="minorHAnsi" w:cstheme="minorHAnsi"/>
                <w:b/>
                <w:bCs/>
                <w:color w:val="000000"/>
                <w:lang w:val="en-US"/>
              </w:rPr>
            </w:pPr>
          </w:p>
        </w:tc>
        <w:tc>
          <w:tcPr>
            <w:tcW w:w="0" w:type="auto"/>
            <w:tcBorders>
              <w:top w:val="nil"/>
              <w:left w:val="nil"/>
              <w:bottom w:val="single" w:sz="8" w:space="0" w:color="auto"/>
              <w:right w:val="nil"/>
            </w:tcBorders>
            <w:vAlign w:val="center"/>
            <w:hideMark/>
          </w:tcPr>
          <w:p w14:paraId="74A115E3"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C</w:t>
            </w:r>
          </w:p>
        </w:tc>
        <w:tc>
          <w:tcPr>
            <w:tcW w:w="0" w:type="auto"/>
            <w:tcBorders>
              <w:top w:val="nil"/>
              <w:left w:val="nil"/>
              <w:bottom w:val="single" w:sz="8" w:space="0" w:color="auto"/>
              <w:right w:val="nil"/>
            </w:tcBorders>
            <w:vAlign w:val="center"/>
            <w:hideMark/>
          </w:tcPr>
          <w:p w14:paraId="62D18E96"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en-US"/>
              </w:rPr>
            </w:pPr>
            <w:r w:rsidRPr="00DF5B90">
              <w:rPr>
                <w:rFonts w:asciiTheme="minorHAnsi" w:eastAsia="Times New Roman" w:hAnsiTheme="minorHAnsi" w:cstheme="minorHAnsi"/>
                <w:b/>
                <w:bCs/>
                <w:color w:val="000000"/>
              </w:rPr>
              <w:t>Independent</w:t>
            </w:r>
          </w:p>
          <w:p w14:paraId="1C580AB4" w14:textId="77777777" w:rsidR="00DF5B90" w:rsidRPr="00DF5B90" w:rsidRDefault="00DF5B90" w:rsidP="00DF5B90">
            <w:pPr>
              <w:spacing w:after="0" w:line="240" w:lineRule="auto"/>
              <w:jc w:val="center"/>
              <w:rPr>
                <w:rFonts w:asciiTheme="minorHAnsi" w:eastAsia="Times New Roman" w:hAnsiTheme="minorHAnsi" w:cstheme="minorHAnsi"/>
                <w:b/>
                <w:bCs/>
                <w:color w:val="000000"/>
              </w:rPr>
            </w:pPr>
            <w:r w:rsidRPr="00DF5B90">
              <w:rPr>
                <w:rFonts w:asciiTheme="minorHAnsi" w:eastAsia="Times New Roman" w:hAnsiTheme="minorHAnsi" w:cstheme="minorHAnsi"/>
                <w:b/>
                <w:bCs/>
                <w:color w:val="000000"/>
              </w:rPr>
              <w:t>Variable</w:t>
            </w:r>
            <w:r w:rsidRPr="00DF5B90">
              <w:rPr>
                <w:rFonts w:asciiTheme="minorHAnsi" w:eastAsia="Times New Roman" w:hAnsiTheme="minorHAnsi" w:cstheme="minorHAnsi"/>
                <w:b/>
                <w:bCs/>
                <w:color w:val="000000"/>
                <w:lang w:val="id-ID"/>
              </w:rPr>
              <w:t xml:space="preserve"> (Volatilit</w:t>
            </w:r>
            <w:r w:rsidRPr="00DF5B90">
              <w:rPr>
                <w:rFonts w:asciiTheme="minorHAnsi" w:eastAsia="Times New Roman" w:hAnsiTheme="minorHAnsi" w:cstheme="minorHAnsi"/>
                <w:b/>
                <w:bCs/>
                <w:color w:val="000000"/>
              </w:rPr>
              <w:t>y</w:t>
            </w:r>
            <w:r w:rsidRPr="00DF5B90">
              <w:rPr>
                <w:rFonts w:asciiTheme="minorHAnsi" w:eastAsia="Times New Roman" w:hAnsiTheme="minorHAnsi" w:cstheme="minorHAnsi"/>
                <w:b/>
                <w:bCs/>
                <w:color w:val="000000"/>
                <w:lang w:val="id-ID"/>
              </w:rPr>
              <w:t>)</w:t>
            </w:r>
          </w:p>
        </w:tc>
        <w:tc>
          <w:tcPr>
            <w:tcW w:w="0" w:type="auto"/>
            <w:tcBorders>
              <w:top w:val="nil"/>
              <w:left w:val="nil"/>
              <w:bottom w:val="single" w:sz="8" w:space="0" w:color="auto"/>
              <w:right w:val="nil"/>
            </w:tcBorders>
            <w:noWrap/>
            <w:vAlign w:val="center"/>
            <w:hideMark/>
          </w:tcPr>
          <w:p w14:paraId="789F58AE"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C</w:t>
            </w:r>
          </w:p>
        </w:tc>
        <w:tc>
          <w:tcPr>
            <w:tcW w:w="0" w:type="auto"/>
            <w:tcBorders>
              <w:top w:val="nil"/>
              <w:left w:val="nil"/>
              <w:bottom w:val="single" w:sz="8" w:space="0" w:color="auto"/>
              <w:right w:val="nil"/>
            </w:tcBorders>
            <w:noWrap/>
            <w:vAlign w:val="center"/>
            <w:hideMark/>
          </w:tcPr>
          <w:p w14:paraId="1419FB62"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Resid</w:t>
            </w:r>
          </w:p>
        </w:tc>
        <w:tc>
          <w:tcPr>
            <w:tcW w:w="0" w:type="auto"/>
            <w:tcBorders>
              <w:top w:val="nil"/>
              <w:left w:val="nil"/>
              <w:bottom w:val="single" w:sz="8" w:space="0" w:color="auto"/>
              <w:right w:val="nil"/>
            </w:tcBorders>
            <w:noWrap/>
            <w:vAlign w:val="center"/>
            <w:hideMark/>
          </w:tcPr>
          <w:p w14:paraId="43CD8EEE" w14:textId="09C1349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G</w:t>
            </w:r>
            <w:r w:rsidR="006E23DC">
              <w:rPr>
                <w:rFonts w:asciiTheme="minorHAnsi" w:eastAsia="Times New Roman" w:hAnsiTheme="minorHAnsi" w:cstheme="minorHAnsi"/>
                <w:b/>
                <w:bCs/>
                <w:color w:val="000000"/>
                <w:lang w:val="id-ID"/>
              </w:rPr>
              <w:t>ARCH</w:t>
            </w:r>
          </w:p>
        </w:tc>
        <w:tc>
          <w:tcPr>
            <w:tcW w:w="0" w:type="auto"/>
            <w:vMerge/>
            <w:tcBorders>
              <w:top w:val="single" w:sz="4" w:space="0" w:color="auto"/>
              <w:left w:val="nil"/>
              <w:bottom w:val="single" w:sz="8" w:space="0" w:color="000000"/>
              <w:right w:val="nil"/>
            </w:tcBorders>
            <w:vAlign w:val="center"/>
            <w:hideMark/>
          </w:tcPr>
          <w:p w14:paraId="3FF1205F" w14:textId="77777777" w:rsidR="00DF5B90" w:rsidRPr="00DF5B90" w:rsidRDefault="00DF5B90" w:rsidP="00DF5B90">
            <w:pPr>
              <w:spacing w:after="0" w:line="240" w:lineRule="auto"/>
              <w:rPr>
                <w:rFonts w:asciiTheme="minorHAnsi" w:eastAsia="Times New Roman" w:hAnsiTheme="minorHAnsi" w:cstheme="minorHAnsi"/>
                <w:b/>
                <w:bCs/>
                <w:color w:val="000000"/>
                <w:lang w:val="id-ID"/>
              </w:rPr>
            </w:pPr>
          </w:p>
        </w:tc>
      </w:tr>
      <w:tr w:rsidR="00DF5B90" w:rsidRPr="00DF5B90" w14:paraId="090DF553" w14:textId="77777777" w:rsidTr="00DF5B90">
        <w:trPr>
          <w:trHeight w:val="300"/>
          <w:jc w:val="center"/>
        </w:trPr>
        <w:tc>
          <w:tcPr>
            <w:tcW w:w="0" w:type="auto"/>
            <w:vMerge w:val="restart"/>
            <w:tcBorders>
              <w:top w:val="single" w:sz="4" w:space="0" w:color="auto"/>
              <w:left w:val="nil"/>
              <w:bottom w:val="single" w:sz="4" w:space="0" w:color="auto"/>
              <w:right w:val="nil"/>
            </w:tcBorders>
            <w:noWrap/>
            <w:vAlign w:val="center"/>
            <w:hideMark/>
          </w:tcPr>
          <w:p w14:paraId="0F478D7A"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JKSE</w:t>
            </w:r>
          </w:p>
        </w:tc>
        <w:tc>
          <w:tcPr>
            <w:tcW w:w="0" w:type="auto"/>
            <w:tcBorders>
              <w:top w:val="single" w:sz="4" w:space="0" w:color="auto"/>
              <w:left w:val="nil"/>
              <w:bottom w:val="nil"/>
              <w:right w:val="nil"/>
            </w:tcBorders>
            <w:noWrap/>
            <w:vAlign w:val="center"/>
            <w:hideMark/>
          </w:tcPr>
          <w:p w14:paraId="470B4787"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16C3E77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0.0010</w:t>
            </w:r>
          </w:p>
        </w:tc>
        <w:tc>
          <w:tcPr>
            <w:tcW w:w="0" w:type="auto"/>
            <w:tcBorders>
              <w:top w:val="single" w:sz="4" w:space="0" w:color="auto"/>
              <w:left w:val="nil"/>
              <w:bottom w:val="nil"/>
              <w:right w:val="nil"/>
            </w:tcBorders>
            <w:noWrap/>
            <w:vAlign w:val="center"/>
            <w:hideMark/>
          </w:tcPr>
          <w:p w14:paraId="749305B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-0.0005</w:t>
            </w:r>
          </w:p>
        </w:tc>
        <w:tc>
          <w:tcPr>
            <w:tcW w:w="0" w:type="auto"/>
            <w:tcBorders>
              <w:top w:val="single" w:sz="4" w:space="0" w:color="auto"/>
              <w:left w:val="nil"/>
              <w:bottom w:val="nil"/>
              <w:right w:val="nil"/>
            </w:tcBorders>
            <w:noWrap/>
            <w:vAlign w:val="center"/>
            <w:hideMark/>
          </w:tcPr>
          <w:p w14:paraId="474EF64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single" w:sz="4" w:space="0" w:color="auto"/>
              <w:left w:val="nil"/>
              <w:bottom w:val="nil"/>
              <w:right w:val="nil"/>
            </w:tcBorders>
            <w:noWrap/>
            <w:vAlign w:val="center"/>
            <w:hideMark/>
          </w:tcPr>
          <w:p w14:paraId="3B4ACFA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-0.0565</w:t>
            </w:r>
          </w:p>
        </w:tc>
        <w:tc>
          <w:tcPr>
            <w:tcW w:w="0" w:type="auto"/>
            <w:tcBorders>
              <w:top w:val="single" w:sz="4" w:space="0" w:color="auto"/>
              <w:left w:val="nil"/>
              <w:bottom w:val="nil"/>
              <w:right w:val="nil"/>
            </w:tcBorders>
            <w:noWrap/>
            <w:vAlign w:val="center"/>
            <w:hideMark/>
          </w:tcPr>
          <w:p w14:paraId="400CBC3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0.5888</w:t>
            </w:r>
          </w:p>
        </w:tc>
        <w:tc>
          <w:tcPr>
            <w:tcW w:w="1309" w:type="dxa"/>
            <w:tcBorders>
              <w:top w:val="single" w:sz="4" w:space="0" w:color="auto"/>
              <w:left w:val="nil"/>
              <w:bottom w:val="nil"/>
              <w:right w:val="nil"/>
            </w:tcBorders>
            <w:vAlign w:val="center"/>
            <w:hideMark/>
          </w:tcPr>
          <w:p w14:paraId="439D6A9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1.2712</w:t>
            </w:r>
          </w:p>
        </w:tc>
      </w:tr>
      <w:tr w:rsidR="00DF5B90" w:rsidRPr="00DF5B90" w14:paraId="1EDB3CB5"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778930EA"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652670F3"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0EC8028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1.9120</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2A14DBB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-0.9783</w:t>
            </w:r>
          </w:p>
        </w:tc>
        <w:tc>
          <w:tcPr>
            <w:tcW w:w="0" w:type="auto"/>
            <w:noWrap/>
            <w:vAlign w:val="center"/>
            <w:hideMark/>
          </w:tcPr>
          <w:p w14:paraId="7D3EC96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1.0129</w:t>
            </w:r>
          </w:p>
        </w:tc>
        <w:tc>
          <w:tcPr>
            <w:tcW w:w="0" w:type="auto"/>
            <w:noWrap/>
            <w:vAlign w:val="center"/>
            <w:hideMark/>
          </w:tcPr>
          <w:p w14:paraId="6CC2971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-3.6150</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002C340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1.3211</w:t>
            </w:r>
          </w:p>
        </w:tc>
        <w:tc>
          <w:tcPr>
            <w:tcW w:w="1309" w:type="dxa"/>
            <w:noWrap/>
            <w:vAlign w:val="center"/>
            <w:hideMark/>
          </w:tcPr>
          <w:p w14:paraId="3AD52AE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8.2625</w:t>
            </w:r>
            <w:r w:rsidRPr="00DF5B90">
              <w:rPr>
                <w:rFonts w:asciiTheme="minorHAnsi" w:eastAsia="Times New Roman" w:hAnsiTheme="minorHAnsi" w:cstheme="minorHAnsi"/>
                <w:color w:val="000000"/>
                <w:vertAlign w:val="superscript"/>
                <w:lang w:val="id-ID"/>
              </w:rPr>
              <w:t>***</w:t>
            </w:r>
          </w:p>
        </w:tc>
      </w:tr>
      <w:tr w:rsidR="00DF5B90" w:rsidRPr="00DF5B90" w14:paraId="2AD56B26"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5BB49F61"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3B532BD9"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00C5F4F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0.0559</w:t>
            </w:r>
          </w:p>
        </w:tc>
        <w:tc>
          <w:tcPr>
            <w:tcW w:w="0" w:type="auto"/>
            <w:tcBorders>
              <w:top w:val="nil"/>
              <w:left w:val="nil"/>
              <w:bottom w:val="single" w:sz="4" w:space="0" w:color="auto"/>
              <w:right w:val="nil"/>
            </w:tcBorders>
            <w:noWrap/>
            <w:vAlign w:val="center"/>
            <w:hideMark/>
          </w:tcPr>
          <w:p w14:paraId="4554102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0.3279</w:t>
            </w:r>
          </w:p>
        </w:tc>
        <w:tc>
          <w:tcPr>
            <w:tcW w:w="0" w:type="auto"/>
            <w:tcBorders>
              <w:top w:val="nil"/>
              <w:left w:val="nil"/>
              <w:bottom w:val="single" w:sz="4" w:space="0" w:color="auto"/>
              <w:right w:val="nil"/>
            </w:tcBorders>
            <w:noWrap/>
            <w:vAlign w:val="center"/>
            <w:hideMark/>
          </w:tcPr>
          <w:p w14:paraId="44FCB99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0.3111</w:t>
            </w:r>
          </w:p>
        </w:tc>
        <w:tc>
          <w:tcPr>
            <w:tcW w:w="0" w:type="auto"/>
            <w:tcBorders>
              <w:top w:val="nil"/>
              <w:left w:val="nil"/>
              <w:bottom w:val="single" w:sz="4" w:space="0" w:color="auto"/>
              <w:right w:val="nil"/>
            </w:tcBorders>
            <w:noWrap/>
            <w:vAlign w:val="center"/>
            <w:hideMark/>
          </w:tcPr>
          <w:p w14:paraId="2E6943E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0.0003</w:t>
            </w:r>
          </w:p>
        </w:tc>
        <w:tc>
          <w:tcPr>
            <w:tcW w:w="0" w:type="auto"/>
            <w:tcBorders>
              <w:top w:val="nil"/>
              <w:left w:val="nil"/>
              <w:bottom w:val="single" w:sz="4" w:space="0" w:color="auto"/>
              <w:right w:val="nil"/>
            </w:tcBorders>
            <w:noWrap/>
            <w:vAlign w:val="center"/>
            <w:hideMark/>
          </w:tcPr>
          <w:p w14:paraId="175ED18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0.1865</w:t>
            </w:r>
          </w:p>
        </w:tc>
        <w:tc>
          <w:tcPr>
            <w:tcW w:w="1309" w:type="dxa"/>
            <w:tcBorders>
              <w:top w:val="nil"/>
              <w:left w:val="nil"/>
              <w:bottom w:val="single" w:sz="4" w:space="0" w:color="auto"/>
              <w:right w:val="nil"/>
            </w:tcBorders>
            <w:noWrap/>
            <w:vAlign w:val="center"/>
            <w:hideMark/>
          </w:tcPr>
          <w:p w14:paraId="2B99155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7784FC20" w14:textId="77777777" w:rsidTr="00DF5B90">
        <w:trPr>
          <w:trHeight w:val="300"/>
          <w:jc w:val="center"/>
        </w:trPr>
        <w:tc>
          <w:tcPr>
            <w:tcW w:w="0" w:type="auto"/>
            <w:vMerge w:val="restart"/>
            <w:tcBorders>
              <w:top w:val="single" w:sz="4" w:space="0" w:color="auto"/>
              <w:left w:val="nil"/>
              <w:bottom w:val="single" w:sz="4" w:space="0" w:color="auto"/>
              <w:right w:val="nil"/>
            </w:tcBorders>
            <w:noWrap/>
            <w:vAlign w:val="center"/>
            <w:hideMark/>
          </w:tcPr>
          <w:p w14:paraId="587C6CE4"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KLSE</w:t>
            </w:r>
          </w:p>
        </w:tc>
        <w:tc>
          <w:tcPr>
            <w:tcW w:w="0" w:type="auto"/>
            <w:tcBorders>
              <w:top w:val="single" w:sz="4" w:space="0" w:color="auto"/>
              <w:left w:val="nil"/>
              <w:bottom w:val="nil"/>
              <w:right w:val="nil"/>
            </w:tcBorders>
            <w:noWrap/>
            <w:vAlign w:val="center"/>
            <w:hideMark/>
          </w:tcPr>
          <w:p w14:paraId="386A49BC"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609B822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0.0010</w:t>
            </w:r>
          </w:p>
        </w:tc>
        <w:tc>
          <w:tcPr>
            <w:tcW w:w="0" w:type="auto"/>
            <w:tcBorders>
              <w:top w:val="single" w:sz="4" w:space="0" w:color="auto"/>
              <w:left w:val="nil"/>
              <w:bottom w:val="nil"/>
              <w:right w:val="nil"/>
            </w:tcBorders>
            <w:noWrap/>
            <w:vAlign w:val="center"/>
            <w:hideMark/>
          </w:tcPr>
          <w:p w14:paraId="48DC9EE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single" w:sz="4" w:space="0" w:color="auto"/>
              <w:left w:val="nil"/>
              <w:bottom w:val="nil"/>
              <w:right w:val="nil"/>
            </w:tcBorders>
            <w:noWrap/>
            <w:vAlign w:val="center"/>
            <w:hideMark/>
          </w:tcPr>
          <w:p w14:paraId="52C8FF7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0.0001</w:t>
            </w:r>
          </w:p>
        </w:tc>
        <w:tc>
          <w:tcPr>
            <w:tcW w:w="0" w:type="auto"/>
            <w:tcBorders>
              <w:top w:val="single" w:sz="4" w:space="0" w:color="auto"/>
              <w:left w:val="nil"/>
              <w:bottom w:val="nil"/>
              <w:right w:val="nil"/>
            </w:tcBorders>
            <w:noWrap/>
            <w:vAlign w:val="center"/>
            <w:hideMark/>
          </w:tcPr>
          <w:p w14:paraId="03FDB2F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-0.0607</w:t>
            </w:r>
          </w:p>
        </w:tc>
        <w:tc>
          <w:tcPr>
            <w:tcW w:w="0" w:type="auto"/>
            <w:tcBorders>
              <w:top w:val="single" w:sz="4" w:space="0" w:color="auto"/>
              <w:left w:val="nil"/>
              <w:bottom w:val="nil"/>
              <w:right w:val="nil"/>
            </w:tcBorders>
            <w:noWrap/>
            <w:vAlign w:val="center"/>
            <w:hideMark/>
          </w:tcPr>
          <w:p w14:paraId="36C706F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0.5930</w:t>
            </w:r>
          </w:p>
        </w:tc>
        <w:tc>
          <w:tcPr>
            <w:tcW w:w="1309" w:type="dxa"/>
            <w:tcBorders>
              <w:top w:val="single" w:sz="4" w:space="0" w:color="auto"/>
              <w:left w:val="nil"/>
              <w:bottom w:val="nil"/>
              <w:right w:val="nil"/>
            </w:tcBorders>
            <w:vAlign w:val="center"/>
            <w:hideMark/>
          </w:tcPr>
          <w:p w14:paraId="0C641BA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1.2834</w:t>
            </w:r>
          </w:p>
        </w:tc>
      </w:tr>
      <w:tr w:rsidR="00DF5B90" w:rsidRPr="00DF5B90" w14:paraId="218076EA"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43C95581"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1DE215B3"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056733B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1.7156</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6337DC7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0.0468</w:t>
            </w:r>
          </w:p>
        </w:tc>
        <w:tc>
          <w:tcPr>
            <w:tcW w:w="0" w:type="auto"/>
            <w:noWrap/>
            <w:vAlign w:val="center"/>
            <w:hideMark/>
          </w:tcPr>
          <w:p w14:paraId="71113A5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1.1033</w:t>
            </w:r>
          </w:p>
        </w:tc>
        <w:tc>
          <w:tcPr>
            <w:tcW w:w="0" w:type="auto"/>
            <w:noWrap/>
            <w:vAlign w:val="center"/>
            <w:hideMark/>
          </w:tcPr>
          <w:p w14:paraId="3CF7DA2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-8.2350</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0B79973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1.4298</w:t>
            </w:r>
          </w:p>
        </w:tc>
        <w:tc>
          <w:tcPr>
            <w:tcW w:w="1309" w:type="dxa"/>
            <w:noWrap/>
            <w:vAlign w:val="center"/>
            <w:hideMark/>
          </w:tcPr>
          <w:p w14:paraId="52ABBD0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7.9788</w:t>
            </w:r>
            <w:r w:rsidRPr="00DF5B90">
              <w:rPr>
                <w:rFonts w:asciiTheme="minorHAnsi" w:eastAsia="Times New Roman" w:hAnsiTheme="minorHAnsi" w:cstheme="minorHAnsi"/>
                <w:color w:val="000000"/>
                <w:vertAlign w:val="superscript"/>
                <w:lang w:val="id-ID"/>
              </w:rPr>
              <w:t>***</w:t>
            </w:r>
          </w:p>
        </w:tc>
      </w:tr>
      <w:tr w:rsidR="00DF5B90" w:rsidRPr="00DF5B90" w14:paraId="1E499C8C"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585EA4A8"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41DF9CF8"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3A95AB1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0.0862</w:t>
            </w:r>
          </w:p>
        </w:tc>
        <w:tc>
          <w:tcPr>
            <w:tcW w:w="0" w:type="auto"/>
            <w:tcBorders>
              <w:top w:val="nil"/>
              <w:left w:val="nil"/>
              <w:bottom w:val="single" w:sz="4" w:space="0" w:color="auto"/>
              <w:right w:val="nil"/>
            </w:tcBorders>
            <w:noWrap/>
            <w:vAlign w:val="center"/>
            <w:hideMark/>
          </w:tcPr>
          <w:p w14:paraId="1AD05DE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0.9627</w:t>
            </w:r>
          </w:p>
        </w:tc>
        <w:tc>
          <w:tcPr>
            <w:tcW w:w="0" w:type="auto"/>
            <w:tcBorders>
              <w:top w:val="nil"/>
              <w:left w:val="nil"/>
              <w:bottom w:val="single" w:sz="4" w:space="0" w:color="auto"/>
              <w:right w:val="nil"/>
            </w:tcBorders>
            <w:noWrap/>
            <w:vAlign w:val="center"/>
            <w:hideMark/>
          </w:tcPr>
          <w:p w14:paraId="46AF3FA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0.2699</w:t>
            </w:r>
          </w:p>
        </w:tc>
        <w:tc>
          <w:tcPr>
            <w:tcW w:w="0" w:type="auto"/>
            <w:tcBorders>
              <w:top w:val="nil"/>
              <w:left w:val="nil"/>
              <w:bottom w:val="single" w:sz="4" w:space="0" w:color="auto"/>
              <w:right w:val="nil"/>
            </w:tcBorders>
            <w:noWrap/>
            <w:vAlign w:val="center"/>
            <w:hideMark/>
          </w:tcPr>
          <w:p w14:paraId="4C29061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nil"/>
              <w:left w:val="nil"/>
              <w:bottom w:val="single" w:sz="4" w:space="0" w:color="auto"/>
              <w:right w:val="nil"/>
            </w:tcBorders>
            <w:noWrap/>
            <w:vAlign w:val="center"/>
            <w:hideMark/>
          </w:tcPr>
          <w:p w14:paraId="5CDB6AD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0.1528</w:t>
            </w:r>
          </w:p>
        </w:tc>
        <w:tc>
          <w:tcPr>
            <w:tcW w:w="1309" w:type="dxa"/>
            <w:tcBorders>
              <w:top w:val="nil"/>
              <w:left w:val="nil"/>
              <w:bottom w:val="single" w:sz="4" w:space="0" w:color="auto"/>
              <w:right w:val="nil"/>
            </w:tcBorders>
            <w:noWrap/>
            <w:vAlign w:val="center"/>
            <w:hideMark/>
          </w:tcPr>
          <w:p w14:paraId="689E5C5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4B64B72F" w14:textId="77777777" w:rsidTr="00DF5B90">
        <w:trPr>
          <w:trHeight w:val="300"/>
          <w:jc w:val="center"/>
        </w:trPr>
        <w:tc>
          <w:tcPr>
            <w:tcW w:w="0" w:type="auto"/>
            <w:vMerge w:val="restart"/>
            <w:tcBorders>
              <w:top w:val="single" w:sz="4" w:space="0" w:color="auto"/>
              <w:left w:val="nil"/>
              <w:bottom w:val="single" w:sz="4" w:space="0" w:color="auto"/>
              <w:right w:val="nil"/>
            </w:tcBorders>
            <w:noWrap/>
            <w:vAlign w:val="center"/>
            <w:hideMark/>
          </w:tcPr>
          <w:p w14:paraId="09077503"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PSEi</w:t>
            </w:r>
          </w:p>
        </w:tc>
        <w:tc>
          <w:tcPr>
            <w:tcW w:w="0" w:type="auto"/>
            <w:tcBorders>
              <w:top w:val="single" w:sz="4" w:space="0" w:color="auto"/>
              <w:left w:val="nil"/>
              <w:bottom w:val="nil"/>
              <w:right w:val="nil"/>
            </w:tcBorders>
            <w:noWrap/>
            <w:vAlign w:val="center"/>
            <w:hideMark/>
          </w:tcPr>
          <w:p w14:paraId="7E20B8DF"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4861397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-0.0001</w:t>
            </w:r>
          </w:p>
        </w:tc>
        <w:tc>
          <w:tcPr>
            <w:tcW w:w="0" w:type="auto"/>
            <w:tcBorders>
              <w:top w:val="single" w:sz="4" w:space="0" w:color="auto"/>
              <w:left w:val="nil"/>
              <w:bottom w:val="nil"/>
              <w:right w:val="nil"/>
            </w:tcBorders>
            <w:noWrap/>
            <w:vAlign w:val="center"/>
            <w:hideMark/>
          </w:tcPr>
          <w:p w14:paraId="54E6B78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0.0016</w:t>
            </w:r>
          </w:p>
        </w:tc>
        <w:tc>
          <w:tcPr>
            <w:tcW w:w="0" w:type="auto"/>
            <w:tcBorders>
              <w:top w:val="single" w:sz="4" w:space="0" w:color="auto"/>
              <w:left w:val="nil"/>
              <w:bottom w:val="nil"/>
              <w:right w:val="nil"/>
            </w:tcBorders>
            <w:noWrap/>
            <w:vAlign w:val="center"/>
            <w:hideMark/>
          </w:tcPr>
          <w:p w14:paraId="321C082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single" w:sz="4" w:space="0" w:color="auto"/>
              <w:left w:val="nil"/>
              <w:bottom w:val="nil"/>
              <w:right w:val="nil"/>
            </w:tcBorders>
            <w:noWrap/>
            <w:vAlign w:val="center"/>
            <w:hideMark/>
          </w:tcPr>
          <w:p w14:paraId="7871333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0.0285</w:t>
            </w:r>
          </w:p>
        </w:tc>
        <w:tc>
          <w:tcPr>
            <w:tcW w:w="0" w:type="auto"/>
            <w:tcBorders>
              <w:top w:val="single" w:sz="4" w:space="0" w:color="auto"/>
              <w:left w:val="nil"/>
              <w:bottom w:val="nil"/>
              <w:right w:val="nil"/>
            </w:tcBorders>
            <w:noWrap/>
            <w:vAlign w:val="center"/>
            <w:hideMark/>
          </w:tcPr>
          <w:p w14:paraId="29C641D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0.9587</w:t>
            </w:r>
          </w:p>
        </w:tc>
        <w:tc>
          <w:tcPr>
            <w:tcW w:w="1309" w:type="dxa"/>
            <w:tcBorders>
              <w:top w:val="single" w:sz="4" w:space="0" w:color="auto"/>
              <w:left w:val="nil"/>
              <w:bottom w:val="nil"/>
              <w:right w:val="nil"/>
            </w:tcBorders>
            <w:vAlign w:val="center"/>
            <w:hideMark/>
          </w:tcPr>
          <w:p w14:paraId="35D8709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1.2636</w:t>
            </w:r>
          </w:p>
        </w:tc>
      </w:tr>
      <w:tr w:rsidR="00DF5B90" w:rsidRPr="00DF5B90" w14:paraId="5FC7BFE4"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71D46DD9"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7D870D9F"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41228D4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-0.1339</w:t>
            </w:r>
          </w:p>
        </w:tc>
        <w:tc>
          <w:tcPr>
            <w:tcW w:w="0" w:type="auto"/>
            <w:noWrap/>
            <w:vAlign w:val="center"/>
            <w:hideMark/>
          </w:tcPr>
          <w:p w14:paraId="659230F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3.0511</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346D1D3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0.2567</w:t>
            </w:r>
          </w:p>
        </w:tc>
        <w:tc>
          <w:tcPr>
            <w:tcW w:w="0" w:type="auto"/>
            <w:noWrap/>
            <w:vAlign w:val="center"/>
            <w:hideMark/>
          </w:tcPr>
          <w:p w14:paraId="59079F2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1.2483</w:t>
            </w:r>
          </w:p>
        </w:tc>
        <w:tc>
          <w:tcPr>
            <w:tcW w:w="0" w:type="auto"/>
            <w:noWrap/>
            <w:vAlign w:val="center"/>
            <w:hideMark/>
          </w:tcPr>
          <w:p w14:paraId="1470730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19.9801</w:t>
            </w:r>
            <w:r w:rsidRPr="00DF5B90">
              <w:rPr>
                <w:rFonts w:asciiTheme="minorHAnsi" w:eastAsia="Times New Roman" w:hAnsiTheme="minorHAnsi" w:cstheme="minorHAnsi"/>
                <w:color w:val="000000"/>
                <w:vertAlign w:val="superscript"/>
                <w:lang w:val="id-ID"/>
              </w:rPr>
              <w:t>***</w:t>
            </w:r>
          </w:p>
        </w:tc>
        <w:tc>
          <w:tcPr>
            <w:tcW w:w="1309" w:type="dxa"/>
            <w:noWrap/>
            <w:vAlign w:val="center"/>
            <w:hideMark/>
          </w:tcPr>
          <w:p w14:paraId="38F9BCA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8.4962</w:t>
            </w:r>
            <w:r w:rsidRPr="00DF5B90">
              <w:rPr>
                <w:rFonts w:asciiTheme="minorHAnsi" w:eastAsia="Times New Roman" w:hAnsiTheme="minorHAnsi" w:cstheme="minorHAnsi"/>
                <w:color w:val="000000"/>
                <w:vertAlign w:val="superscript"/>
                <w:lang w:val="id-ID"/>
              </w:rPr>
              <w:t>***</w:t>
            </w:r>
          </w:p>
        </w:tc>
      </w:tr>
      <w:tr w:rsidR="00DF5B90" w:rsidRPr="00DF5B90" w14:paraId="04FC0A07"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0D196A85"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231817E1"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6E58E8F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0.8935</w:t>
            </w:r>
          </w:p>
        </w:tc>
        <w:tc>
          <w:tcPr>
            <w:tcW w:w="0" w:type="auto"/>
            <w:tcBorders>
              <w:top w:val="nil"/>
              <w:left w:val="nil"/>
              <w:bottom w:val="single" w:sz="4" w:space="0" w:color="auto"/>
              <w:right w:val="nil"/>
            </w:tcBorders>
            <w:noWrap/>
            <w:vAlign w:val="center"/>
            <w:hideMark/>
          </w:tcPr>
          <w:p w14:paraId="63EEC1A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0.0023</w:t>
            </w:r>
          </w:p>
        </w:tc>
        <w:tc>
          <w:tcPr>
            <w:tcW w:w="0" w:type="auto"/>
            <w:tcBorders>
              <w:top w:val="nil"/>
              <w:left w:val="nil"/>
              <w:bottom w:val="single" w:sz="4" w:space="0" w:color="auto"/>
              <w:right w:val="nil"/>
            </w:tcBorders>
            <w:noWrap/>
            <w:vAlign w:val="center"/>
            <w:hideMark/>
          </w:tcPr>
          <w:p w14:paraId="5987B67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0.7974</w:t>
            </w:r>
          </w:p>
        </w:tc>
        <w:tc>
          <w:tcPr>
            <w:tcW w:w="0" w:type="auto"/>
            <w:tcBorders>
              <w:top w:val="nil"/>
              <w:left w:val="nil"/>
              <w:bottom w:val="single" w:sz="4" w:space="0" w:color="auto"/>
              <w:right w:val="nil"/>
            </w:tcBorders>
            <w:noWrap/>
            <w:vAlign w:val="center"/>
            <w:hideMark/>
          </w:tcPr>
          <w:p w14:paraId="4670308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0.2119</w:t>
            </w:r>
          </w:p>
        </w:tc>
        <w:tc>
          <w:tcPr>
            <w:tcW w:w="0" w:type="auto"/>
            <w:tcBorders>
              <w:top w:val="nil"/>
              <w:left w:val="nil"/>
              <w:bottom w:val="single" w:sz="4" w:space="0" w:color="auto"/>
              <w:right w:val="nil"/>
            </w:tcBorders>
            <w:noWrap/>
            <w:vAlign w:val="center"/>
            <w:hideMark/>
          </w:tcPr>
          <w:p w14:paraId="5901719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309" w:type="dxa"/>
            <w:tcBorders>
              <w:top w:val="nil"/>
              <w:left w:val="nil"/>
              <w:bottom w:val="single" w:sz="4" w:space="0" w:color="auto"/>
              <w:right w:val="nil"/>
            </w:tcBorders>
            <w:noWrap/>
            <w:vAlign w:val="center"/>
            <w:hideMark/>
          </w:tcPr>
          <w:p w14:paraId="276FBEE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11B32660" w14:textId="77777777" w:rsidTr="00DF5B90">
        <w:trPr>
          <w:trHeight w:val="300"/>
          <w:jc w:val="center"/>
        </w:trPr>
        <w:tc>
          <w:tcPr>
            <w:tcW w:w="0" w:type="auto"/>
            <w:vMerge w:val="restart"/>
            <w:tcBorders>
              <w:top w:val="single" w:sz="4" w:space="0" w:color="auto"/>
              <w:left w:val="nil"/>
              <w:bottom w:val="single" w:sz="4" w:space="0" w:color="auto"/>
              <w:right w:val="nil"/>
            </w:tcBorders>
            <w:noWrap/>
            <w:vAlign w:val="center"/>
            <w:hideMark/>
          </w:tcPr>
          <w:p w14:paraId="54195B0D"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STI</w:t>
            </w:r>
          </w:p>
        </w:tc>
        <w:tc>
          <w:tcPr>
            <w:tcW w:w="0" w:type="auto"/>
            <w:tcBorders>
              <w:top w:val="single" w:sz="4" w:space="0" w:color="auto"/>
              <w:left w:val="nil"/>
              <w:bottom w:val="nil"/>
              <w:right w:val="nil"/>
            </w:tcBorders>
            <w:noWrap/>
            <w:vAlign w:val="center"/>
            <w:hideMark/>
          </w:tcPr>
          <w:p w14:paraId="6BC6D783"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4646BBF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0.0006</w:t>
            </w:r>
          </w:p>
        </w:tc>
        <w:tc>
          <w:tcPr>
            <w:tcW w:w="0" w:type="auto"/>
            <w:tcBorders>
              <w:top w:val="single" w:sz="4" w:space="0" w:color="auto"/>
              <w:left w:val="nil"/>
              <w:bottom w:val="nil"/>
              <w:right w:val="nil"/>
            </w:tcBorders>
            <w:noWrap/>
            <w:vAlign w:val="center"/>
            <w:hideMark/>
          </w:tcPr>
          <w:p w14:paraId="22A5EAD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0.0009</w:t>
            </w:r>
          </w:p>
        </w:tc>
        <w:tc>
          <w:tcPr>
            <w:tcW w:w="0" w:type="auto"/>
            <w:tcBorders>
              <w:top w:val="single" w:sz="4" w:space="0" w:color="auto"/>
              <w:left w:val="nil"/>
              <w:bottom w:val="nil"/>
              <w:right w:val="nil"/>
            </w:tcBorders>
            <w:noWrap/>
            <w:vAlign w:val="center"/>
            <w:hideMark/>
          </w:tcPr>
          <w:p w14:paraId="522F1A7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single" w:sz="4" w:space="0" w:color="auto"/>
              <w:left w:val="nil"/>
              <w:bottom w:val="nil"/>
              <w:right w:val="nil"/>
            </w:tcBorders>
            <w:noWrap/>
            <w:vAlign w:val="center"/>
            <w:hideMark/>
          </w:tcPr>
          <w:p w14:paraId="7417115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-0.0535</w:t>
            </w:r>
          </w:p>
        </w:tc>
        <w:tc>
          <w:tcPr>
            <w:tcW w:w="0" w:type="auto"/>
            <w:tcBorders>
              <w:top w:val="single" w:sz="4" w:space="0" w:color="auto"/>
              <w:left w:val="nil"/>
              <w:bottom w:val="nil"/>
              <w:right w:val="nil"/>
            </w:tcBorders>
            <w:noWrap/>
            <w:vAlign w:val="center"/>
            <w:hideMark/>
          </w:tcPr>
          <w:p w14:paraId="3400DC5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0.5895</w:t>
            </w:r>
          </w:p>
        </w:tc>
        <w:tc>
          <w:tcPr>
            <w:tcW w:w="1309" w:type="dxa"/>
            <w:tcBorders>
              <w:top w:val="single" w:sz="4" w:space="0" w:color="auto"/>
              <w:left w:val="nil"/>
              <w:bottom w:val="nil"/>
              <w:right w:val="nil"/>
            </w:tcBorders>
            <w:vAlign w:val="center"/>
            <w:hideMark/>
          </w:tcPr>
          <w:p w14:paraId="2012F0F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1.4770</w:t>
            </w:r>
          </w:p>
        </w:tc>
      </w:tr>
      <w:tr w:rsidR="00DF5B90" w:rsidRPr="00DF5B90" w14:paraId="0CF8493C"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20D3E0E8"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7B67E850"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5C48429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1.4262</w:t>
            </w:r>
          </w:p>
        </w:tc>
        <w:tc>
          <w:tcPr>
            <w:tcW w:w="0" w:type="auto"/>
            <w:noWrap/>
            <w:vAlign w:val="center"/>
            <w:hideMark/>
          </w:tcPr>
          <w:p w14:paraId="5B2E981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1.9213</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258E1F1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1.4265</w:t>
            </w:r>
          </w:p>
        </w:tc>
        <w:tc>
          <w:tcPr>
            <w:tcW w:w="0" w:type="auto"/>
            <w:noWrap/>
            <w:vAlign w:val="center"/>
            <w:hideMark/>
          </w:tcPr>
          <w:p w14:paraId="584AD88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-2.7693</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4A613E2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1.8518</w:t>
            </w:r>
            <w:r w:rsidRPr="00DF5B90">
              <w:rPr>
                <w:rFonts w:asciiTheme="minorHAnsi" w:eastAsia="Times New Roman" w:hAnsiTheme="minorHAnsi" w:cstheme="minorHAnsi"/>
                <w:color w:val="000000"/>
                <w:vertAlign w:val="superscript"/>
                <w:lang w:val="id-ID"/>
              </w:rPr>
              <w:t>*</w:t>
            </w:r>
          </w:p>
        </w:tc>
        <w:tc>
          <w:tcPr>
            <w:tcW w:w="1309" w:type="dxa"/>
            <w:noWrap/>
            <w:vAlign w:val="center"/>
            <w:hideMark/>
          </w:tcPr>
          <w:p w14:paraId="0F9973B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9.3057</w:t>
            </w:r>
            <w:r w:rsidRPr="00DF5B90">
              <w:rPr>
                <w:rFonts w:asciiTheme="minorHAnsi" w:eastAsia="Times New Roman" w:hAnsiTheme="minorHAnsi" w:cstheme="minorHAnsi"/>
                <w:color w:val="000000"/>
                <w:vertAlign w:val="superscript"/>
                <w:lang w:val="id-ID"/>
              </w:rPr>
              <w:t>***</w:t>
            </w:r>
          </w:p>
        </w:tc>
      </w:tr>
      <w:tr w:rsidR="00DF5B90" w:rsidRPr="00DF5B90" w14:paraId="23BB3D91"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2C1E46E9"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20931065"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44E8AB9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0.1538</w:t>
            </w:r>
          </w:p>
        </w:tc>
        <w:tc>
          <w:tcPr>
            <w:tcW w:w="0" w:type="auto"/>
            <w:tcBorders>
              <w:top w:val="nil"/>
              <w:left w:val="nil"/>
              <w:bottom w:val="single" w:sz="4" w:space="0" w:color="auto"/>
              <w:right w:val="nil"/>
            </w:tcBorders>
            <w:noWrap/>
            <w:vAlign w:val="center"/>
            <w:hideMark/>
          </w:tcPr>
          <w:p w14:paraId="2D0A87F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0.0547</w:t>
            </w:r>
          </w:p>
        </w:tc>
        <w:tc>
          <w:tcPr>
            <w:tcW w:w="0" w:type="auto"/>
            <w:tcBorders>
              <w:top w:val="nil"/>
              <w:left w:val="nil"/>
              <w:bottom w:val="single" w:sz="4" w:space="0" w:color="auto"/>
              <w:right w:val="nil"/>
            </w:tcBorders>
            <w:noWrap/>
            <w:vAlign w:val="center"/>
            <w:hideMark/>
          </w:tcPr>
          <w:p w14:paraId="080F8BC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0.1537</w:t>
            </w:r>
          </w:p>
        </w:tc>
        <w:tc>
          <w:tcPr>
            <w:tcW w:w="0" w:type="auto"/>
            <w:tcBorders>
              <w:top w:val="nil"/>
              <w:left w:val="nil"/>
              <w:bottom w:val="single" w:sz="4" w:space="0" w:color="auto"/>
              <w:right w:val="nil"/>
            </w:tcBorders>
            <w:noWrap/>
            <w:vAlign w:val="center"/>
            <w:hideMark/>
          </w:tcPr>
          <w:p w14:paraId="5771A10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0.0056</w:t>
            </w:r>
          </w:p>
        </w:tc>
        <w:tc>
          <w:tcPr>
            <w:tcW w:w="0" w:type="auto"/>
            <w:tcBorders>
              <w:top w:val="nil"/>
              <w:left w:val="nil"/>
              <w:bottom w:val="single" w:sz="4" w:space="0" w:color="auto"/>
              <w:right w:val="nil"/>
            </w:tcBorders>
            <w:noWrap/>
            <w:vAlign w:val="center"/>
            <w:hideMark/>
          </w:tcPr>
          <w:p w14:paraId="3D3BD75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0.0641</w:t>
            </w:r>
          </w:p>
        </w:tc>
        <w:tc>
          <w:tcPr>
            <w:tcW w:w="1309" w:type="dxa"/>
            <w:tcBorders>
              <w:top w:val="nil"/>
              <w:left w:val="nil"/>
              <w:bottom w:val="single" w:sz="4" w:space="0" w:color="auto"/>
              <w:right w:val="nil"/>
            </w:tcBorders>
            <w:noWrap/>
            <w:vAlign w:val="center"/>
            <w:hideMark/>
          </w:tcPr>
          <w:p w14:paraId="3BC2301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2B6F778A" w14:textId="77777777" w:rsidTr="00DF5B90">
        <w:trPr>
          <w:trHeight w:val="300"/>
          <w:jc w:val="center"/>
        </w:trPr>
        <w:tc>
          <w:tcPr>
            <w:tcW w:w="0" w:type="auto"/>
            <w:vMerge w:val="restart"/>
            <w:tcBorders>
              <w:top w:val="single" w:sz="4" w:space="0" w:color="auto"/>
              <w:left w:val="nil"/>
              <w:bottom w:val="single" w:sz="4" w:space="0" w:color="auto"/>
              <w:right w:val="nil"/>
            </w:tcBorders>
            <w:noWrap/>
            <w:vAlign w:val="center"/>
            <w:hideMark/>
          </w:tcPr>
          <w:p w14:paraId="6135B665"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SETI</w:t>
            </w:r>
          </w:p>
        </w:tc>
        <w:tc>
          <w:tcPr>
            <w:tcW w:w="0" w:type="auto"/>
            <w:tcBorders>
              <w:top w:val="single" w:sz="4" w:space="0" w:color="auto"/>
              <w:left w:val="nil"/>
              <w:bottom w:val="nil"/>
              <w:right w:val="nil"/>
            </w:tcBorders>
            <w:noWrap/>
            <w:vAlign w:val="center"/>
            <w:hideMark/>
          </w:tcPr>
          <w:p w14:paraId="64A32EE9"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634B81E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0.0008</w:t>
            </w:r>
          </w:p>
        </w:tc>
        <w:tc>
          <w:tcPr>
            <w:tcW w:w="0" w:type="auto"/>
            <w:tcBorders>
              <w:top w:val="single" w:sz="4" w:space="0" w:color="auto"/>
              <w:left w:val="nil"/>
              <w:bottom w:val="nil"/>
              <w:right w:val="nil"/>
            </w:tcBorders>
            <w:noWrap/>
            <w:vAlign w:val="center"/>
            <w:hideMark/>
          </w:tcPr>
          <w:p w14:paraId="62C34BE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-0.0002</w:t>
            </w:r>
          </w:p>
        </w:tc>
        <w:tc>
          <w:tcPr>
            <w:tcW w:w="0" w:type="auto"/>
            <w:tcBorders>
              <w:top w:val="single" w:sz="4" w:space="0" w:color="auto"/>
              <w:left w:val="nil"/>
              <w:bottom w:val="nil"/>
              <w:right w:val="nil"/>
            </w:tcBorders>
            <w:noWrap/>
            <w:vAlign w:val="center"/>
            <w:hideMark/>
          </w:tcPr>
          <w:p w14:paraId="7944376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single" w:sz="4" w:space="0" w:color="auto"/>
              <w:left w:val="nil"/>
              <w:bottom w:val="nil"/>
              <w:right w:val="nil"/>
            </w:tcBorders>
            <w:noWrap/>
            <w:vAlign w:val="center"/>
            <w:hideMark/>
          </w:tcPr>
          <w:p w14:paraId="490E841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-0.0581</w:t>
            </w:r>
          </w:p>
        </w:tc>
        <w:tc>
          <w:tcPr>
            <w:tcW w:w="0" w:type="auto"/>
            <w:tcBorders>
              <w:top w:val="single" w:sz="4" w:space="0" w:color="auto"/>
              <w:left w:val="nil"/>
              <w:bottom w:val="nil"/>
              <w:right w:val="nil"/>
            </w:tcBorders>
            <w:noWrap/>
            <w:vAlign w:val="center"/>
            <w:hideMark/>
          </w:tcPr>
          <w:p w14:paraId="4CEE7B8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0.5875</w:t>
            </w:r>
          </w:p>
        </w:tc>
        <w:tc>
          <w:tcPr>
            <w:tcW w:w="1309" w:type="dxa"/>
            <w:tcBorders>
              <w:top w:val="single" w:sz="4" w:space="0" w:color="auto"/>
              <w:left w:val="nil"/>
              <w:bottom w:val="nil"/>
              <w:right w:val="nil"/>
            </w:tcBorders>
            <w:vAlign w:val="center"/>
            <w:hideMark/>
          </w:tcPr>
          <w:p w14:paraId="7406296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1.2866</w:t>
            </w:r>
          </w:p>
        </w:tc>
      </w:tr>
      <w:tr w:rsidR="00DF5B90" w:rsidRPr="00DF5B90" w14:paraId="5D4529A6"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6E49AD3D"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1B8801A3"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4BB3831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1.4753</w:t>
            </w:r>
          </w:p>
        </w:tc>
        <w:tc>
          <w:tcPr>
            <w:tcW w:w="0" w:type="auto"/>
            <w:noWrap/>
            <w:vAlign w:val="center"/>
            <w:hideMark/>
          </w:tcPr>
          <w:p w14:paraId="40B8B7A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-0.4200</w:t>
            </w:r>
          </w:p>
        </w:tc>
        <w:tc>
          <w:tcPr>
            <w:tcW w:w="0" w:type="auto"/>
            <w:noWrap/>
            <w:vAlign w:val="center"/>
            <w:hideMark/>
          </w:tcPr>
          <w:p w14:paraId="096AB1F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1.1160</w:t>
            </w:r>
          </w:p>
        </w:tc>
        <w:tc>
          <w:tcPr>
            <w:tcW w:w="0" w:type="auto"/>
            <w:noWrap/>
            <w:vAlign w:val="center"/>
            <w:hideMark/>
          </w:tcPr>
          <w:p w14:paraId="5D3A86A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-7.6669</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294CB5C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1.4237</w:t>
            </w:r>
          </w:p>
        </w:tc>
        <w:tc>
          <w:tcPr>
            <w:tcW w:w="1309" w:type="dxa"/>
            <w:noWrap/>
            <w:vAlign w:val="center"/>
            <w:hideMark/>
          </w:tcPr>
          <w:p w14:paraId="7EE61F2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8.3344</w:t>
            </w:r>
            <w:r w:rsidRPr="00DF5B90">
              <w:rPr>
                <w:rFonts w:asciiTheme="minorHAnsi" w:eastAsia="Times New Roman" w:hAnsiTheme="minorHAnsi" w:cstheme="minorHAnsi"/>
                <w:color w:val="000000"/>
                <w:vertAlign w:val="superscript"/>
                <w:lang w:val="id-ID"/>
              </w:rPr>
              <w:t>***</w:t>
            </w:r>
          </w:p>
        </w:tc>
      </w:tr>
      <w:tr w:rsidR="00DF5B90" w:rsidRPr="00DF5B90" w14:paraId="3C7C2D80"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415BBE77"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77A6AA0D"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4FD6B83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0.1401</w:t>
            </w:r>
          </w:p>
        </w:tc>
        <w:tc>
          <w:tcPr>
            <w:tcW w:w="0" w:type="auto"/>
            <w:tcBorders>
              <w:top w:val="nil"/>
              <w:left w:val="nil"/>
              <w:bottom w:val="single" w:sz="4" w:space="0" w:color="auto"/>
              <w:right w:val="nil"/>
            </w:tcBorders>
            <w:noWrap/>
            <w:vAlign w:val="center"/>
            <w:hideMark/>
          </w:tcPr>
          <w:p w14:paraId="7B66342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0.6745</w:t>
            </w:r>
          </w:p>
        </w:tc>
        <w:tc>
          <w:tcPr>
            <w:tcW w:w="0" w:type="auto"/>
            <w:tcBorders>
              <w:top w:val="nil"/>
              <w:left w:val="nil"/>
              <w:bottom w:val="single" w:sz="4" w:space="0" w:color="auto"/>
              <w:right w:val="nil"/>
            </w:tcBorders>
            <w:noWrap/>
            <w:vAlign w:val="center"/>
            <w:hideMark/>
          </w:tcPr>
          <w:p w14:paraId="1AEBA70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0.2644</w:t>
            </w:r>
          </w:p>
        </w:tc>
        <w:tc>
          <w:tcPr>
            <w:tcW w:w="0" w:type="auto"/>
            <w:tcBorders>
              <w:top w:val="nil"/>
              <w:left w:val="nil"/>
              <w:bottom w:val="single" w:sz="4" w:space="0" w:color="auto"/>
              <w:right w:val="nil"/>
            </w:tcBorders>
            <w:noWrap/>
            <w:vAlign w:val="center"/>
            <w:hideMark/>
          </w:tcPr>
          <w:p w14:paraId="5D731F3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nil"/>
              <w:left w:val="nil"/>
              <w:bottom w:val="single" w:sz="4" w:space="0" w:color="auto"/>
              <w:right w:val="nil"/>
            </w:tcBorders>
            <w:noWrap/>
            <w:vAlign w:val="center"/>
            <w:hideMark/>
          </w:tcPr>
          <w:p w14:paraId="2480735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0.1545</w:t>
            </w:r>
          </w:p>
        </w:tc>
        <w:tc>
          <w:tcPr>
            <w:tcW w:w="1309" w:type="dxa"/>
            <w:tcBorders>
              <w:top w:val="nil"/>
              <w:left w:val="nil"/>
              <w:bottom w:val="single" w:sz="4" w:space="0" w:color="auto"/>
              <w:right w:val="nil"/>
            </w:tcBorders>
            <w:noWrap/>
            <w:vAlign w:val="center"/>
            <w:hideMark/>
          </w:tcPr>
          <w:p w14:paraId="6ED6AB7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615D30F0" w14:textId="77777777" w:rsidTr="00DF5B90">
        <w:trPr>
          <w:trHeight w:val="300"/>
          <w:jc w:val="center"/>
        </w:trPr>
        <w:tc>
          <w:tcPr>
            <w:tcW w:w="0" w:type="auto"/>
            <w:vMerge w:val="restart"/>
            <w:tcBorders>
              <w:top w:val="single" w:sz="4" w:space="0" w:color="auto"/>
              <w:left w:val="nil"/>
              <w:bottom w:val="single" w:sz="4" w:space="0" w:color="000000"/>
              <w:right w:val="nil"/>
            </w:tcBorders>
            <w:noWrap/>
            <w:vAlign w:val="center"/>
            <w:hideMark/>
          </w:tcPr>
          <w:p w14:paraId="02EA4F5C"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VN 30</w:t>
            </w:r>
          </w:p>
        </w:tc>
        <w:tc>
          <w:tcPr>
            <w:tcW w:w="0" w:type="auto"/>
            <w:tcBorders>
              <w:top w:val="single" w:sz="4" w:space="0" w:color="auto"/>
              <w:left w:val="nil"/>
              <w:bottom w:val="nil"/>
              <w:right w:val="nil"/>
            </w:tcBorders>
            <w:noWrap/>
            <w:vAlign w:val="center"/>
            <w:hideMark/>
          </w:tcPr>
          <w:p w14:paraId="71F33750"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1A9DEF6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0.0005</w:t>
            </w:r>
          </w:p>
        </w:tc>
        <w:tc>
          <w:tcPr>
            <w:tcW w:w="0" w:type="auto"/>
            <w:tcBorders>
              <w:top w:val="single" w:sz="4" w:space="0" w:color="auto"/>
              <w:left w:val="nil"/>
              <w:bottom w:val="nil"/>
              <w:right w:val="nil"/>
            </w:tcBorders>
            <w:noWrap/>
            <w:vAlign w:val="center"/>
            <w:hideMark/>
          </w:tcPr>
          <w:p w14:paraId="37F700A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-0.0003</w:t>
            </w:r>
          </w:p>
        </w:tc>
        <w:tc>
          <w:tcPr>
            <w:tcW w:w="0" w:type="auto"/>
            <w:tcBorders>
              <w:top w:val="single" w:sz="4" w:space="0" w:color="auto"/>
              <w:left w:val="nil"/>
              <w:bottom w:val="nil"/>
              <w:right w:val="nil"/>
            </w:tcBorders>
            <w:noWrap/>
            <w:vAlign w:val="center"/>
            <w:hideMark/>
          </w:tcPr>
          <w:p w14:paraId="19E0577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0.0001</w:t>
            </w:r>
          </w:p>
        </w:tc>
        <w:tc>
          <w:tcPr>
            <w:tcW w:w="0" w:type="auto"/>
            <w:tcBorders>
              <w:top w:val="single" w:sz="4" w:space="0" w:color="auto"/>
              <w:left w:val="nil"/>
              <w:bottom w:val="nil"/>
              <w:right w:val="nil"/>
            </w:tcBorders>
            <w:noWrap/>
            <w:vAlign w:val="center"/>
            <w:hideMark/>
          </w:tcPr>
          <w:p w14:paraId="4E88396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-0.0608</w:t>
            </w:r>
          </w:p>
        </w:tc>
        <w:tc>
          <w:tcPr>
            <w:tcW w:w="0" w:type="auto"/>
            <w:tcBorders>
              <w:top w:val="single" w:sz="4" w:space="0" w:color="auto"/>
              <w:left w:val="nil"/>
              <w:bottom w:val="nil"/>
              <w:right w:val="nil"/>
            </w:tcBorders>
            <w:noWrap/>
            <w:vAlign w:val="center"/>
            <w:hideMark/>
          </w:tcPr>
          <w:p w14:paraId="5B1042E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0.5853</w:t>
            </w:r>
          </w:p>
        </w:tc>
        <w:tc>
          <w:tcPr>
            <w:tcW w:w="1309" w:type="dxa"/>
            <w:tcBorders>
              <w:top w:val="single" w:sz="4" w:space="0" w:color="auto"/>
              <w:left w:val="nil"/>
              <w:bottom w:val="nil"/>
              <w:right w:val="nil"/>
            </w:tcBorders>
            <w:vAlign w:val="center"/>
            <w:hideMark/>
          </w:tcPr>
          <w:p w14:paraId="19E42B4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1.3271</w:t>
            </w:r>
          </w:p>
        </w:tc>
      </w:tr>
      <w:tr w:rsidR="00DF5B90" w:rsidRPr="00DF5B90" w14:paraId="3DB8F49D" w14:textId="77777777" w:rsidTr="00DF5B90">
        <w:trPr>
          <w:trHeight w:val="300"/>
          <w:jc w:val="center"/>
        </w:trPr>
        <w:tc>
          <w:tcPr>
            <w:tcW w:w="0" w:type="auto"/>
            <w:vMerge/>
            <w:tcBorders>
              <w:top w:val="single" w:sz="4" w:space="0" w:color="auto"/>
              <w:left w:val="nil"/>
              <w:bottom w:val="single" w:sz="4" w:space="0" w:color="000000"/>
              <w:right w:val="nil"/>
            </w:tcBorders>
            <w:vAlign w:val="center"/>
            <w:hideMark/>
          </w:tcPr>
          <w:p w14:paraId="4F2B417A"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497BBA70"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2AAC41B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0.9817</w:t>
            </w:r>
          </w:p>
        </w:tc>
        <w:tc>
          <w:tcPr>
            <w:tcW w:w="0" w:type="auto"/>
            <w:noWrap/>
            <w:vAlign w:val="center"/>
            <w:hideMark/>
          </w:tcPr>
          <w:p w14:paraId="2D61D9F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-0.5714</w:t>
            </w:r>
          </w:p>
        </w:tc>
        <w:tc>
          <w:tcPr>
            <w:tcW w:w="0" w:type="auto"/>
            <w:noWrap/>
            <w:vAlign w:val="center"/>
            <w:hideMark/>
          </w:tcPr>
          <w:p w14:paraId="1DF342A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1.1488</w:t>
            </w:r>
          </w:p>
        </w:tc>
        <w:tc>
          <w:tcPr>
            <w:tcW w:w="0" w:type="auto"/>
            <w:noWrap/>
            <w:vAlign w:val="center"/>
            <w:hideMark/>
          </w:tcPr>
          <w:p w14:paraId="184FDDE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-4.5124</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4B0192D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1.4515</w:t>
            </w:r>
          </w:p>
        </w:tc>
        <w:tc>
          <w:tcPr>
            <w:tcW w:w="1309" w:type="dxa"/>
            <w:noWrap/>
            <w:vAlign w:val="center"/>
            <w:hideMark/>
          </w:tcPr>
          <w:p w14:paraId="166BB98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8.3076</w:t>
            </w:r>
            <w:r w:rsidRPr="00DF5B90">
              <w:rPr>
                <w:rFonts w:asciiTheme="minorHAnsi" w:eastAsia="Times New Roman" w:hAnsiTheme="minorHAnsi" w:cstheme="minorHAnsi"/>
                <w:color w:val="000000"/>
                <w:vertAlign w:val="superscript"/>
                <w:lang w:val="id-ID"/>
              </w:rPr>
              <w:t>***</w:t>
            </w:r>
          </w:p>
        </w:tc>
      </w:tr>
      <w:tr w:rsidR="00DF5B90" w:rsidRPr="00DF5B90" w14:paraId="20AC467B" w14:textId="77777777" w:rsidTr="00DF5B90">
        <w:trPr>
          <w:trHeight w:val="300"/>
          <w:jc w:val="center"/>
        </w:trPr>
        <w:tc>
          <w:tcPr>
            <w:tcW w:w="0" w:type="auto"/>
            <w:vMerge/>
            <w:tcBorders>
              <w:top w:val="single" w:sz="4" w:space="0" w:color="auto"/>
              <w:left w:val="nil"/>
              <w:bottom w:val="single" w:sz="4" w:space="0" w:color="000000"/>
              <w:right w:val="nil"/>
            </w:tcBorders>
            <w:vAlign w:val="center"/>
            <w:hideMark/>
          </w:tcPr>
          <w:p w14:paraId="7B8D07F1"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6C76B1BE"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208DB65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0.3262</w:t>
            </w:r>
          </w:p>
        </w:tc>
        <w:tc>
          <w:tcPr>
            <w:tcW w:w="0" w:type="auto"/>
            <w:tcBorders>
              <w:top w:val="nil"/>
              <w:left w:val="nil"/>
              <w:bottom w:val="single" w:sz="4" w:space="0" w:color="auto"/>
              <w:right w:val="nil"/>
            </w:tcBorders>
            <w:noWrap/>
            <w:vAlign w:val="center"/>
            <w:hideMark/>
          </w:tcPr>
          <w:p w14:paraId="77990C3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0.5677</w:t>
            </w:r>
          </w:p>
        </w:tc>
        <w:tc>
          <w:tcPr>
            <w:tcW w:w="0" w:type="auto"/>
            <w:tcBorders>
              <w:top w:val="nil"/>
              <w:left w:val="nil"/>
              <w:bottom w:val="single" w:sz="4" w:space="0" w:color="auto"/>
              <w:right w:val="nil"/>
            </w:tcBorders>
            <w:noWrap/>
            <w:vAlign w:val="center"/>
            <w:hideMark/>
          </w:tcPr>
          <w:p w14:paraId="4577317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0.2506</w:t>
            </w:r>
          </w:p>
        </w:tc>
        <w:tc>
          <w:tcPr>
            <w:tcW w:w="0" w:type="auto"/>
            <w:tcBorders>
              <w:top w:val="nil"/>
              <w:left w:val="nil"/>
              <w:bottom w:val="single" w:sz="4" w:space="0" w:color="auto"/>
              <w:right w:val="nil"/>
            </w:tcBorders>
            <w:noWrap/>
            <w:vAlign w:val="center"/>
            <w:hideMark/>
          </w:tcPr>
          <w:p w14:paraId="08B169C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nil"/>
              <w:left w:val="nil"/>
              <w:bottom w:val="single" w:sz="4" w:space="0" w:color="auto"/>
              <w:right w:val="nil"/>
            </w:tcBorders>
            <w:noWrap/>
            <w:vAlign w:val="center"/>
            <w:hideMark/>
          </w:tcPr>
          <w:p w14:paraId="19342FC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0.1466</w:t>
            </w:r>
          </w:p>
        </w:tc>
        <w:tc>
          <w:tcPr>
            <w:tcW w:w="1309" w:type="dxa"/>
            <w:tcBorders>
              <w:top w:val="nil"/>
              <w:left w:val="nil"/>
              <w:bottom w:val="single" w:sz="4" w:space="0" w:color="auto"/>
              <w:right w:val="nil"/>
            </w:tcBorders>
            <w:noWrap/>
            <w:vAlign w:val="center"/>
            <w:hideMark/>
          </w:tcPr>
          <w:p w14:paraId="021953B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689A2283" w14:textId="77777777" w:rsidTr="00DF5B90">
        <w:trPr>
          <w:trHeight w:val="300"/>
          <w:jc w:val="center"/>
        </w:trPr>
        <w:tc>
          <w:tcPr>
            <w:tcW w:w="0" w:type="auto"/>
            <w:vMerge w:val="restart"/>
            <w:tcBorders>
              <w:top w:val="nil"/>
              <w:left w:val="nil"/>
              <w:bottom w:val="single" w:sz="4" w:space="0" w:color="auto"/>
              <w:right w:val="nil"/>
            </w:tcBorders>
            <w:noWrap/>
            <w:vAlign w:val="center"/>
            <w:hideMark/>
          </w:tcPr>
          <w:p w14:paraId="0C18915D"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LSX</w:t>
            </w:r>
          </w:p>
        </w:tc>
        <w:tc>
          <w:tcPr>
            <w:tcW w:w="0" w:type="auto"/>
            <w:noWrap/>
            <w:vAlign w:val="center"/>
            <w:hideMark/>
          </w:tcPr>
          <w:p w14:paraId="258D5B81"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noWrap/>
            <w:vAlign w:val="center"/>
            <w:hideMark/>
          </w:tcPr>
          <w:p w14:paraId="3AFC189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0.0009</w:t>
            </w:r>
          </w:p>
        </w:tc>
        <w:tc>
          <w:tcPr>
            <w:tcW w:w="0" w:type="auto"/>
            <w:noWrap/>
            <w:vAlign w:val="center"/>
            <w:hideMark/>
          </w:tcPr>
          <w:p w14:paraId="7449141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-0.0005</w:t>
            </w:r>
          </w:p>
        </w:tc>
        <w:tc>
          <w:tcPr>
            <w:tcW w:w="0" w:type="auto"/>
            <w:noWrap/>
            <w:vAlign w:val="center"/>
            <w:hideMark/>
          </w:tcPr>
          <w:p w14:paraId="3294235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noWrap/>
            <w:vAlign w:val="center"/>
            <w:hideMark/>
          </w:tcPr>
          <w:p w14:paraId="781BFBE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-0.0612</w:t>
            </w:r>
          </w:p>
        </w:tc>
        <w:tc>
          <w:tcPr>
            <w:tcW w:w="0" w:type="auto"/>
            <w:noWrap/>
            <w:vAlign w:val="center"/>
            <w:hideMark/>
          </w:tcPr>
          <w:p w14:paraId="649B6AB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0.5875</w:t>
            </w:r>
          </w:p>
        </w:tc>
        <w:tc>
          <w:tcPr>
            <w:tcW w:w="1309" w:type="dxa"/>
            <w:vAlign w:val="center"/>
            <w:hideMark/>
          </w:tcPr>
          <w:p w14:paraId="395AB9E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1.3562</w:t>
            </w:r>
          </w:p>
        </w:tc>
      </w:tr>
      <w:tr w:rsidR="00DF5B90" w:rsidRPr="00DF5B90" w14:paraId="6636E502" w14:textId="77777777" w:rsidTr="00DF5B90">
        <w:trPr>
          <w:trHeight w:val="300"/>
          <w:jc w:val="center"/>
        </w:trPr>
        <w:tc>
          <w:tcPr>
            <w:tcW w:w="0" w:type="auto"/>
            <w:vMerge/>
            <w:tcBorders>
              <w:top w:val="nil"/>
              <w:left w:val="nil"/>
              <w:bottom w:val="single" w:sz="4" w:space="0" w:color="auto"/>
              <w:right w:val="nil"/>
            </w:tcBorders>
            <w:vAlign w:val="center"/>
            <w:hideMark/>
          </w:tcPr>
          <w:p w14:paraId="7C2AEEC0"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161642EC"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6F12254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1.6444</w:t>
            </w:r>
          </w:p>
        </w:tc>
        <w:tc>
          <w:tcPr>
            <w:tcW w:w="0" w:type="auto"/>
            <w:noWrap/>
            <w:vAlign w:val="center"/>
            <w:hideMark/>
          </w:tcPr>
          <w:p w14:paraId="262D3B4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-1.0724</w:t>
            </w:r>
          </w:p>
        </w:tc>
        <w:tc>
          <w:tcPr>
            <w:tcW w:w="0" w:type="auto"/>
            <w:noWrap/>
            <w:vAlign w:val="center"/>
            <w:hideMark/>
          </w:tcPr>
          <w:p w14:paraId="30482A6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1.3835</w:t>
            </w:r>
          </w:p>
        </w:tc>
        <w:tc>
          <w:tcPr>
            <w:tcW w:w="0" w:type="auto"/>
            <w:noWrap/>
            <w:vAlign w:val="center"/>
            <w:hideMark/>
          </w:tcPr>
          <w:p w14:paraId="5B8E69F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-9.6492</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0183C7F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1.7170</w:t>
            </w:r>
            <w:r w:rsidRPr="00DF5B90">
              <w:rPr>
                <w:rFonts w:asciiTheme="minorHAnsi" w:eastAsia="Times New Roman" w:hAnsiTheme="minorHAnsi" w:cstheme="minorHAnsi"/>
                <w:color w:val="000000"/>
                <w:vertAlign w:val="superscript"/>
                <w:lang w:val="id-ID"/>
              </w:rPr>
              <w:t>*</w:t>
            </w:r>
          </w:p>
        </w:tc>
        <w:tc>
          <w:tcPr>
            <w:tcW w:w="1309" w:type="dxa"/>
            <w:noWrap/>
            <w:vAlign w:val="center"/>
            <w:hideMark/>
          </w:tcPr>
          <w:p w14:paraId="379B91D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8.1863</w:t>
            </w:r>
            <w:r w:rsidRPr="00DF5B90">
              <w:rPr>
                <w:rFonts w:asciiTheme="minorHAnsi" w:eastAsia="Times New Roman" w:hAnsiTheme="minorHAnsi" w:cstheme="minorHAnsi"/>
                <w:color w:val="000000"/>
                <w:vertAlign w:val="superscript"/>
                <w:lang w:val="id-ID"/>
              </w:rPr>
              <w:t>***</w:t>
            </w:r>
          </w:p>
        </w:tc>
      </w:tr>
      <w:tr w:rsidR="00DF5B90" w:rsidRPr="00DF5B90" w14:paraId="1BCE596B" w14:textId="77777777" w:rsidTr="00DF5B90">
        <w:trPr>
          <w:trHeight w:val="300"/>
          <w:jc w:val="center"/>
        </w:trPr>
        <w:tc>
          <w:tcPr>
            <w:tcW w:w="0" w:type="auto"/>
            <w:vMerge/>
            <w:tcBorders>
              <w:top w:val="nil"/>
              <w:left w:val="nil"/>
              <w:bottom w:val="single" w:sz="4" w:space="0" w:color="auto"/>
              <w:right w:val="nil"/>
            </w:tcBorders>
            <w:vAlign w:val="center"/>
            <w:hideMark/>
          </w:tcPr>
          <w:p w14:paraId="62FC655A"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07C90F8E"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4766769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0.1001</w:t>
            </w:r>
          </w:p>
        </w:tc>
        <w:tc>
          <w:tcPr>
            <w:tcW w:w="0" w:type="auto"/>
            <w:tcBorders>
              <w:top w:val="nil"/>
              <w:left w:val="nil"/>
              <w:bottom w:val="single" w:sz="4" w:space="0" w:color="auto"/>
              <w:right w:val="nil"/>
            </w:tcBorders>
            <w:noWrap/>
            <w:vAlign w:val="center"/>
            <w:hideMark/>
          </w:tcPr>
          <w:p w14:paraId="40E0DEB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0.2835</w:t>
            </w:r>
          </w:p>
        </w:tc>
        <w:tc>
          <w:tcPr>
            <w:tcW w:w="0" w:type="auto"/>
            <w:tcBorders>
              <w:top w:val="nil"/>
              <w:left w:val="nil"/>
              <w:bottom w:val="single" w:sz="4" w:space="0" w:color="auto"/>
              <w:right w:val="nil"/>
            </w:tcBorders>
            <w:noWrap/>
            <w:vAlign w:val="center"/>
            <w:hideMark/>
          </w:tcPr>
          <w:p w14:paraId="0DCDEEF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0.1665</w:t>
            </w:r>
          </w:p>
        </w:tc>
        <w:tc>
          <w:tcPr>
            <w:tcW w:w="0" w:type="auto"/>
            <w:tcBorders>
              <w:top w:val="nil"/>
              <w:left w:val="nil"/>
              <w:bottom w:val="single" w:sz="4" w:space="0" w:color="auto"/>
              <w:right w:val="nil"/>
            </w:tcBorders>
            <w:noWrap/>
            <w:vAlign w:val="center"/>
            <w:hideMark/>
          </w:tcPr>
          <w:p w14:paraId="3055990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nil"/>
              <w:left w:val="nil"/>
              <w:bottom w:val="single" w:sz="4" w:space="0" w:color="auto"/>
              <w:right w:val="nil"/>
            </w:tcBorders>
            <w:noWrap/>
            <w:vAlign w:val="center"/>
            <w:hideMark/>
          </w:tcPr>
          <w:p w14:paraId="5EDC81D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0.0860</w:t>
            </w:r>
          </w:p>
        </w:tc>
        <w:tc>
          <w:tcPr>
            <w:tcW w:w="1309" w:type="dxa"/>
            <w:tcBorders>
              <w:top w:val="nil"/>
              <w:left w:val="nil"/>
              <w:bottom w:val="single" w:sz="4" w:space="0" w:color="auto"/>
              <w:right w:val="nil"/>
            </w:tcBorders>
            <w:noWrap/>
            <w:vAlign w:val="center"/>
            <w:hideMark/>
          </w:tcPr>
          <w:p w14:paraId="4C6D652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535D9FCD" w14:textId="77777777" w:rsidTr="00DF5B90">
        <w:trPr>
          <w:trHeight w:val="300"/>
          <w:jc w:val="center"/>
        </w:trPr>
        <w:tc>
          <w:tcPr>
            <w:tcW w:w="0" w:type="auto"/>
            <w:vMerge w:val="restart"/>
            <w:tcBorders>
              <w:top w:val="single" w:sz="4" w:space="0" w:color="auto"/>
              <w:left w:val="nil"/>
              <w:bottom w:val="single" w:sz="4" w:space="0" w:color="auto"/>
              <w:right w:val="nil"/>
            </w:tcBorders>
            <w:noWrap/>
            <w:vAlign w:val="center"/>
            <w:hideMark/>
          </w:tcPr>
          <w:p w14:paraId="564925F3"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Nikkei</w:t>
            </w:r>
          </w:p>
        </w:tc>
        <w:tc>
          <w:tcPr>
            <w:tcW w:w="0" w:type="auto"/>
            <w:tcBorders>
              <w:top w:val="single" w:sz="4" w:space="0" w:color="auto"/>
              <w:left w:val="nil"/>
              <w:bottom w:val="nil"/>
              <w:right w:val="nil"/>
            </w:tcBorders>
            <w:noWrap/>
            <w:vAlign w:val="center"/>
            <w:hideMark/>
          </w:tcPr>
          <w:p w14:paraId="4F41D170"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2B0CA0B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-0.0001</w:t>
            </w:r>
          </w:p>
        </w:tc>
        <w:tc>
          <w:tcPr>
            <w:tcW w:w="0" w:type="auto"/>
            <w:tcBorders>
              <w:top w:val="single" w:sz="4" w:space="0" w:color="auto"/>
              <w:left w:val="nil"/>
              <w:bottom w:val="nil"/>
              <w:right w:val="nil"/>
            </w:tcBorders>
            <w:noWrap/>
            <w:vAlign w:val="center"/>
            <w:hideMark/>
          </w:tcPr>
          <w:p w14:paraId="1E7D421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-0.0002</w:t>
            </w:r>
          </w:p>
        </w:tc>
        <w:tc>
          <w:tcPr>
            <w:tcW w:w="0" w:type="auto"/>
            <w:tcBorders>
              <w:top w:val="single" w:sz="4" w:space="0" w:color="auto"/>
              <w:left w:val="nil"/>
              <w:bottom w:val="nil"/>
              <w:right w:val="nil"/>
            </w:tcBorders>
            <w:noWrap/>
            <w:vAlign w:val="center"/>
            <w:hideMark/>
          </w:tcPr>
          <w:p w14:paraId="465DA1D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single" w:sz="4" w:space="0" w:color="auto"/>
              <w:left w:val="nil"/>
              <w:bottom w:val="nil"/>
              <w:right w:val="nil"/>
            </w:tcBorders>
            <w:noWrap/>
            <w:vAlign w:val="center"/>
            <w:hideMark/>
          </w:tcPr>
          <w:p w14:paraId="11163FA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0.0366</w:t>
            </w:r>
          </w:p>
        </w:tc>
        <w:tc>
          <w:tcPr>
            <w:tcW w:w="0" w:type="auto"/>
            <w:tcBorders>
              <w:top w:val="single" w:sz="4" w:space="0" w:color="auto"/>
              <w:left w:val="nil"/>
              <w:bottom w:val="nil"/>
              <w:right w:val="nil"/>
            </w:tcBorders>
            <w:noWrap/>
            <w:vAlign w:val="center"/>
            <w:hideMark/>
          </w:tcPr>
          <w:p w14:paraId="1D95746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0.9644</w:t>
            </w:r>
          </w:p>
        </w:tc>
        <w:tc>
          <w:tcPr>
            <w:tcW w:w="1309" w:type="dxa"/>
            <w:tcBorders>
              <w:top w:val="single" w:sz="4" w:space="0" w:color="auto"/>
              <w:left w:val="nil"/>
              <w:bottom w:val="nil"/>
              <w:right w:val="nil"/>
            </w:tcBorders>
            <w:vAlign w:val="center"/>
            <w:hideMark/>
          </w:tcPr>
          <w:p w14:paraId="099FD29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1.2755</w:t>
            </w:r>
          </w:p>
        </w:tc>
      </w:tr>
      <w:tr w:rsidR="00DF5B90" w:rsidRPr="00DF5B90" w14:paraId="381DB115"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49C84BDF"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24138008"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1B237A7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-0.2427</w:t>
            </w:r>
          </w:p>
        </w:tc>
        <w:tc>
          <w:tcPr>
            <w:tcW w:w="0" w:type="auto"/>
            <w:noWrap/>
            <w:vAlign w:val="center"/>
            <w:hideMark/>
          </w:tcPr>
          <w:p w14:paraId="3B1DEC9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-0.3396</w:t>
            </w:r>
          </w:p>
        </w:tc>
        <w:tc>
          <w:tcPr>
            <w:tcW w:w="0" w:type="auto"/>
            <w:noWrap/>
            <w:vAlign w:val="center"/>
            <w:hideMark/>
          </w:tcPr>
          <w:p w14:paraId="060B248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-0.1577</w:t>
            </w:r>
          </w:p>
        </w:tc>
        <w:tc>
          <w:tcPr>
            <w:tcW w:w="0" w:type="auto"/>
            <w:noWrap/>
            <w:vAlign w:val="center"/>
            <w:hideMark/>
          </w:tcPr>
          <w:p w14:paraId="7484C1DA" w14:textId="77777777" w:rsidR="00DF5B90" w:rsidRPr="00DF5B90" w:rsidRDefault="00DF5B90" w:rsidP="00DF5B90">
            <w:pPr>
              <w:spacing w:after="0" w:line="240" w:lineRule="auto"/>
              <w:jc w:val="right"/>
              <w:rPr>
                <w:rFonts w:asciiTheme="minorHAnsi" w:eastAsia="Times New Roman" w:hAnsiTheme="minorHAnsi" w:cstheme="minorHAnsi"/>
                <w:color w:val="000000"/>
                <w:lang w:val="en-US"/>
              </w:rPr>
            </w:pPr>
            <w:r w:rsidRPr="00DF5B90">
              <w:rPr>
                <w:rFonts w:asciiTheme="minorHAnsi" w:eastAsia="Times New Roman" w:hAnsiTheme="minorHAnsi" w:cstheme="minorHAnsi"/>
                <w:color w:val="000000"/>
                <w:lang w:val="id-ID"/>
              </w:rPr>
              <w:t>1.6659</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240DC999" w14:textId="77777777" w:rsidR="00DF5B90" w:rsidRPr="00DF5B90" w:rsidRDefault="00DF5B90" w:rsidP="00DF5B90">
            <w:pPr>
              <w:spacing w:after="0" w:line="240" w:lineRule="auto"/>
              <w:jc w:val="right"/>
              <w:rPr>
                <w:rFonts w:asciiTheme="minorHAnsi" w:eastAsia="Times New Roman" w:hAnsiTheme="minorHAnsi" w:cstheme="minorHAnsi"/>
                <w:color w:val="000000"/>
              </w:rPr>
            </w:pPr>
            <w:r w:rsidRPr="00DF5B90">
              <w:rPr>
                <w:rFonts w:asciiTheme="minorHAnsi" w:eastAsia="Times New Roman" w:hAnsiTheme="minorHAnsi" w:cstheme="minorHAnsi"/>
                <w:color w:val="000000"/>
                <w:lang w:val="id-ID"/>
              </w:rPr>
              <w:t>28.2488</w:t>
            </w:r>
            <w:r w:rsidRPr="00DF5B90">
              <w:rPr>
                <w:rFonts w:asciiTheme="minorHAnsi" w:eastAsia="Times New Roman" w:hAnsiTheme="minorHAnsi" w:cstheme="minorHAnsi"/>
                <w:color w:val="000000"/>
                <w:vertAlign w:val="superscript"/>
                <w:lang w:val="id-ID"/>
              </w:rPr>
              <w:t>***</w:t>
            </w:r>
          </w:p>
        </w:tc>
        <w:tc>
          <w:tcPr>
            <w:tcW w:w="1309" w:type="dxa"/>
            <w:noWrap/>
            <w:vAlign w:val="center"/>
            <w:hideMark/>
          </w:tcPr>
          <w:p w14:paraId="3FFBC0B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8.7823</w:t>
            </w:r>
            <w:r w:rsidRPr="00DF5B90">
              <w:rPr>
                <w:rFonts w:asciiTheme="minorHAnsi" w:eastAsia="Times New Roman" w:hAnsiTheme="minorHAnsi" w:cstheme="minorHAnsi"/>
                <w:color w:val="000000"/>
                <w:vertAlign w:val="superscript"/>
                <w:lang w:val="id-ID"/>
              </w:rPr>
              <w:t>***</w:t>
            </w:r>
          </w:p>
        </w:tc>
      </w:tr>
      <w:tr w:rsidR="00DF5B90" w:rsidRPr="00DF5B90" w14:paraId="4ECA6A53"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661F42BA"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584FBA14"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05A2694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0.8082</w:t>
            </w:r>
          </w:p>
        </w:tc>
        <w:tc>
          <w:tcPr>
            <w:tcW w:w="0" w:type="auto"/>
            <w:tcBorders>
              <w:top w:val="nil"/>
              <w:left w:val="nil"/>
              <w:bottom w:val="single" w:sz="4" w:space="0" w:color="auto"/>
              <w:right w:val="nil"/>
            </w:tcBorders>
            <w:noWrap/>
            <w:vAlign w:val="center"/>
            <w:hideMark/>
          </w:tcPr>
          <w:p w14:paraId="42AEBF9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0.7342</w:t>
            </w:r>
          </w:p>
        </w:tc>
        <w:tc>
          <w:tcPr>
            <w:tcW w:w="0" w:type="auto"/>
            <w:tcBorders>
              <w:top w:val="nil"/>
              <w:left w:val="nil"/>
              <w:bottom w:val="single" w:sz="4" w:space="0" w:color="auto"/>
              <w:right w:val="nil"/>
            </w:tcBorders>
            <w:noWrap/>
            <w:vAlign w:val="center"/>
            <w:hideMark/>
          </w:tcPr>
          <w:p w14:paraId="44F8A6B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0.8747</w:t>
            </w:r>
          </w:p>
        </w:tc>
        <w:tc>
          <w:tcPr>
            <w:tcW w:w="0" w:type="auto"/>
            <w:tcBorders>
              <w:top w:val="nil"/>
              <w:left w:val="nil"/>
              <w:bottom w:val="single" w:sz="4" w:space="0" w:color="auto"/>
              <w:right w:val="nil"/>
            </w:tcBorders>
            <w:noWrap/>
            <w:vAlign w:val="center"/>
            <w:hideMark/>
          </w:tcPr>
          <w:p w14:paraId="121FE64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0.0957</w:t>
            </w:r>
          </w:p>
        </w:tc>
        <w:tc>
          <w:tcPr>
            <w:tcW w:w="0" w:type="auto"/>
            <w:tcBorders>
              <w:top w:val="nil"/>
              <w:left w:val="nil"/>
              <w:bottom w:val="single" w:sz="4" w:space="0" w:color="auto"/>
              <w:right w:val="nil"/>
            </w:tcBorders>
            <w:noWrap/>
            <w:vAlign w:val="center"/>
            <w:hideMark/>
          </w:tcPr>
          <w:p w14:paraId="6CD16BE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309" w:type="dxa"/>
            <w:tcBorders>
              <w:top w:val="nil"/>
              <w:left w:val="nil"/>
              <w:bottom w:val="single" w:sz="4" w:space="0" w:color="auto"/>
              <w:right w:val="nil"/>
            </w:tcBorders>
            <w:noWrap/>
            <w:vAlign w:val="center"/>
            <w:hideMark/>
          </w:tcPr>
          <w:p w14:paraId="3924AB3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3BB79FAB" w14:textId="77777777" w:rsidTr="00DF5B90">
        <w:trPr>
          <w:trHeight w:val="300"/>
          <w:jc w:val="center"/>
        </w:trPr>
        <w:tc>
          <w:tcPr>
            <w:tcW w:w="0" w:type="auto"/>
            <w:vMerge w:val="restart"/>
            <w:tcBorders>
              <w:top w:val="single" w:sz="4" w:space="0" w:color="auto"/>
              <w:left w:val="nil"/>
              <w:bottom w:val="single" w:sz="4" w:space="0" w:color="auto"/>
              <w:right w:val="nil"/>
            </w:tcBorders>
            <w:noWrap/>
            <w:vAlign w:val="center"/>
            <w:hideMark/>
          </w:tcPr>
          <w:p w14:paraId="465DD535"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Kospi</w:t>
            </w:r>
          </w:p>
        </w:tc>
        <w:tc>
          <w:tcPr>
            <w:tcW w:w="0" w:type="auto"/>
            <w:tcBorders>
              <w:top w:val="single" w:sz="4" w:space="0" w:color="auto"/>
              <w:left w:val="nil"/>
              <w:bottom w:val="nil"/>
              <w:right w:val="nil"/>
            </w:tcBorders>
            <w:noWrap/>
            <w:vAlign w:val="center"/>
            <w:hideMark/>
          </w:tcPr>
          <w:p w14:paraId="18C9310A"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796B1DD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0.0001</w:t>
            </w:r>
          </w:p>
        </w:tc>
        <w:tc>
          <w:tcPr>
            <w:tcW w:w="0" w:type="auto"/>
            <w:tcBorders>
              <w:top w:val="single" w:sz="4" w:space="0" w:color="auto"/>
              <w:left w:val="nil"/>
              <w:bottom w:val="nil"/>
              <w:right w:val="nil"/>
            </w:tcBorders>
            <w:noWrap/>
            <w:vAlign w:val="center"/>
            <w:hideMark/>
          </w:tcPr>
          <w:p w14:paraId="1D65308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0.0009</w:t>
            </w:r>
          </w:p>
        </w:tc>
        <w:tc>
          <w:tcPr>
            <w:tcW w:w="0" w:type="auto"/>
            <w:tcBorders>
              <w:top w:val="single" w:sz="4" w:space="0" w:color="auto"/>
              <w:left w:val="nil"/>
              <w:bottom w:val="nil"/>
              <w:right w:val="nil"/>
            </w:tcBorders>
            <w:noWrap/>
            <w:vAlign w:val="center"/>
            <w:hideMark/>
          </w:tcPr>
          <w:p w14:paraId="4E02858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single" w:sz="4" w:space="0" w:color="auto"/>
              <w:left w:val="nil"/>
              <w:bottom w:val="nil"/>
              <w:right w:val="nil"/>
            </w:tcBorders>
            <w:noWrap/>
            <w:vAlign w:val="center"/>
            <w:hideMark/>
          </w:tcPr>
          <w:p w14:paraId="51C95C8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0.0371</w:t>
            </w:r>
          </w:p>
        </w:tc>
        <w:tc>
          <w:tcPr>
            <w:tcW w:w="0" w:type="auto"/>
            <w:tcBorders>
              <w:top w:val="single" w:sz="4" w:space="0" w:color="auto"/>
              <w:left w:val="nil"/>
              <w:bottom w:val="nil"/>
              <w:right w:val="nil"/>
            </w:tcBorders>
            <w:noWrap/>
            <w:vAlign w:val="center"/>
            <w:hideMark/>
          </w:tcPr>
          <w:p w14:paraId="34EF10F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0.9613</w:t>
            </w:r>
          </w:p>
        </w:tc>
        <w:tc>
          <w:tcPr>
            <w:tcW w:w="1309" w:type="dxa"/>
            <w:tcBorders>
              <w:top w:val="single" w:sz="4" w:space="0" w:color="auto"/>
              <w:left w:val="nil"/>
              <w:bottom w:val="nil"/>
              <w:right w:val="nil"/>
            </w:tcBorders>
            <w:vAlign w:val="center"/>
            <w:hideMark/>
          </w:tcPr>
          <w:p w14:paraId="5269B0F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1.2484</w:t>
            </w:r>
          </w:p>
        </w:tc>
      </w:tr>
      <w:tr w:rsidR="00DF5B90" w:rsidRPr="00DF5B90" w14:paraId="28B10A18"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0E754116"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434E93ED"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388DC80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0.1366</w:t>
            </w:r>
          </w:p>
        </w:tc>
        <w:tc>
          <w:tcPr>
            <w:tcW w:w="0" w:type="auto"/>
            <w:noWrap/>
            <w:vAlign w:val="center"/>
            <w:hideMark/>
          </w:tcPr>
          <w:p w14:paraId="323ED78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1.6957</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2FE052D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-0.0404</w:t>
            </w:r>
          </w:p>
        </w:tc>
        <w:tc>
          <w:tcPr>
            <w:tcW w:w="0" w:type="auto"/>
            <w:noWrap/>
            <w:vAlign w:val="center"/>
            <w:hideMark/>
          </w:tcPr>
          <w:p w14:paraId="4BD66C9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1.5838</w:t>
            </w:r>
          </w:p>
        </w:tc>
        <w:tc>
          <w:tcPr>
            <w:tcW w:w="0" w:type="auto"/>
            <w:noWrap/>
            <w:vAlign w:val="center"/>
            <w:hideMark/>
          </w:tcPr>
          <w:p w14:paraId="7C1124C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26.3709</w:t>
            </w:r>
            <w:r w:rsidRPr="00DF5B90">
              <w:rPr>
                <w:rFonts w:asciiTheme="minorHAnsi" w:eastAsia="Times New Roman" w:hAnsiTheme="minorHAnsi" w:cstheme="minorHAnsi"/>
                <w:color w:val="000000"/>
                <w:vertAlign w:val="superscript"/>
                <w:lang w:val="id-ID"/>
              </w:rPr>
              <w:t>***</w:t>
            </w:r>
          </w:p>
        </w:tc>
        <w:tc>
          <w:tcPr>
            <w:tcW w:w="1309" w:type="dxa"/>
            <w:noWrap/>
            <w:vAlign w:val="center"/>
            <w:hideMark/>
          </w:tcPr>
          <w:p w14:paraId="38BC3E5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8.5483</w:t>
            </w:r>
            <w:r w:rsidRPr="00DF5B90">
              <w:rPr>
                <w:rFonts w:asciiTheme="minorHAnsi" w:eastAsia="Times New Roman" w:hAnsiTheme="minorHAnsi" w:cstheme="minorHAnsi"/>
                <w:color w:val="000000"/>
                <w:vertAlign w:val="superscript"/>
                <w:lang w:val="id-ID"/>
              </w:rPr>
              <w:t>***</w:t>
            </w:r>
          </w:p>
        </w:tc>
      </w:tr>
      <w:tr w:rsidR="00DF5B90" w:rsidRPr="00DF5B90" w14:paraId="21AC9D07"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2ADCF6D0"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79F556F6"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54160D8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0.8914</w:t>
            </w:r>
          </w:p>
        </w:tc>
        <w:tc>
          <w:tcPr>
            <w:tcW w:w="0" w:type="auto"/>
            <w:tcBorders>
              <w:top w:val="nil"/>
              <w:left w:val="nil"/>
              <w:bottom w:val="single" w:sz="4" w:space="0" w:color="auto"/>
              <w:right w:val="nil"/>
            </w:tcBorders>
            <w:noWrap/>
            <w:vAlign w:val="center"/>
            <w:hideMark/>
          </w:tcPr>
          <w:p w14:paraId="6D12F9E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0.0899</w:t>
            </w:r>
          </w:p>
        </w:tc>
        <w:tc>
          <w:tcPr>
            <w:tcW w:w="0" w:type="auto"/>
            <w:tcBorders>
              <w:top w:val="nil"/>
              <w:left w:val="nil"/>
              <w:bottom w:val="single" w:sz="4" w:space="0" w:color="auto"/>
              <w:right w:val="nil"/>
            </w:tcBorders>
            <w:noWrap/>
            <w:vAlign w:val="center"/>
            <w:hideMark/>
          </w:tcPr>
          <w:p w14:paraId="0C09A2F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0.9678</w:t>
            </w:r>
          </w:p>
        </w:tc>
        <w:tc>
          <w:tcPr>
            <w:tcW w:w="0" w:type="auto"/>
            <w:tcBorders>
              <w:top w:val="nil"/>
              <w:left w:val="nil"/>
              <w:bottom w:val="single" w:sz="4" w:space="0" w:color="auto"/>
              <w:right w:val="nil"/>
            </w:tcBorders>
            <w:noWrap/>
            <w:vAlign w:val="center"/>
            <w:hideMark/>
          </w:tcPr>
          <w:p w14:paraId="68BD3FA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0.1132</w:t>
            </w:r>
          </w:p>
        </w:tc>
        <w:tc>
          <w:tcPr>
            <w:tcW w:w="0" w:type="auto"/>
            <w:tcBorders>
              <w:top w:val="nil"/>
              <w:left w:val="nil"/>
              <w:bottom w:val="single" w:sz="4" w:space="0" w:color="auto"/>
              <w:right w:val="nil"/>
            </w:tcBorders>
            <w:noWrap/>
            <w:vAlign w:val="center"/>
            <w:hideMark/>
          </w:tcPr>
          <w:p w14:paraId="3F40FCA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309" w:type="dxa"/>
            <w:tcBorders>
              <w:top w:val="nil"/>
              <w:left w:val="nil"/>
              <w:bottom w:val="single" w:sz="4" w:space="0" w:color="auto"/>
              <w:right w:val="nil"/>
            </w:tcBorders>
            <w:noWrap/>
            <w:vAlign w:val="center"/>
            <w:hideMark/>
          </w:tcPr>
          <w:p w14:paraId="3B28A77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35A54C50" w14:textId="77777777" w:rsidTr="00DF5B90">
        <w:trPr>
          <w:trHeight w:val="300"/>
          <w:jc w:val="center"/>
        </w:trPr>
        <w:tc>
          <w:tcPr>
            <w:tcW w:w="0" w:type="auto"/>
            <w:vMerge w:val="restart"/>
            <w:tcBorders>
              <w:top w:val="single" w:sz="4" w:space="0" w:color="auto"/>
              <w:left w:val="nil"/>
              <w:bottom w:val="single" w:sz="4" w:space="0" w:color="auto"/>
              <w:right w:val="nil"/>
            </w:tcBorders>
            <w:noWrap/>
            <w:vAlign w:val="center"/>
            <w:hideMark/>
          </w:tcPr>
          <w:p w14:paraId="7610DC7F"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SSEC</w:t>
            </w:r>
          </w:p>
        </w:tc>
        <w:tc>
          <w:tcPr>
            <w:tcW w:w="0" w:type="auto"/>
            <w:tcBorders>
              <w:top w:val="single" w:sz="4" w:space="0" w:color="auto"/>
              <w:left w:val="nil"/>
              <w:bottom w:val="nil"/>
              <w:right w:val="nil"/>
            </w:tcBorders>
            <w:noWrap/>
            <w:vAlign w:val="center"/>
            <w:hideMark/>
          </w:tcPr>
          <w:p w14:paraId="7FE7F4DC"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00A99E8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0.0010</w:t>
            </w:r>
          </w:p>
        </w:tc>
        <w:tc>
          <w:tcPr>
            <w:tcW w:w="0" w:type="auto"/>
            <w:tcBorders>
              <w:top w:val="single" w:sz="4" w:space="0" w:color="auto"/>
              <w:left w:val="nil"/>
              <w:bottom w:val="nil"/>
              <w:right w:val="nil"/>
            </w:tcBorders>
            <w:noWrap/>
            <w:vAlign w:val="center"/>
            <w:hideMark/>
          </w:tcPr>
          <w:p w14:paraId="0633453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single" w:sz="4" w:space="0" w:color="auto"/>
              <w:left w:val="nil"/>
              <w:bottom w:val="nil"/>
              <w:right w:val="nil"/>
            </w:tcBorders>
            <w:noWrap/>
            <w:vAlign w:val="center"/>
            <w:hideMark/>
          </w:tcPr>
          <w:p w14:paraId="77F3DE5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0.0001</w:t>
            </w:r>
          </w:p>
        </w:tc>
        <w:tc>
          <w:tcPr>
            <w:tcW w:w="0" w:type="auto"/>
            <w:tcBorders>
              <w:top w:val="single" w:sz="4" w:space="0" w:color="auto"/>
              <w:left w:val="nil"/>
              <w:bottom w:val="nil"/>
              <w:right w:val="nil"/>
            </w:tcBorders>
            <w:noWrap/>
            <w:vAlign w:val="center"/>
            <w:hideMark/>
          </w:tcPr>
          <w:p w14:paraId="61A6C41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-0.0591</w:t>
            </w:r>
          </w:p>
        </w:tc>
        <w:tc>
          <w:tcPr>
            <w:tcW w:w="0" w:type="auto"/>
            <w:tcBorders>
              <w:top w:val="single" w:sz="4" w:space="0" w:color="auto"/>
              <w:left w:val="nil"/>
              <w:bottom w:val="nil"/>
              <w:right w:val="nil"/>
            </w:tcBorders>
            <w:noWrap/>
            <w:vAlign w:val="center"/>
            <w:hideMark/>
          </w:tcPr>
          <w:p w14:paraId="55BDEF1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0.5822</w:t>
            </w:r>
          </w:p>
        </w:tc>
        <w:tc>
          <w:tcPr>
            <w:tcW w:w="1309" w:type="dxa"/>
            <w:tcBorders>
              <w:top w:val="single" w:sz="4" w:space="0" w:color="auto"/>
              <w:left w:val="nil"/>
              <w:bottom w:val="nil"/>
              <w:right w:val="nil"/>
            </w:tcBorders>
            <w:vAlign w:val="center"/>
            <w:hideMark/>
          </w:tcPr>
          <w:p w14:paraId="728A106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1.2883</w:t>
            </w:r>
          </w:p>
        </w:tc>
      </w:tr>
      <w:tr w:rsidR="00DF5B90" w:rsidRPr="00DF5B90" w14:paraId="5B1F8099"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216D78C0"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7FBE0F80"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396592B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1.7874</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08BA620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-0.0422</w:t>
            </w:r>
          </w:p>
        </w:tc>
        <w:tc>
          <w:tcPr>
            <w:tcW w:w="0" w:type="auto"/>
            <w:noWrap/>
            <w:vAlign w:val="center"/>
            <w:hideMark/>
          </w:tcPr>
          <w:p w14:paraId="714E8CF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1.0234</w:t>
            </w:r>
          </w:p>
        </w:tc>
        <w:tc>
          <w:tcPr>
            <w:tcW w:w="0" w:type="auto"/>
            <w:noWrap/>
            <w:vAlign w:val="center"/>
            <w:hideMark/>
          </w:tcPr>
          <w:p w14:paraId="6D81C57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-3.4960</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2680CD2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1.3008</w:t>
            </w:r>
          </w:p>
        </w:tc>
        <w:tc>
          <w:tcPr>
            <w:tcW w:w="1309" w:type="dxa"/>
            <w:noWrap/>
            <w:vAlign w:val="center"/>
            <w:hideMark/>
          </w:tcPr>
          <w:p w14:paraId="364A4AA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8.1834</w:t>
            </w:r>
            <w:r w:rsidRPr="00DF5B90">
              <w:rPr>
                <w:rFonts w:asciiTheme="minorHAnsi" w:eastAsia="Times New Roman" w:hAnsiTheme="minorHAnsi" w:cstheme="minorHAnsi"/>
                <w:color w:val="000000"/>
                <w:vertAlign w:val="superscript"/>
                <w:lang w:val="id-ID"/>
              </w:rPr>
              <w:t>***</w:t>
            </w:r>
          </w:p>
        </w:tc>
      </w:tr>
      <w:tr w:rsidR="00DF5B90" w:rsidRPr="00DF5B90" w14:paraId="7BF6C023" w14:textId="77777777" w:rsidTr="00DF5B90">
        <w:trPr>
          <w:trHeight w:val="315"/>
          <w:jc w:val="center"/>
        </w:trPr>
        <w:tc>
          <w:tcPr>
            <w:tcW w:w="0" w:type="auto"/>
            <w:vMerge/>
            <w:tcBorders>
              <w:top w:val="single" w:sz="4" w:space="0" w:color="auto"/>
              <w:left w:val="nil"/>
              <w:bottom w:val="single" w:sz="4" w:space="0" w:color="auto"/>
              <w:right w:val="nil"/>
            </w:tcBorders>
            <w:vAlign w:val="center"/>
            <w:hideMark/>
          </w:tcPr>
          <w:p w14:paraId="62955ECC"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1762A38F"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3E296A8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0.0739</w:t>
            </w:r>
          </w:p>
        </w:tc>
        <w:tc>
          <w:tcPr>
            <w:tcW w:w="0" w:type="auto"/>
            <w:tcBorders>
              <w:top w:val="nil"/>
              <w:left w:val="nil"/>
              <w:bottom w:val="single" w:sz="4" w:space="0" w:color="auto"/>
              <w:right w:val="nil"/>
            </w:tcBorders>
            <w:noWrap/>
            <w:vAlign w:val="center"/>
            <w:hideMark/>
          </w:tcPr>
          <w:p w14:paraId="55E9BFF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0.9664</w:t>
            </w:r>
          </w:p>
        </w:tc>
        <w:tc>
          <w:tcPr>
            <w:tcW w:w="0" w:type="auto"/>
            <w:tcBorders>
              <w:top w:val="nil"/>
              <w:left w:val="nil"/>
              <w:bottom w:val="single" w:sz="4" w:space="0" w:color="auto"/>
              <w:right w:val="nil"/>
            </w:tcBorders>
            <w:noWrap/>
            <w:vAlign w:val="center"/>
            <w:hideMark/>
          </w:tcPr>
          <w:p w14:paraId="03768D0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0.3061</w:t>
            </w:r>
          </w:p>
        </w:tc>
        <w:tc>
          <w:tcPr>
            <w:tcW w:w="0" w:type="auto"/>
            <w:tcBorders>
              <w:top w:val="nil"/>
              <w:left w:val="nil"/>
              <w:bottom w:val="single" w:sz="4" w:space="0" w:color="auto"/>
              <w:right w:val="nil"/>
            </w:tcBorders>
            <w:noWrap/>
            <w:vAlign w:val="center"/>
            <w:hideMark/>
          </w:tcPr>
          <w:p w14:paraId="760BEEC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0.0005</w:t>
            </w:r>
          </w:p>
        </w:tc>
        <w:tc>
          <w:tcPr>
            <w:tcW w:w="0" w:type="auto"/>
            <w:tcBorders>
              <w:top w:val="nil"/>
              <w:left w:val="nil"/>
              <w:bottom w:val="single" w:sz="4" w:space="0" w:color="auto"/>
              <w:right w:val="nil"/>
            </w:tcBorders>
            <w:noWrap/>
            <w:vAlign w:val="center"/>
            <w:hideMark/>
          </w:tcPr>
          <w:p w14:paraId="42D4F1F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0.1933</w:t>
            </w:r>
          </w:p>
        </w:tc>
        <w:tc>
          <w:tcPr>
            <w:tcW w:w="1309" w:type="dxa"/>
            <w:tcBorders>
              <w:top w:val="nil"/>
              <w:left w:val="nil"/>
              <w:bottom w:val="single" w:sz="4" w:space="0" w:color="auto"/>
              <w:right w:val="nil"/>
            </w:tcBorders>
            <w:noWrap/>
            <w:vAlign w:val="center"/>
            <w:hideMark/>
          </w:tcPr>
          <w:p w14:paraId="7E541D5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bl>
    <w:p w14:paraId="4435F2A1" w14:textId="77777777" w:rsidR="00DF5B90" w:rsidRPr="00DF5B90" w:rsidRDefault="00DF5B90" w:rsidP="00DF5B90">
      <w:pPr>
        <w:spacing w:after="0" w:line="240" w:lineRule="auto"/>
        <w:jc w:val="both"/>
        <w:rPr>
          <w:rFonts w:asciiTheme="minorHAnsi" w:eastAsiaTheme="minorEastAsia" w:hAnsiTheme="minorHAnsi" w:cstheme="minorHAnsi"/>
          <w:noProof/>
          <w:lang w:val="en-US" w:eastAsia="en-US"/>
        </w:rPr>
      </w:pPr>
      <w:r w:rsidRPr="00DF5B90">
        <w:rPr>
          <w:rFonts w:asciiTheme="minorHAnsi" w:eastAsiaTheme="minorEastAsia" w:hAnsiTheme="minorHAnsi" w:cstheme="minorHAnsi"/>
          <w:lang w:val="id-ID"/>
        </w:rPr>
        <w:t>***</w:t>
      </w:r>
      <w:r w:rsidRPr="00DF5B90">
        <w:rPr>
          <w:rFonts w:asciiTheme="minorHAnsi" w:hAnsiTheme="minorHAnsi" w:cstheme="minorHAnsi"/>
          <w:lang w:val="id-ID"/>
        </w:rPr>
        <w:t xml:space="preserve"> </w:t>
      </w:r>
      <w:r w:rsidRPr="00DF5B90">
        <w:rPr>
          <w:rFonts w:asciiTheme="minorHAnsi" w:eastAsiaTheme="minorEastAsia" w:hAnsiTheme="minorHAnsi" w:cstheme="minorHAnsi"/>
        </w:rPr>
        <w:t>Significant at 1% level</w:t>
      </w:r>
    </w:p>
    <w:p w14:paraId="64A9E453" w14:textId="77777777" w:rsidR="00DF5B90" w:rsidRPr="00DF5B90" w:rsidRDefault="00DF5B90" w:rsidP="00DF5B90">
      <w:pPr>
        <w:spacing w:after="0" w:line="240" w:lineRule="auto"/>
        <w:jc w:val="both"/>
        <w:rPr>
          <w:rFonts w:asciiTheme="minorHAnsi" w:eastAsiaTheme="minorEastAsia" w:hAnsiTheme="minorHAnsi" w:cstheme="minorHAnsi"/>
        </w:rPr>
      </w:pPr>
      <w:r w:rsidRPr="00DF5B90">
        <w:rPr>
          <w:rFonts w:asciiTheme="minorHAnsi" w:eastAsiaTheme="minorEastAsia" w:hAnsiTheme="minorHAnsi" w:cstheme="minorHAnsi"/>
          <w:lang w:val="id-ID"/>
        </w:rPr>
        <w:t>**</w:t>
      </w:r>
      <w:r w:rsidRPr="00DF5B90">
        <w:rPr>
          <w:rFonts w:asciiTheme="minorHAnsi" w:eastAsiaTheme="minorEastAsia" w:hAnsiTheme="minorHAnsi" w:cstheme="minorHAnsi"/>
        </w:rPr>
        <w:t xml:space="preserve"> Significant at 5% level</w:t>
      </w:r>
    </w:p>
    <w:p w14:paraId="64A93C30" w14:textId="77777777" w:rsidR="00DF5B90" w:rsidRPr="00DF5B90" w:rsidRDefault="00DF5B90" w:rsidP="00DF5B90">
      <w:pPr>
        <w:spacing w:line="240" w:lineRule="auto"/>
        <w:jc w:val="both"/>
        <w:rPr>
          <w:rFonts w:asciiTheme="minorHAnsi" w:eastAsiaTheme="minorEastAsia" w:hAnsiTheme="minorHAnsi" w:cstheme="minorHAnsi"/>
          <w:lang w:val="id-ID"/>
        </w:rPr>
      </w:pPr>
      <w:r w:rsidRPr="00DF5B90">
        <w:rPr>
          <w:rFonts w:asciiTheme="minorHAnsi" w:eastAsiaTheme="minorEastAsia" w:hAnsiTheme="minorHAnsi" w:cstheme="minorHAnsi"/>
          <w:lang w:val="id-ID"/>
        </w:rPr>
        <w:t>*</w:t>
      </w:r>
      <w:r w:rsidRPr="00DF5B90">
        <w:rPr>
          <w:rFonts w:asciiTheme="minorHAnsi" w:eastAsiaTheme="minorEastAsia" w:hAnsiTheme="minorHAnsi" w:cstheme="minorHAnsi"/>
        </w:rPr>
        <w:t xml:space="preserve"> Significant at 10% level</w:t>
      </w:r>
    </w:p>
    <w:p w14:paraId="4B76D6D4" w14:textId="77777777" w:rsidR="00DF5B90" w:rsidRPr="00BA7D9E" w:rsidRDefault="00DF5B90" w:rsidP="00BA7D9E">
      <w:pPr>
        <w:pStyle w:val="Keterangan"/>
        <w:keepNext/>
        <w:spacing w:after="240"/>
        <w:ind w:firstLine="284"/>
        <w:rPr>
          <w:rFonts w:asciiTheme="minorHAnsi" w:eastAsiaTheme="minorHAnsi" w:hAnsiTheme="minorHAnsi" w:cstheme="minorHAnsi"/>
          <w:b w:val="0"/>
          <w:bCs w:val="0"/>
          <w:sz w:val="24"/>
          <w:szCs w:val="24"/>
          <w:shd w:val="clear" w:color="auto" w:fill="FFFFFF"/>
        </w:rPr>
      </w:pPr>
      <w:bookmarkStart w:id="19" w:name="_Toc168426046"/>
      <w:r w:rsidRPr="00BA7D9E">
        <w:rPr>
          <w:rFonts w:asciiTheme="minorHAnsi" w:hAnsiTheme="minorHAnsi" w:cstheme="minorHAnsi"/>
          <w:b w:val="0"/>
          <w:bCs w:val="0"/>
          <w:sz w:val="24"/>
          <w:szCs w:val="24"/>
          <w:shd w:val="clear" w:color="auto" w:fill="FFFFFF"/>
          <w:lang w:val="id-ID"/>
        </w:rPr>
        <w:t>Table 5 shows the results of the GARCH (1,1) test, which examines the effect of stock market volatility on gold prices during the Hamas-Israel conflict. The test results show that the GARCH probability value for each variable is lower than the 1% significance level, indicating that each variable follows the GARCH pattern. KLSE is considered to affect gold prices during the Hamas-Israel conflict because its probability value is lower than the 10% significance level and has a negative coefficient value.</w:t>
      </w:r>
    </w:p>
    <w:p w14:paraId="291C513E" w14:textId="77777777" w:rsidR="00DF5B90" w:rsidRPr="00BA7D9E" w:rsidRDefault="00DF5B90" w:rsidP="00DF5B90">
      <w:pPr>
        <w:pStyle w:val="Keterangan"/>
        <w:keepNext/>
        <w:jc w:val="center"/>
        <w:rPr>
          <w:rFonts w:asciiTheme="minorHAnsi" w:hAnsiTheme="minorHAnsi" w:cstheme="minorHAnsi"/>
          <w:sz w:val="24"/>
          <w:szCs w:val="24"/>
          <w:lang w:val="id-ID"/>
        </w:rPr>
      </w:pPr>
      <w:bookmarkStart w:id="20" w:name="_Toc170310507"/>
      <w:bookmarkStart w:id="21" w:name="_Toc171071274"/>
      <w:bookmarkStart w:id="22" w:name="_Toc171072599"/>
      <w:r w:rsidRPr="00BA7D9E">
        <w:rPr>
          <w:rFonts w:asciiTheme="minorHAnsi" w:hAnsiTheme="minorHAnsi" w:cstheme="minorHAnsi"/>
          <w:sz w:val="24"/>
          <w:szCs w:val="24"/>
          <w:lang w:val="id-ID"/>
        </w:rPr>
        <w:t>T</w:t>
      </w:r>
      <w:r w:rsidRPr="00BA7D9E">
        <w:rPr>
          <w:rFonts w:asciiTheme="minorHAnsi" w:hAnsiTheme="minorHAnsi" w:cstheme="minorHAnsi"/>
          <w:sz w:val="24"/>
          <w:szCs w:val="24"/>
        </w:rPr>
        <w:t>able</w:t>
      </w:r>
      <w:r w:rsidRPr="00BA7D9E">
        <w:rPr>
          <w:rFonts w:asciiTheme="minorHAnsi" w:hAnsiTheme="minorHAnsi" w:cstheme="minorHAnsi"/>
          <w:sz w:val="24"/>
          <w:szCs w:val="24"/>
          <w:lang w:val="id-ID"/>
        </w:rPr>
        <w:t xml:space="preserve"> </w:t>
      </w:r>
      <w:r w:rsidRPr="00BA7D9E">
        <w:rPr>
          <w:rFonts w:asciiTheme="minorHAnsi" w:hAnsiTheme="minorHAnsi" w:cstheme="minorHAnsi"/>
          <w:sz w:val="24"/>
          <w:szCs w:val="24"/>
        </w:rPr>
        <w:fldChar w:fldCharType="begin"/>
      </w:r>
      <w:r w:rsidRPr="00BA7D9E">
        <w:rPr>
          <w:rFonts w:asciiTheme="minorHAnsi" w:hAnsiTheme="minorHAnsi" w:cstheme="minorHAnsi"/>
          <w:sz w:val="24"/>
          <w:szCs w:val="24"/>
          <w:lang w:val="id-ID"/>
        </w:rPr>
        <w:instrText xml:space="preserve"> SEQ Table \* ARABIC </w:instrText>
      </w:r>
      <w:r w:rsidRPr="00BA7D9E">
        <w:rPr>
          <w:rFonts w:asciiTheme="minorHAnsi" w:hAnsiTheme="minorHAnsi" w:cstheme="minorHAnsi"/>
          <w:sz w:val="24"/>
          <w:szCs w:val="24"/>
        </w:rPr>
        <w:fldChar w:fldCharType="separate"/>
      </w:r>
      <w:r w:rsidRPr="00BA7D9E">
        <w:rPr>
          <w:rFonts w:asciiTheme="minorHAnsi" w:hAnsiTheme="minorHAnsi" w:cstheme="minorHAnsi"/>
          <w:sz w:val="24"/>
          <w:szCs w:val="24"/>
          <w:lang w:val="id-ID"/>
        </w:rPr>
        <w:t>5</w:t>
      </w:r>
      <w:bookmarkEnd w:id="19"/>
      <w:bookmarkEnd w:id="20"/>
      <w:bookmarkEnd w:id="21"/>
      <w:bookmarkEnd w:id="22"/>
      <w:r w:rsidRPr="00BA7D9E">
        <w:rPr>
          <w:rFonts w:asciiTheme="minorHAnsi" w:hAnsiTheme="minorHAnsi" w:cstheme="minorHAnsi"/>
          <w:sz w:val="24"/>
          <w:szCs w:val="24"/>
          <w:lang w:val="id-ID"/>
        </w:rPr>
        <w:fldChar w:fldCharType="end"/>
      </w:r>
      <w:r w:rsidRPr="00BA7D9E">
        <w:rPr>
          <w:rFonts w:asciiTheme="minorHAnsi" w:hAnsiTheme="minorHAnsi" w:cstheme="minorHAnsi"/>
          <w:sz w:val="24"/>
          <w:szCs w:val="24"/>
          <w:lang w:val="id-ID"/>
        </w:rPr>
        <w:t xml:space="preserve"> </w:t>
      </w:r>
    </w:p>
    <w:p w14:paraId="3E658347" w14:textId="66A8E748" w:rsidR="00DF5B90" w:rsidRPr="00BA7D9E" w:rsidRDefault="00DF5B90" w:rsidP="00DF5B90">
      <w:pPr>
        <w:pStyle w:val="Keterangan"/>
        <w:keepNext/>
        <w:jc w:val="center"/>
        <w:rPr>
          <w:rFonts w:asciiTheme="minorHAnsi" w:hAnsiTheme="minorHAnsi" w:cstheme="minorHAnsi"/>
          <w:sz w:val="24"/>
          <w:szCs w:val="24"/>
          <w:lang w:val="id-ID"/>
        </w:rPr>
      </w:pPr>
      <w:r w:rsidRPr="00BA7D9E">
        <w:rPr>
          <w:rFonts w:asciiTheme="minorHAnsi" w:hAnsiTheme="minorHAnsi" w:cstheme="minorHAnsi"/>
          <w:sz w:val="24"/>
          <w:szCs w:val="24"/>
          <w:lang w:val="id-ID"/>
        </w:rPr>
        <w:t>The Impact of Stock Market Volatility on Gold Prices</w:t>
      </w:r>
      <w:r w:rsidRPr="00BA7D9E">
        <w:rPr>
          <w:rFonts w:asciiTheme="minorHAnsi" w:hAnsiTheme="minorHAnsi" w:cstheme="minorHAnsi"/>
          <w:sz w:val="24"/>
          <w:szCs w:val="24"/>
        </w:rPr>
        <w:t xml:space="preserve"> During The</w:t>
      </w:r>
      <w:r w:rsidRPr="00BA7D9E">
        <w:rPr>
          <w:rFonts w:asciiTheme="minorHAnsi" w:hAnsiTheme="minorHAnsi" w:cstheme="minorHAnsi"/>
          <w:sz w:val="24"/>
          <w:szCs w:val="24"/>
          <w:lang w:val="id-ID"/>
        </w:rPr>
        <w:t xml:space="preserve"> Hamas-Israel </w:t>
      </w:r>
      <w:r w:rsidR="006E23DC">
        <w:rPr>
          <w:rFonts w:asciiTheme="minorHAnsi" w:hAnsiTheme="minorHAnsi" w:cstheme="minorHAnsi"/>
          <w:sz w:val="24"/>
          <w:szCs w:val="24"/>
          <w:lang w:val="id-ID"/>
        </w:rPr>
        <w:t xml:space="preserve">Conflict </w:t>
      </w:r>
      <w:r w:rsidRPr="00BA7D9E">
        <w:rPr>
          <w:rFonts w:asciiTheme="minorHAnsi" w:hAnsiTheme="minorHAnsi" w:cstheme="minorHAnsi"/>
          <w:sz w:val="24"/>
          <w:szCs w:val="24"/>
          <w:lang w:val="id-ID"/>
        </w:rPr>
        <w:t>Period</w:t>
      </w:r>
    </w:p>
    <w:tbl>
      <w:tblPr>
        <w:tblW w:w="9049" w:type="dxa"/>
        <w:jc w:val="center"/>
        <w:tblLook w:val="04A0" w:firstRow="1" w:lastRow="0" w:firstColumn="1" w:lastColumn="0" w:noHBand="0" w:noVBand="1"/>
      </w:tblPr>
      <w:tblGrid>
        <w:gridCol w:w="819"/>
        <w:gridCol w:w="1274"/>
        <w:gridCol w:w="1124"/>
        <w:gridCol w:w="1499"/>
        <w:gridCol w:w="965"/>
        <w:gridCol w:w="959"/>
        <w:gridCol w:w="1124"/>
        <w:gridCol w:w="1309"/>
      </w:tblGrid>
      <w:tr w:rsidR="00DF5B90" w:rsidRPr="00DF5B90" w14:paraId="19929474" w14:textId="77777777" w:rsidTr="00DF5B90">
        <w:trPr>
          <w:trHeight w:val="300"/>
          <w:jc w:val="center"/>
        </w:trPr>
        <w:tc>
          <w:tcPr>
            <w:tcW w:w="9049" w:type="dxa"/>
            <w:gridSpan w:val="8"/>
            <w:tcBorders>
              <w:top w:val="single" w:sz="8" w:space="0" w:color="auto"/>
              <w:left w:val="nil"/>
              <w:bottom w:val="nil"/>
              <w:right w:val="nil"/>
            </w:tcBorders>
            <w:noWrap/>
            <w:vAlign w:val="center"/>
            <w:hideMark/>
          </w:tcPr>
          <w:p w14:paraId="576A06C5" w14:textId="687CE5A6" w:rsidR="00DF5B90" w:rsidRPr="00DF5B90" w:rsidRDefault="006E23DC" w:rsidP="00DF5B90">
            <w:pPr>
              <w:spacing w:after="0" w:line="240" w:lineRule="auto"/>
              <w:jc w:val="center"/>
              <w:rPr>
                <w:rFonts w:asciiTheme="minorHAnsi" w:eastAsia="Times New Roman" w:hAnsiTheme="minorHAnsi" w:cstheme="minorHAnsi"/>
                <w:b/>
                <w:bCs/>
                <w:color w:val="000000"/>
                <w:lang w:val="id-ID"/>
              </w:rPr>
            </w:pPr>
            <w:r>
              <w:rPr>
                <w:rFonts w:asciiTheme="minorHAnsi" w:eastAsia="Times New Roman" w:hAnsiTheme="minorHAnsi" w:cstheme="minorHAnsi"/>
                <w:b/>
                <w:bCs/>
                <w:color w:val="000000"/>
                <w:lang w:val="id-ID"/>
              </w:rPr>
              <w:t xml:space="preserve">During </w:t>
            </w:r>
            <w:r w:rsidR="00DF5B90" w:rsidRPr="00DF5B90">
              <w:rPr>
                <w:rFonts w:asciiTheme="minorHAnsi" w:eastAsia="Times New Roman" w:hAnsiTheme="minorHAnsi" w:cstheme="minorHAnsi"/>
                <w:b/>
                <w:bCs/>
                <w:color w:val="000000"/>
                <w:lang w:val="id-ID"/>
              </w:rPr>
              <w:t>Hamas-Israel</w:t>
            </w:r>
            <w:r>
              <w:rPr>
                <w:rFonts w:asciiTheme="minorHAnsi" w:eastAsia="Times New Roman" w:hAnsiTheme="minorHAnsi" w:cstheme="minorHAnsi"/>
                <w:b/>
                <w:bCs/>
                <w:color w:val="000000"/>
                <w:lang w:val="id-ID"/>
              </w:rPr>
              <w:t xml:space="preserve"> Conflict</w:t>
            </w:r>
          </w:p>
        </w:tc>
      </w:tr>
      <w:tr w:rsidR="00DF5B90" w:rsidRPr="00DF5B90" w14:paraId="46B0C5CB" w14:textId="77777777" w:rsidTr="00DF5B90">
        <w:trPr>
          <w:trHeight w:val="300"/>
          <w:jc w:val="center"/>
        </w:trPr>
        <w:tc>
          <w:tcPr>
            <w:tcW w:w="0" w:type="auto"/>
            <w:gridSpan w:val="2"/>
            <w:vMerge w:val="restart"/>
            <w:tcBorders>
              <w:top w:val="single" w:sz="4" w:space="0" w:color="auto"/>
              <w:left w:val="nil"/>
              <w:bottom w:val="single" w:sz="4" w:space="0" w:color="auto"/>
              <w:right w:val="nil"/>
            </w:tcBorders>
            <w:noWrap/>
            <w:vAlign w:val="center"/>
            <w:hideMark/>
          </w:tcPr>
          <w:p w14:paraId="2755D44C"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en-US"/>
              </w:rPr>
            </w:pPr>
            <w:r w:rsidRPr="00DF5B90">
              <w:rPr>
                <w:rFonts w:asciiTheme="minorHAnsi" w:eastAsia="Times New Roman" w:hAnsiTheme="minorHAnsi" w:cstheme="minorHAnsi"/>
                <w:b/>
                <w:bCs/>
                <w:color w:val="000000"/>
              </w:rPr>
              <w:t>Independent</w:t>
            </w:r>
          </w:p>
          <w:p w14:paraId="22BE3D41"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rPr>
              <w:t>Variable</w:t>
            </w:r>
          </w:p>
        </w:tc>
        <w:tc>
          <w:tcPr>
            <w:tcW w:w="0" w:type="auto"/>
            <w:gridSpan w:val="2"/>
            <w:tcBorders>
              <w:top w:val="single" w:sz="4" w:space="0" w:color="auto"/>
              <w:left w:val="nil"/>
              <w:bottom w:val="single" w:sz="4" w:space="0" w:color="auto"/>
              <w:right w:val="nil"/>
            </w:tcBorders>
            <w:vAlign w:val="center"/>
            <w:hideMark/>
          </w:tcPr>
          <w:p w14:paraId="7740B1B0"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Mean Equation</w:t>
            </w:r>
          </w:p>
        </w:tc>
        <w:tc>
          <w:tcPr>
            <w:tcW w:w="0" w:type="auto"/>
            <w:gridSpan w:val="3"/>
            <w:tcBorders>
              <w:top w:val="single" w:sz="4" w:space="0" w:color="auto"/>
              <w:left w:val="nil"/>
              <w:bottom w:val="single" w:sz="4" w:space="0" w:color="auto"/>
              <w:right w:val="nil"/>
            </w:tcBorders>
            <w:noWrap/>
            <w:vAlign w:val="center"/>
            <w:hideMark/>
          </w:tcPr>
          <w:p w14:paraId="07EDAD4B"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Variance Equation</w:t>
            </w:r>
          </w:p>
        </w:tc>
        <w:tc>
          <w:tcPr>
            <w:tcW w:w="1309" w:type="dxa"/>
            <w:vMerge w:val="restart"/>
            <w:tcBorders>
              <w:top w:val="single" w:sz="4" w:space="0" w:color="auto"/>
              <w:left w:val="nil"/>
              <w:bottom w:val="single" w:sz="4" w:space="0" w:color="auto"/>
              <w:right w:val="nil"/>
            </w:tcBorders>
            <w:vAlign w:val="center"/>
            <w:hideMark/>
          </w:tcPr>
          <w:p w14:paraId="441DCF91"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GED Parameter</w:t>
            </w:r>
          </w:p>
        </w:tc>
      </w:tr>
      <w:tr w:rsidR="00DF5B90" w:rsidRPr="00DF5B90" w14:paraId="587817FC" w14:textId="77777777" w:rsidTr="00DF5B90">
        <w:trPr>
          <w:trHeight w:val="315"/>
          <w:jc w:val="center"/>
        </w:trPr>
        <w:tc>
          <w:tcPr>
            <w:tcW w:w="0" w:type="auto"/>
            <w:gridSpan w:val="2"/>
            <w:vMerge/>
            <w:tcBorders>
              <w:top w:val="single" w:sz="4" w:space="0" w:color="auto"/>
              <w:left w:val="nil"/>
              <w:bottom w:val="single" w:sz="4" w:space="0" w:color="auto"/>
              <w:right w:val="nil"/>
            </w:tcBorders>
            <w:vAlign w:val="center"/>
            <w:hideMark/>
          </w:tcPr>
          <w:p w14:paraId="06A0C79A" w14:textId="77777777" w:rsidR="00DF5B90" w:rsidRPr="00DF5B90" w:rsidRDefault="00DF5B90" w:rsidP="00DF5B90">
            <w:pPr>
              <w:spacing w:after="0" w:line="240" w:lineRule="auto"/>
              <w:rPr>
                <w:rFonts w:asciiTheme="minorHAnsi" w:eastAsia="Times New Roman" w:hAnsiTheme="minorHAnsi" w:cstheme="minorHAnsi"/>
                <w:b/>
                <w:bCs/>
                <w:color w:val="000000"/>
                <w:lang w:val="id-ID"/>
              </w:rPr>
            </w:pPr>
          </w:p>
        </w:tc>
        <w:tc>
          <w:tcPr>
            <w:tcW w:w="0" w:type="auto"/>
            <w:tcBorders>
              <w:top w:val="nil"/>
              <w:left w:val="nil"/>
              <w:bottom w:val="single" w:sz="4" w:space="0" w:color="auto"/>
              <w:right w:val="nil"/>
            </w:tcBorders>
            <w:vAlign w:val="center"/>
            <w:hideMark/>
          </w:tcPr>
          <w:p w14:paraId="61162407"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C</w:t>
            </w:r>
          </w:p>
        </w:tc>
        <w:tc>
          <w:tcPr>
            <w:tcW w:w="0" w:type="auto"/>
            <w:tcBorders>
              <w:top w:val="nil"/>
              <w:left w:val="nil"/>
              <w:bottom w:val="single" w:sz="4" w:space="0" w:color="auto"/>
              <w:right w:val="nil"/>
            </w:tcBorders>
            <w:vAlign w:val="center"/>
            <w:hideMark/>
          </w:tcPr>
          <w:p w14:paraId="29710C84"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en-US"/>
              </w:rPr>
            </w:pPr>
            <w:r w:rsidRPr="00DF5B90">
              <w:rPr>
                <w:rFonts w:asciiTheme="minorHAnsi" w:eastAsia="Times New Roman" w:hAnsiTheme="minorHAnsi" w:cstheme="minorHAnsi"/>
                <w:b/>
                <w:bCs/>
                <w:color w:val="000000"/>
              </w:rPr>
              <w:t>Independent</w:t>
            </w:r>
          </w:p>
          <w:p w14:paraId="70F9F3F9"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rPr>
              <w:t>Variable</w:t>
            </w:r>
          </w:p>
          <w:p w14:paraId="4011975C"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en-US"/>
              </w:rPr>
            </w:pPr>
            <w:r w:rsidRPr="00DF5B90">
              <w:rPr>
                <w:rFonts w:asciiTheme="minorHAnsi" w:eastAsia="Times New Roman" w:hAnsiTheme="minorHAnsi" w:cstheme="minorHAnsi"/>
                <w:b/>
                <w:bCs/>
                <w:color w:val="000000"/>
              </w:rPr>
              <w:t>(</w:t>
            </w:r>
            <w:r w:rsidRPr="00DF5B90">
              <w:rPr>
                <w:rFonts w:asciiTheme="minorHAnsi" w:eastAsia="Times New Roman" w:hAnsiTheme="minorHAnsi" w:cstheme="minorHAnsi"/>
                <w:b/>
                <w:bCs/>
                <w:color w:val="000000"/>
                <w:lang w:val="id-ID"/>
              </w:rPr>
              <w:t>Volatil</w:t>
            </w:r>
            <w:r w:rsidRPr="00DF5B90">
              <w:rPr>
                <w:rFonts w:asciiTheme="minorHAnsi" w:eastAsia="Times New Roman" w:hAnsiTheme="minorHAnsi" w:cstheme="minorHAnsi"/>
                <w:b/>
                <w:bCs/>
                <w:color w:val="000000"/>
              </w:rPr>
              <w:t>ity)</w:t>
            </w:r>
          </w:p>
        </w:tc>
        <w:tc>
          <w:tcPr>
            <w:tcW w:w="0" w:type="auto"/>
            <w:tcBorders>
              <w:top w:val="nil"/>
              <w:left w:val="nil"/>
              <w:bottom w:val="single" w:sz="4" w:space="0" w:color="auto"/>
              <w:right w:val="nil"/>
            </w:tcBorders>
            <w:noWrap/>
            <w:vAlign w:val="center"/>
            <w:hideMark/>
          </w:tcPr>
          <w:p w14:paraId="7DE880A8"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C</w:t>
            </w:r>
          </w:p>
        </w:tc>
        <w:tc>
          <w:tcPr>
            <w:tcW w:w="0" w:type="auto"/>
            <w:tcBorders>
              <w:top w:val="nil"/>
              <w:left w:val="nil"/>
              <w:bottom w:val="single" w:sz="4" w:space="0" w:color="auto"/>
              <w:right w:val="nil"/>
            </w:tcBorders>
            <w:noWrap/>
            <w:vAlign w:val="center"/>
            <w:hideMark/>
          </w:tcPr>
          <w:p w14:paraId="5B9C9DDF"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Resid</w:t>
            </w:r>
          </w:p>
        </w:tc>
        <w:tc>
          <w:tcPr>
            <w:tcW w:w="0" w:type="auto"/>
            <w:tcBorders>
              <w:top w:val="nil"/>
              <w:left w:val="nil"/>
              <w:bottom w:val="single" w:sz="4" w:space="0" w:color="auto"/>
              <w:right w:val="nil"/>
            </w:tcBorders>
            <w:noWrap/>
            <w:vAlign w:val="center"/>
            <w:hideMark/>
          </w:tcPr>
          <w:p w14:paraId="22616322" w14:textId="7F335A90"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G</w:t>
            </w:r>
            <w:r w:rsidR="006E23DC">
              <w:rPr>
                <w:rFonts w:asciiTheme="minorHAnsi" w:eastAsia="Times New Roman" w:hAnsiTheme="minorHAnsi" w:cstheme="minorHAnsi"/>
                <w:b/>
                <w:bCs/>
                <w:color w:val="000000"/>
                <w:lang w:val="id-ID"/>
              </w:rPr>
              <w:t>ARCH</w:t>
            </w:r>
          </w:p>
        </w:tc>
        <w:tc>
          <w:tcPr>
            <w:tcW w:w="0" w:type="auto"/>
            <w:vMerge/>
            <w:tcBorders>
              <w:top w:val="single" w:sz="4" w:space="0" w:color="auto"/>
              <w:left w:val="nil"/>
              <w:bottom w:val="single" w:sz="4" w:space="0" w:color="auto"/>
              <w:right w:val="nil"/>
            </w:tcBorders>
            <w:vAlign w:val="center"/>
            <w:hideMark/>
          </w:tcPr>
          <w:p w14:paraId="0D24D124" w14:textId="77777777" w:rsidR="00DF5B90" w:rsidRPr="00DF5B90" w:rsidRDefault="00DF5B90" w:rsidP="00DF5B90">
            <w:pPr>
              <w:spacing w:after="0" w:line="240" w:lineRule="auto"/>
              <w:rPr>
                <w:rFonts w:asciiTheme="minorHAnsi" w:eastAsia="Times New Roman" w:hAnsiTheme="minorHAnsi" w:cstheme="minorHAnsi"/>
                <w:b/>
                <w:bCs/>
                <w:color w:val="000000"/>
                <w:lang w:val="id-ID"/>
              </w:rPr>
            </w:pPr>
          </w:p>
        </w:tc>
      </w:tr>
      <w:tr w:rsidR="00DF5B90" w:rsidRPr="00DF5B90" w14:paraId="1ED5D7F7" w14:textId="77777777" w:rsidTr="00DF5B90">
        <w:trPr>
          <w:trHeight w:val="300"/>
          <w:jc w:val="center"/>
        </w:trPr>
        <w:tc>
          <w:tcPr>
            <w:tcW w:w="0" w:type="auto"/>
            <w:vMerge w:val="restart"/>
            <w:tcBorders>
              <w:top w:val="single" w:sz="4" w:space="0" w:color="auto"/>
              <w:left w:val="nil"/>
              <w:bottom w:val="single" w:sz="4" w:space="0" w:color="auto"/>
              <w:right w:val="nil"/>
            </w:tcBorders>
            <w:noWrap/>
            <w:vAlign w:val="center"/>
            <w:hideMark/>
          </w:tcPr>
          <w:p w14:paraId="123D0A72"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JKSE</w:t>
            </w:r>
          </w:p>
        </w:tc>
        <w:tc>
          <w:tcPr>
            <w:tcW w:w="0" w:type="auto"/>
            <w:tcBorders>
              <w:top w:val="single" w:sz="4" w:space="0" w:color="auto"/>
              <w:left w:val="nil"/>
              <w:bottom w:val="nil"/>
              <w:right w:val="nil"/>
            </w:tcBorders>
            <w:noWrap/>
            <w:vAlign w:val="center"/>
            <w:hideMark/>
          </w:tcPr>
          <w:p w14:paraId="4AC68078"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3C3B594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0.0024</w:t>
            </w:r>
          </w:p>
        </w:tc>
        <w:tc>
          <w:tcPr>
            <w:tcW w:w="0" w:type="auto"/>
            <w:tcBorders>
              <w:top w:val="single" w:sz="4" w:space="0" w:color="auto"/>
              <w:left w:val="nil"/>
              <w:bottom w:val="nil"/>
              <w:right w:val="nil"/>
            </w:tcBorders>
            <w:noWrap/>
            <w:vAlign w:val="center"/>
            <w:hideMark/>
          </w:tcPr>
          <w:p w14:paraId="4BDBEE6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0.0005</w:t>
            </w:r>
          </w:p>
        </w:tc>
        <w:tc>
          <w:tcPr>
            <w:tcW w:w="0" w:type="auto"/>
            <w:tcBorders>
              <w:top w:val="single" w:sz="4" w:space="0" w:color="auto"/>
              <w:left w:val="nil"/>
              <w:bottom w:val="nil"/>
              <w:right w:val="nil"/>
            </w:tcBorders>
            <w:noWrap/>
            <w:vAlign w:val="center"/>
            <w:hideMark/>
          </w:tcPr>
          <w:p w14:paraId="4F55AC7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single" w:sz="4" w:space="0" w:color="auto"/>
              <w:left w:val="nil"/>
              <w:bottom w:val="nil"/>
              <w:right w:val="nil"/>
            </w:tcBorders>
            <w:noWrap/>
            <w:vAlign w:val="center"/>
            <w:hideMark/>
          </w:tcPr>
          <w:p w14:paraId="24C5991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-0.0410</w:t>
            </w:r>
          </w:p>
        </w:tc>
        <w:tc>
          <w:tcPr>
            <w:tcW w:w="0" w:type="auto"/>
            <w:tcBorders>
              <w:top w:val="single" w:sz="4" w:space="0" w:color="auto"/>
              <w:left w:val="nil"/>
              <w:bottom w:val="nil"/>
              <w:right w:val="nil"/>
            </w:tcBorders>
            <w:noWrap/>
            <w:vAlign w:val="center"/>
            <w:hideMark/>
          </w:tcPr>
          <w:p w14:paraId="4B8F9F2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0.8203</w:t>
            </w:r>
          </w:p>
        </w:tc>
        <w:tc>
          <w:tcPr>
            <w:tcW w:w="1309" w:type="dxa"/>
            <w:tcBorders>
              <w:top w:val="single" w:sz="4" w:space="0" w:color="auto"/>
              <w:left w:val="nil"/>
              <w:bottom w:val="nil"/>
              <w:right w:val="nil"/>
            </w:tcBorders>
            <w:vAlign w:val="center"/>
            <w:hideMark/>
          </w:tcPr>
          <w:p w14:paraId="5FD8E4F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1.2485</w:t>
            </w:r>
          </w:p>
        </w:tc>
      </w:tr>
      <w:tr w:rsidR="00DF5B90" w:rsidRPr="00DF5B90" w14:paraId="2E92F0DB"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0CCAE398"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5E89EEEC"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6C9FB01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2.5946</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45346DA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0.5141</w:t>
            </w:r>
          </w:p>
        </w:tc>
        <w:tc>
          <w:tcPr>
            <w:tcW w:w="0" w:type="auto"/>
            <w:noWrap/>
            <w:vAlign w:val="center"/>
            <w:hideMark/>
          </w:tcPr>
          <w:p w14:paraId="07606C9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1.6061</w:t>
            </w:r>
          </w:p>
        </w:tc>
        <w:tc>
          <w:tcPr>
            <w:tcW w:w="0" w:type="auto"/>
            <w:noWrap/>
            <w:vAlign w:val="center"/>
            <w:hideMark/>
          </w:tcPr>
          <w:p w14:paraId="19321E5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-0.8850</w:t>
            </w:r>
          </w:p>
        </w:tc>
        <w:tc>
          <w:tcPr>
            <w:tcW w:w="0" w:type="auto"/>
            <w:noWrap/>
            <w:vAlign w:val="center"/>
            <w:hideMark/>
          </w:tcPr>
          <w:p w14:paraId="32C3C34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6.9020</w:t>
            </w:r>
            <w:r w:rsidRPr="00DF5B90">
              <w:rPr>
                <w:rFonts w:asciiTheme="minorHAnsi" w:eastAsia="Times New Roman" w:hAnsiTheme="minorHAnsi" w:cstheme="minorHAnsi"/>
                <w:color w:val="000000"/>
                <w:vertAlign w:val="superscript"/>
                <w:lang w:val="id-ID"/>
              </w:rPr>
              <w:t>***</w:t>
            </w:r>
          </w:p>
        </w:tc>
        <w:tc>
          <w:tcPr>
            <w:tcW w:w="1309" w:type="dxa"/>
            <w:noWrap/>
            <w:vAlign w:val="center"/>
            <w:hideMark/>
          </w:tcPr>
          <w:p w14:paraId="1B267CE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4.7894</w:t>
            </w:r>
            <w:r w:rsidRPr="00DF5B90">
              <w:rPr>
                <w:rFonts w:asciiTheme="minorHAnsi" w:eastAsia="Times New Roman" w:hAnsiTheme="minorHAnsi" w:cstheme="minorHAnsi"/>
                <w:color w:val="000000"/>
                <w:vertAlign w:val="superscript"/>
                <w:lang w:val="id-ID"/>
              </w:rPr>
              <w:t>***</w:t>
            </w:r>
          </w:p>
        </w:tc>
      </w:tr>
      <w:tr w:rsidR="00DF5B90" w:rsidRPr="00DF5B90" w14:paraId="08D4CE9B"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562EBED9"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5A5C7B00"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28E7859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0.0095</w:t>
            </w:r>
          </w:p>
        </w:tc>
        <w:tc>
          <w:tcPr>
            <w:tcW w:w="0" w:type="auto"/>
            <w:tcBorders>
              <w:top w:val="nil"/>
              <w:left w:val="nil"/>
              <w:bottom w:val="single" w:sz="4" w:space="0" w:color="auto"/>
              <w:right w:val="nil"/>
            </w:tcBorders>
            <w:noWrap/>
            <w:vAlign w:val="center"/>
            <w:hideMark/>
          </w:tcPr>
          <w:p w14:paraId="54FDD75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0.6072</w:t>
            </w:r>
          </w:p>
        </w:tc>
        <w:tc>
          <w:tcPr>
            <w:tcW w:w="0" w:type="auto"/>
            <w:tcBorders>
              <w:top w:val="nil"/>
              <w:left w:val="nil"/>
              <w:bottom w:val="single" w:sz="4" w:space="0" w:color="auto"/>
              <w:right w:val="nil"/>
            </w:tcBorders>
            <w:noWrap/>
            <w:vAlign w:val="center"/>
            <w:hideMark/>
          </w:tcPr>
          <w:p w14:paraId="293AEF6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0.1083</w:t>
            </w:r>
          </w:p>
        </w:tc>
        <w:tc>
          <w:tcPr>
            <w:tcW w:w="0" w:type="auto"/>
            <w:tcBorders>
              <w:top w:val="nil"/>
              <w:left w:val="nil"/>
              <w:bottom w:val="single" w:sz="4" w:space="0" w:color="auto"/>
              <w:right w:val="nil"/>
            </w:tcBorders>
            <w:noWrap/>
            <w:vAlign w:val="center"/>
            <w:hideMark/>
          </w:tcPr>
          <w:p w14:paraId="54FE671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0.3762</w:t>
            </w:r>
          </w:p>
        </w:tc>
        <w:tc>
          <w:tcPr>
            <w:tcW w:w="0" w:type="auto"/>
            <w:tcBorders>
              <w:top w:val="nil"/>
              <w:left w:val="nil"/>
              <w:bottom w:val="single" w:sz="4" w:space="0" w:color="auto"/>
              <w:right w:val="nil"/>
            </w:tcBorders>
            <w:noWrap/>
            <w:vAlign w:val="center"/>
            <w:hideMark/>
          </w:tcPr>
          <w:p w14:paraId="3EC55A5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309" w:type="dxa"/>
            <w:tcBorders>
              <w:top w:val="nil"/>
              <w:left w:val="nil"/>
              <w:bottom w:val="single" w:sz="4" w:space="0" w:color="auto"/>
              <w:right w:val="nil"/>
            </w:tcBorders>
            <w:noWrap/>
            <w:vAlign w:val="center"/>
            <w:hideMark/>
          </w:tcPr>
          <w:p w14:paraId="34284B1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48DF4238" w14:textId="77777777" w:rsidTr="00DF5B90">
        <w:trPr>
          <w:trHeight w:val="300"/>
          <w:jc w:val="center"/>
        </w:trPr>
        <w:tc>
          <w:tcPr>
            <w:tcW w:w="0" w:type="auto"/>
            <w:vMerge w:val="restart"/>
            <w:tcBorders>
              <w:top w:val="single" w:sz="4" w:space="0" w:color="auto"/>
              <w:left w:val="nil"/>
              <w:bottom w:val="single" w:sz="4" w:space="0" w:color="auto"/>
              <w:right w:val="nil"/>
            </w:tcBorders>
            <w:noWrap/>
            <w:vAlign w:val="center"/>
            <w:hideMark/>
          </w:tcPr>
          <w:p w14:paraId="6706B459"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KLSE</w:t>
            </w:r>
          </w:p>
        </w:tc>
        <w:tc>
          <w:tcPr>
            <w:tcW w:w="0" w:type="auto"/>
            <w:tcBorders>
              <w:top w:val="single" w:sz="4" w:space="0" w:color="auto"/>
              <w:left w:val="nil"/>
              <w:bottom w:val="nil"/>
              <w:right w:val="nil"/>
            </w:tcBorders>
            <w:noWrap/>
            <w:vAlign w:val="center"/>
            <w:hideMark/>
          </w:tcPr>
          <w:p w14:paraId="0741A256"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7BFD753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0.0026</w:t>
            </w:r>
          </w:p>
        </w:tc>
        <w:tc>
          <w:tcPr>
            <w:tcW w:w="0" w:type="auto"/>
            <w:tcBorders>
              <w:top w:val="single" w:sz="4" w:space="0" w:color="auto"/>
              <w:left w:val="nil"/>
              <w:bottom w:val="nil"/>
              <w:right w:val="nil"/>
            </w:tcBorders>
            <w:noWrap/>
            <w:vAlign w:val="center"/>
            <w:hideMark/>
          </w:tcPr>
          <w:p w14:paraId="45868CC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-0.0016</w:t>
            </w:r>
          </w:p>
        </w:tc>
        <w:tc>
          <w:tcPr>
            <w:tcW w:w="0" w:type="auto"/>
            <w:tcBorders>
              <w:top w:val="single" w:sz="4" w:space="0" w:color="auto"/>
              <w:left w:val="nil"/>
              <w:bottom w:val="nil"/>
              <w:right w:val="nil"/>
            </w:tcBorders>
            <w:noWrap/>
            <w:vAlign w:val="center"/>
            <w:hideMark/>
          </w:tcPr>
          <w:p w14:paraId="55D2B6E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single" w:sz="4" w:space="0" w:color="auto"/>
              <w:left w:val="nil"/>
              <w:bottom w:val="nil"/>
              <w:right w:val="nil"/>
            </w:tcBorders>
            <w:noWrap/>
            <w:vAlign w:val="center"/>
            <w:hideMark/>
          </w:tcPr>
          <w:p w14:paraId="0FC0BB1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-0.0601</w:t>
            </w:r>
          </w:p>
        </w:tc>
        <w:tc>
          <w:tcPr>
            <w:tcW w:w="0" w:type="auto"/>
            <w:tcBorders>
              <w:top w:val="single" w:sz="4" w:space="0" w:color="auto"/>
              <w:left w:val="nil"/>
              <w:bottom w:val="nil"/>
              <w:right w:val="nil"/>
            </w:tcBorders>
            <w:noWrap/>
            <w:vAlign w:val="center"/>
            <w:hideMark/>
          </w:tcPr>
          <w:p w14:paraId="6FD6AAD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0.8182</w:t>
            </w:r>
          </w:p>
        </w:tc>
        <w:tc>
          <w:tcPr>
            <w:tcW w:w="1309" w:type="dxa"/>
            <w:tcBorders>
              <w:top w:val="single" w:sz="4" w:space="0" w:color="auto"/>
              <w:left w:val="nil"/>
              <w:bottom w:val="nil"/>
              <w:right w:val="nil"/>
            </w:tcBorders>
            <w:vAlign w:val="center"/>
            <w:hideMark/>
          </w:tcPr>
          <w:p w14:paraId="1964BE2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1.3987</w:t>
            </w:r>
          </w:p>
        </w:tc>
      </w:tr>
      <w:tr w:rsidR="00DF5B90" w:rsidRPr="00DF5B90" w14:paraId="427EC24F"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37FC41B3"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63714452"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0B56E4E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2.7523</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1F97D64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-1.8248</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1F03EDE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1.9044</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74CBADA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-1.1124</w:t>
            </w:r>
          </w:p>
        </w:tc>
        <w:tc>
          <w:tcPr>
            <w:tcW w:w="0" w:type="auto"/>
            <w:noWrap/>
            <w:vAlign w:val="center"/>
            <w:hideMark/>
          </w:tcPr>
          <w:p w14:paraId="44D1087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7.2050</w:t>
            </w:r>
            <w:r w:rsidRPr="00DF5B90">
              <w:rPr>
                <w:rFonts w:asciiTheme="minorHAnsi" w:eastAsia="Times New Roman" w:hAnsiTheme="minorHAnsi" w:cstheme="minorHAnsi"/>
                <w:color w:val="000000"/>
                <w:vertAlign w:val="superscript"/>
                <w:lang w:val="id-ID"/>
              </w:rPr>
              <w:t>***</w:t>
            </w:r>
          </w:p>
        </w:tc>
        <w:tc>
          <w:tcPr>
            <w:tcW w:w="1309" w:type="dxa"/>
            <w:noWrap/>
            <w:vAlign w:val="center"/>
            <w:hideMark/>
          </w:tcPr>
          <w:p w14:paraId="223E137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3.9223</w:t>
            </w:r>
            <w:r w:rsidRPr="00DF5B90">
              <w:rPr>
                <w:rFonts w:asciiTheme="minorHAnsi" w:eastAsia="Times New Roman" w:hAnsiTheme="minorHAnsi" w:cstheme="minorHAnsi"/>
                <w:color w:val="000000"/>
                <w:vertAlign w:val="superscript"/>
                <w:lang w:val="id-ID"/>
              </w:rPr>
              <w:t>***</w:t>
            </w:r>
          </w:p>
        </w:tc>
      </w:tr>
      <w:tr w:rsidR="00DF5B90" w:rsidRPr="00DF5B90" w14:paraId="7E2ED06E"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13F11C01"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23CC1AE5"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6830966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0.0059</w:t>
            </w:r>
          </w:p>
        </w:tc>
        <w:tc>
          <w:tcPr>
            <w:tcW w:w="0" w:type="auto"/>
            <w:tcBorders>
              <w:top w:val="nil"/>
              <w:left w:val="nil"/>
              <w:bottom w:val="single" w:sz="4" w:space="0" w:color="auto"/>
              <w:right w:val="nil"/>
            </w:tcBorders>
            <w:noWrap/>
            <w:vAlign w:val="center"/>
            <w:hideMark/>
          </w:tcPr>
          <w:p w14:paraId="2B0818F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0.0680</w:t>
            </w:r>
          </w:p>
        </w:tc>
        <w:tc>
          <w:tcPr>
            <w:tcW w:w="0" w:type="auto"/>
            <w:tcBorders>
              <w:top w:val="nil"/>
              <w:left w:val="nil"/>
              <w:bottom w:val="single" w:sz="4" w:space="0" w:color="auto"/>
              <w:right w:val="nil"/>
            </w:tcBorders>
            <w:noWrap/>
            <w:vAlign w:val="center"/>
            <w:hideMark/>
          </w:tcPr>
          <w:p w14:paraId="70B259C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0.0569</w:t>
            </w:r>
          </w:p>
        </w:tc>
        <w:tc>
          <w:tcPr>
            <w:tcW w:w="0" w:type="auto"/>
            <w:tcBorders>
              <w:top w:val="nil"/>
              <w:left w:val="nil"/>
              <w:bottom w:val="single" w:sz="4" w:space="0" w:color="auto"/>
              <w:right w:val="nil"/>
            </w:tcBorders>
            <w:noWrap/>
            <w:vAlign w:val="center"/>
            <w:hideMark/>
          </w:tcPr>
          <w:p w14:paraId="052AFAE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0.2660</w:t>
            </w:r>
          </w:p>
        </w:tc>
        <w:tc>
          <w:tcPr>
            <w:tcW w:w="0" w:type="auto"/>
            <w:tcBorders>
              <w:top w:val="nil"/>
              <w:left w:val="nil"/>
              <w:bottom w:val="single" w:sz="4" w:space="0" w:color="auto"/>
              <w:right w:val="nil"/>
            </w:tcBorders>
            <w:noWrap/>
            <w:vAlign w:val="center"/>
            <w:hideMark/>
          </w:tcPr>
          <w:p w14:paraId="5CE8B1C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309" w:type="dxa"/>
            <w:tcBorders>
              <w:top w:val="nil"/>
              <w:left w:val="nil"/>
              <w:bottom w:val="single" w:sz="4" w:space="0" w:color="auto"/>
              <w:right w:val="nil"/>
            </w:tcBorders>
            <w:noWrap/>
            <w:vAlign w:val="center"/>
            <w:hideMark/>
          </w:tcPr>
          <w:p w14:paraId="65F835A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0.0001</w:t>
            </w:r>
          </w:p>
        </w:tc>
      </w:tr>
      <w:tr w:rsidR="00DF5B90" w:rsidRPr="00DF5B90" w14:paraId="3C1EA6C2" w14:textId="77777777" w:rsidTr="00DF5B90">
        <w:trPr>
          <w:trHeight w:val="300"/>
          <w:jc w:val="center"/>
        </w:trPr>
        <w:tc>
          <w:tcPr>
            <w:tcW w:w="0" w:type="auto"/>
            <w:vMerge w:val="restart"/>
            <w:tcBorders>
              <w:top w:val="single" w:sz="4" w:space="0" w:color="auto"/>
              <w:left w:val="nil"/>
              <w:bottom w:val="single" w:sz="4" w:space="0" w:color="auto"/>
              <w:right w:val="nil"/>
            </w:tcBorders>
            <w:noWrap/>
            <w:vAlign w:val="center"/>
            <w:hideMark/>
          </w:tcPr>
          <w:p w14:paraId="64FF15D4"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PSEi</w:t>
            </w:r>
          </w:p>
        </w:tc>
        <w:tc>
          <w:tcPr>
            <w:tcW w:w="0" w:type="auto"/>
            <w:tcBorders>
              <w:top w:val="single" w:sz="4" w:space="0" w:color="auto"/>
              <w:left w:val="nil"/>
              <w:bottom w:val="nil"/>
              <w:right w:val="nil"/>
            </w:tcBorders>
            <w:noWrap/>
            <w:vAlign w:val="center"/>
            <w:hideMark/>
          </w:tcPr>
          <w:p w14:paraId="28F54840"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64E177B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0.0021</w:t>
            </w:r>
          </w:p>
        </w:tc>
        <w:tc>
          <w:tcPr>
            <w:tcW w:w="0" w:type="auto"/>
            <w:tcBorders>
              <w:top w:val="single" w:sz="4" w:space="0" w:color="auto"/>
              <w:left w:val="nil"/>
              <w:bottom w:val="nil"/>
              <w:right w:val="nil"/>
            </w:tcBorders>
            <w:noWrap/>
            <w:vAlign w:val="center"/>
            <w:hideMark/>
          </w:tcPr>
          <w:p w14:paraId="38BBB29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0.0006</w:t>
            </w:r>
          </w:p>
        </w:tc>
        <w:tc>
          <w:tcPr>
            <w:tcW w:w="0" w:type="auto"/>
            <w:tcBorders>
              <w:top w:val="single" w:sz="4" w:space="0" w:color="auto"/>
              <w:left w:val="nil"/>
              <w:bottom w:val="nil"/>
              <w:right w:val="nil"/>
            </w:tcBorders>
            <w:noWrap/>
            <w:vAlign w:val="center"/>
            <w:hideMark/>
          </w:tcPr>
          <w:p w14:paraId="13BEA99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single" w:sz="4" w:space="0" w:color="auto"/>
              <w:left w:val="nil"/>
              <w:bottom w:val="nil"/>
              <w:right w:val="nil"/>
            </w:tcBorders>
            <w:noWrap/>
            <w:vAlign w:val="center"/>
            <w:hideMark/>
          </w:tcPr>
          <w:p w14:paraId="147CC6D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-0.0376</w:t>
            </w:r>
          </w:p>
        </w:tc>
        <w:tc>
          <w:tcPr>
            <w:tcW w:w="0" w:type="auto"/>
            <w:tcBorders>
              <w:top w:val="single" w:sz="4" w:space="0" w:color="auto"/>
              <w:left w:val="nil"/>
              <w:bottom w:val="nil"/>
              <w:right w:val="nil"/>
            </w:tcBorders>
            <w:noWrap/>
            <w:vAlign w:val="center"/>
            <w:hideMark/>
          </w:tcPr>
          <w:p w14:paraId="11E42C4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0.8211</w:t>
            </w:r>
          </w:p>
        </w:tc>
        <w:tc>
          <w:tcPr>
            <w:tcW w:w="1309" w:type="dxa"/>
            <w:tcBorders>
              <w:top w:val="single" w:sz="4" w:space="0" w:color="auto"/>
              <w:left w:val="nil"/>
              <w:bottom w:val="nil"/>
              <w:right w:val="nil"/>
            </w:tcBorders>
            <w:vAlign w:val="center"/>
            <w:hideMark/>
          </w:tcPr>
          <w:p w14:paraId="798345E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1.3126</w:t>
            </w:r>
          </w:p>
        </w:tc>
      </w:tr>
      <w:tr w:rsidR="00DF5B90" w:rsidRPr="00DF5B90" w14:paraId="53F88E5A"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7EF03E82"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619AFFDB"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12564D8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2.1864</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13E7F24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0.4683</w:t>
            </w:r>
          </w:p>
        </w:tc>
        <w:tc>
          <w:tcPr>
            <w:tcW w:w="0" w:type="auto"/>
            <w:noWrap/>
            <w:vAlign w:val="center"/>
            <w:hideMark/>
          </w:tcPr>
          <w:p w14:paraId="4446724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1.5910</w:t>
            </w:r>
          </w:p>
        </w:tc>
        <w:tc>
          <w:tcPr>
            <w:tcW w:w="0" w:type="auto"/>
            <w:noWrap/>
            <w:vAlign w:val="center"/>
            <w:hideMark/>
          </w:tcPr>
          <w:p w14:paraId="5D9AB12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-0.8280</w:t>
            </w:r>
          </w:p>
        </w:tc>
        <w:tc>
          <w:tcPr>
            <w:tcW w:w="0" w:type="auto"/>
            <w:noWrap/>
            <w:vAlign w:val="center"/>
            <w:hideMark/>
          </w:tcPr>
          <w:p w14:paraId="128B418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7.1734</w:t>
            </w:r>
            <w:r w:rsidRPr="00DF5B90">
              <w:rPr>
                <w:rFonts w:asciiTheme="minorHAnsi" w:eastAsia="Times New Roman" w:hAnsiTheme="minorHAnsi" w:cstheme="minorHAnsi"/>
                <w:color w:val="000000"/>
                <w:vertAlign w:val="superscript"/>
                <w:lang w:val="id-ID"/>
              </w:rPr>
              <w:t>***</w:t>
            </w:r>
          </w:p>
        </w:tc>
        <w:tc>
          <w:tcPr>
            <w:tcW w:w="1309" w:type="dxa"/>
            <w:noWrap/>
            <w:vAlign w:val="center"/>
            <w:hideMark/>
          </w:tcPr>
          <w:p w14:paraId="035E4E9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4.8833</w:t>
            </w:r>
            <w:r w:rsidRPr="00DF5B90">
              <w:rPr>
                <w:rFonts w:asciiTheme="minorHAnsi" w:eastAsia="Times New Roman" w:hAnsiTheme="minorHAnsi" w:cstheme="minorHAnsi"/>
                <w:color w:val="000000"/>
                <w:vertAlign w:val="superscript"/>
                <w:lang w:val="id-ID"/>
              </w:rPr>
              <w:t>***</w:t>
            </w:r>
          </w:p>
        </w:tc>
      </w:tr>
      <w:tr w:rsidR="00DF5B90" w:rsidRPr="00DF5B90" w14:paraId="41337D27"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0179FAB3"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3F935D00"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136396C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0.0288</w:t>
            </w:r>
          </w:p>
        </w:tc>
        <w:tc>
          <w:tcPr>
            <w:tcW w:w="0" w:type="auto"/>
            <w:tcBorders>
              <w:top w:val="nil"/>
              <w:left w:val="nil"/>
              <w:bottom w:val="single" w:sz="4" w:space="0" w:color="auto"/>
              <w:right w:val="nil"/>
            </w:tcBorders>
            <w:noWrap/>
            <w:vAlign w:val="center"/>
            <w:hideMark/>
          </w:tcPr>
          <w:p w14:paraId="6E9C240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0.6396</w:t>
            </w:r>
          </w:p>
        </w:tc>
        <w:tc>
          <w:tcPr>
            <w:tcW w:w="0" w:type="auto"/>
            <w:tcBorders>
              <w:top w:val="nil"/>
              <w:left w:val="nil"/>
              <w:bottom w:val="single" w:sz="4" w:space="0" w:color="auto"/>
              <w:right w:val="nil"/>
            </w:tcBorders>
            <w:noWrap/>
            <w:vAlign w:val="center"/>
            <w:hideMark/>
          </w:tcPr>
          <w:p w14:paraId="7720567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0.1116</w:t>
            </w:r>
          </w:p>
        </w:tc>
        <w:tc>
          <w:tcPr>
            <w:tcW w:w="0" w:type="auto"/>
            <w:tcBorders>
              <w:top w:val="nil"/>
              <w:left w:val="nil"/>
              <w:bottom w:val="single" w:sz="4" w:space="0" w:color="auto"/>
              <w:right w:val="nil"/>
            </w:tcBorders>
            <w:noWrap/>
            <w:vAlign w:val="center"/>
            <w:hideMark/>
          </w:tcPr>
          <w:p w14:paraId="2EA33A8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0.4077</w:t>
            </w:r>
          </w:p>
        </w:tc>
        <w:tc>
          <w:tcPr>
            <w:tcW w:w="0" w:type="auto"/>
            <w:tcBorders>
              <w:top w:val="nil"/>
              <w:left w:val="nil"/>
              <w:bottom w:val="single" w:sz="4" w:space="0" w:color="auto"/>
              <w:right w:val="nil"/>
            </w:tcBorders>
            <w:noWrap/>
            <w:vAlign w:val="center"/>
            <w:hideMark/>
          </w:tcPr>
          <w:p w14:paraId="47081DC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309" w:type="dxa"/>
            <w:tcBorders>
              <w:top w:val="nil"/>
              <w:left w:val="nil"/>
              <w:bottom w:val="single" w:sz="4" w:space="0" w:color="auto"/>
              <w:right w:val="nil"/>
            </w:tcBorders>
            <w:noWrap/>
            <w:vAlign w:val="center"/>
            <w:hideMark/>
          </w:tcPr>
          <w:p w14:paraId="1D6B875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015883AE" w14:textId="77777777" w:rsidTr="00DF5B90">
        <w:trPr>
          <w:trHeight w:val="300"/>
          <w:jc w:val="center"/>
        </w:trPr>
        <w:tc>
          <w:tcPr>
            <w:tcW w:w="0" w:type="auto"/>
            <w:vMerge w:val="restart"/>
            <w:tcBorders>
              <w:top w:val="single" w:sz="4" w:space="0" w:color="auto"/>
              <w:left w:val="nil"/>
              <w:bottom w:val="single" w:sz="4" w:space="0" w:color="000000"/>
              <w:right w:val="nil"/>
            </w:tcBorders>
            <w:noWrap/>
            <w:vAlign w:val="center"/>
            <w:hideMark/>
          </w:tcPr>
          <w:p w14:paraId="6F5520A0"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STI</w:t>
            </w:r>
          </w:p>
        </w:tc>
        <w:tc>
          <w:tcPr>
            <w:tcW w:w="0" w:type="auto"/>
            <w:tcBorders>
              <w:top w:val="single" w:sz="4" w:space="0" w:color="auto"/>
              <w:left w:val="nil"/>
              <w:bottom w:val="nil"/>
              <w:right w:val="nil"/>
            </w:tcBorders>
            <w:noWrap/>
            <w:vAlign w:val="center"/>
            <w:hideMark/>
          </w:tcPr>
          <w:p w14:paraId="2FD183B3"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13B6415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0.0022</w:t>
            </w:r>
          </w:p>
        </w:tc>
        <w:tc>
          <w:tcPr>
            <w:tcW w:w="0" w:type="auto"/>
            <w:tcBorders>
              <w:top w:val="single" w:sz="4" w:space="0" w:color="auto"/>
              <w:left w:val="nil"/>
              <w:bottom w:val="nil"/>
              <w:right w:val="nil"/>
            </w:tcBorders>
            <w:noWrap/>
            <w:vAlign w:val="center"/>
            <w:hideMark/>
          </w:tcPr>
          <w:p w14:paraId="51F4B1B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-0.0009</w:t>
            </w:r>
          </w:p>
        </w:tc>
        <w:tc>
          <w:tcPr>
            <w:tcW w:w="0" w:type="auto"/>
            <w:tcBorders>
              <w:top w:val="single" w:sz="4" w:space="0" w:color="auto"/>
              <w:left w:val="nil"/>
              <w:bottom w:val="nil"/>
              <w:right w:val="nil"/>
            </w:tcBorders>
            <w:noWrap/>
            <w:vAlign w:val="center"/>
            <w:hideMark/>
          </w:tcPr>
          <w:p w14:paraId="3352ABE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single" w:sz="4" w:space="0" w:color="auto"/>
              <w:left w:val="nil"/>
              <w:bottom w:val="nil"/>
              <w:right w:val="nil"/>
            </w:tcBorders>
            <w:noWrap/>
            <w:vAlign w:val="center"/>
            <w:hideMark/>
          </w:tcPr>
          <w:p w14:paraId="0599580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-0.0426</w:t>
            </w:r>
          </w:p>
        </w:tc>
        <w:tc>
          <w:tcPr>
            <w:tcW w:w="0" w:type="auto"/>
            <w:tcBorders>
              <w:top w:val="single" w:sz="4" w:space="0" w:color="auto"/>
              <w:left w:val="nil"/>
              <w:bottom w:val="nil"/>
              <w:right w:val="nil"/>
            </w:tcBorders>
            <w:noWrap/>
            <w:vAlign w:val="center"/>
            <w:hideMark/>
          </w:tcPr>
          <w:p w14:paraId="66D36E6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0.8099</w:t>
            </w:r>
          </w:p>
        </w:tc>
        <w:tc>
          <w:tcPr>
            <w:tcW w:w="1309" w:type="dxa"/>
            <w:tcBorders>
              <w:top w:val="single" w:sz="4" w:space="0" w:color="auto"/>
              <w:left w:val="nil"/>
              <w:bottom w:val="nil"/>
              <w:right w:val="nil"/>
            </w:tcBorders>
            <w:vAlign w:val="center"/>
            <w:hideMark/>
          </w:tcPr>
          <w:p w14:paraId="583EEEB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1.3275</w:t>
            </w:r>
          </w:p>
        </w:tc>
      </w:tr>
      <w:tr w:rsidR="00DF5B90" w:rsidRPr="00DF5B90" w14:paraId="3C1C2743" w14:textId="77777777" w:rsidTr="00DF5B90">
        <w:trPr>
          <w:trHeight w:val="300"/>
          <w:jc w:val="center"/>
        </w:trPr>
        <w:tc>
          <w:tcPr>
            <w:tcW w:w="0" w:type="auto"/>
            <w:vMerge/>
            <w:tcBorders>
              <w:top w:val="single" w:sz="4" w:space="0" w:color="auto"/>
              <w:left w:val="nil"/>
              <w:bottom w:val="single" w:sz="4" w:space="0" w:color="000000"/>
              <w:right w:val="nil"/>
            </w:tcBorders>
            <w:vAlign w:val="center"/>
            <w:hideMark/>
          </w:tcPr>
          <w:p w14:paraId="3BC0493B"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5AC63DEA"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02422B6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2.4355</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3F86D4E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-1.0303</w:t>
            </w:r>
          </w:p>
        </w:tc>
        <w:tc>
          <w:tcPr>
            <w:tcW w:w="0" w:type="auto"/>
            <w:noWrap/>
            <w:vAlign w:val="center"/>
            <w:hideMark/>
          </w:tcPr>
          <w:p w14:paraId="32A238E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1.7124</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146E9D8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-1.1005</w:t>
            </w:r>
          </w:p>
        </w:tc>
        <w:tc>
          <w:tcPr>
            <w:tcW w:w="0" w:type="auto"/>
            <w:noWrap/>
            <w:vAlign w:val="center"/>
            <w:hideMark/>
          </w:tcPr>
          <w:p w14:paraId="729D740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7.0392</w:t>
            </w:r>
            <w:r w:rsidRPr="00DF5B90">
              <w:rPr>
                <w:rFonts w:asciiTheme="minorHAnsi" w:eastAsia="Times New Roman" w:hAnsiTheme="minorHAnsi" w:cstheme="minorHAnsi"/>
                <w:color w:val="000000"/>
                <w:vertAlign w:val="superscript"/>
                <w:lang w:val="id-ID"/>
              </w:rPr>
              <w:t>***</w:t>
            </w:r>
          </w:p>
        </w:tc>
        <w:tc>
          <w:tcPr>
            <w:tcW w:w="1309" w:type="dxa"/>
            <w:noWrap/>
            <w:vAlign w:val="center"/>
            <w:hideMark/>
          </w:tcPr>
          <w:p w14:paraId="1D78BDF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5.0231</w:t>
            </w:r>
            <w:r w:rsidRPr="00DF5B90">
              <w:rPr>
                <w:rFonts w:asciiTheme="minorHAnsi" w:eastAsia="Times New Roman" w:hAnsiTheme="minorHAnsi" w:cstheme="minorHAnsi"/>
                <w:color w:val="000000"/>
                <w:vertAlign w:val="superscript"/>
                <w:lang w:val="id-ID"/>
              </w:rPr>
              <w:t>***</w:t>
            </w:r>
          </w:p>
        </w:tc>
      </w:tr>
      <w:tr w:rsidR="00DF5B90" w:rsidRPr="00DF5B90" w14:paraId="0398BD3F" w14:textId="77777777" w:rsidTr="00DF5B90">
        <w:trPr>
          <w:trHeight w:val="300"/>
          <w:jc w:val="center"/>
        </w:trPr>
        <w:tc>
          <w:tcPr>
            <w:tcW w:w="0" w:type="auto"/>
            <w:vMerge/>
            <w:tcBorders>
              <w:top w:val="single" w:sz="4" w:space="0" w:color="auto"/>
              <w:left w:val="nil"/>
              <w:bottom w:val="single" w:sz="4" w:space="0" w:color="000000"/>
              <w:right w:val="nil"/>
            </w:tcBorders>
            <w:vAlign w:val="center"/>
            <w:hideMark/>
          </w:tcPr>
          <w:p w14:paraId="1F1B0537"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6AA3DA95"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2B056A8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0.0149</w:t>
            </w:r>
          </w:p>
        </w:tc>
        <w:tc>
          <w:tcPr>
            <w:tcW w:w="0" w:type="auto"/>
            <w:tcBorders>
              <w:top w:val="nil"/>
              <w:left w:val="nil"/>
              <w:bottom w:val="single" w:sz="4" w:space="0" w:color="auto"/>
              <w:right w:val="nil"/>
            </w:tcBorders>
            <w:noWrap/>
            <w:vAlign w:val="center"/>
            <w:hideMark/>
          </w:tcPr>
          <w:p w14:paraId="09D4CC8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0.3029</w:t>
            </w:r>
          </w:p>
        </w:tc>
        <w:tc>
          <w:tcPr>
            <w:tcW w:w="0" w:type="auto"/>
            <w:tcBorders>
              <w:top w:val="nil"/>
              <w:left w:val="nil"/>
              <w:bottom w:val="single" w:sz="4" w:space="0" w:color="auto"/>
              <w:right w:val="nil"/>
            </w:tcBorders>
            <w:noWrap/>
            <w:vAlign w:val="center"/>
            <w:hideMark/>
          </w:tcPr>
          <w:p w14:paraId="43B7512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0.0868</w:t>
            </w:r>
          </w:p>
        </w:tc>
        <w:tc>
          <w:tcPr>
            <w:tcW w:w="0" w:type="auto"/>
            <w:tcBorders>
              <w:top w:val="nil"/>
              <w:left w:val="nil"/>
              <w:bottom w:val="single" w:sz="4" w:space="0" w:color="auto"/>
              <w:right w:val="nil"/>
            </w:tcBorders>
            <w:noWrap/>
            <w:vAlign w:val="center"/>
            <w:hideMark/>
          </w:tcPr>
          <w:p w14:paraId="6AB2080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0.2711</w:t>
            </w:r>
          </w:p>
        </w:tc>
        <w:tc>
          <w:tcPr>
            <w:tcW w:w="0" w:type="auto"/>
            <w:tcBorders>
              <w:top w:val="nil"/>
              <w:left w:val="nil"/>
              <w:bottom w:val="single" w:sz="4" w:space="0" w:color="auto"/>
              <w:right w:val="nil"/>
            </w:tcBorders>
            <w:noWrap/>
            <w:vAlign w:val="center"/>
            <w:hideMark/>
          </w:tcPr>
          <w:p w14:paraId="4AEB0F3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309" w:type="dxa"/>
            <w:tcBorders>
              <w:top w:val="nil"/>
              <w:left w:val="nil"/>
              <w:bottom w:val="single" w:sz="4" w:space="0" w:color="auto"/>
              <w:right w:val="nil"/>
            </w:tcBorders>
            <w:noWrap/>
            <w:vAlign w:val="center"/>
            <w:hideMark/>
          </w:tcPr>
          <w:p w14:paraId="36B2C76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677639C8" w14:textId="77777777" w:rsidTr="00DF5B90">
        <w:trPr>
          <w:trHeight w:val="300"/>
          <w:jc w:val="center"/>
        </w:trPr>
        <w:tc>
          <w:tcPr>
            <w:tcW w:w="0" w:type="auto"/>
            <w:vMerge w:val="restart"/>
            <w:noWrap/>
            <w:vAlign w:val="center"/>
            <w:hideMark/>
          </w:tcPr>
          <w:p w14:paraId="15A0D2E9"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SETI</w:t>
            </w:r>
          </w:p>
        </w:tc>
        <w:tc>
          <w:tcPr>
            <w:tcW w:w="0" w:type="auto"/>
            <w:noWrap/>
            <w:vAlign w:val="center"/>
            <w:hideMark/>
          </w:tcPr>
          <w:p w14:paraId="55C7F0E3"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noWrap/>
            <w:vAlign w:val="center"/>
            <w:hideMark/>
          </w:tcPr>
          <w:p w14:paraId="72710FC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0.0022</w:t>
            </w:r>
          </w:p>
        </w:tc>
        <w:tc>
          <w:tcPr>
            <w:tcW w:w="0" w:type="auto"/>
            <w:noWrap/>
            <w:vAlign w:val="center"/>
            <w:hideMark/>
          </w:tcPr>
          <w:p w14:paraId="7678156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0.0003</w:t>
            </w:r>
          </w:p>
        </w:tc>
        <w:tc>
          <w:tcPr>
            <w:tcW w:w="0" w:type="auto"/>
            <w:noWrap/>
            <w:vAlign w:val="center"/>
            <w:hideMark/>
          </w:tcPr>
          <w:p w14:paraId="77DAA41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noWrap/>
            <w:vAlign w:val="center"/>
            <w:hideMark/>
          </w:tcPr>
          <w:p w14:paraId="19D576F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-0.0406</w:t>
            </w:r>
          </w:p>
        </w:tc>
        <w:tc>
          <w:tcPr>
            <w:tcW w:w="0" w:type="auto"/>
            <w:noWrap/>
            <w:vAlign w:val="center"/>
            <w:hideMark/>
          </w:tcPr>
          <w:p w14:paraId="2D42E57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0.8208</w:t>
            </w:r>
          </w:p>
        </w:tc>
        <w:tc>
          <w:tcPr>
            <w:tcW w:w="1309" w:type="dxa"/>
            <w:vAlign w:val="center"/>
            <w:hideMark/>
          </w:tcPr>
          <w:p w14:paraId="7A6A9F8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1.3047</w:t>
            </w:r>
          </w:p>
        </w:tc>
      </w:tr>
      <w:tr w:rsidR="00DF5B90" w:rsidRPr="00DF5B90" w14:paraId="5D892F72" w14:textId="77777777" w:rsidTr="00DF5B90">
        <w:trPr>
          <w:trHeight w:val="300"/>
          <w:jc w:val="center"/>
        </w:trPr>
        <w:tc>
          <w:tcPr>
            <w:tcW w:w="0" w:type="auto"/>
            <w:vMerge/>
            <w:vAlign w:val="center"/>
            <w:hideMark/>
          </w:tcPr>
          <w:p w14:paraId="3D939BBA"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62CA01E4"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7AB7611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2.4070</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6813AFD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0.2819</w:t>
            </w:r>
          </w:p>
        </w:tc>
        <w:tc>
          <w:tcPr>
            <w:tcW w:w="0" w:type="auto"/>
            <w:noWrap/>
            <w:vAlign w:val="center"/>
            <w:hideMark/>
          </w:tcPr>
          <w:p w14:paraId="564D2C2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1.5499</w:t>
            </w:r>
          </w:p>
        </w:tc>
        <w:tc>
          <w:tcPr>
            <w:tcW w:w="0" w:type="auto"/>
            <w:noWrap/>
            <w:vAlign w:val="center"/>
            <w:hideMark/>
          </w:tcPr>
          <w:p w14:paraId="69A3FA0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-0.9059</w:t>
            </w:r>
          </w:p>
        </w:tc>
        <w:tc>
          <w:tcPr>
            <w:tcW w:w="0" w:type="auto"/>
            <w:noWrap/>
            <w:vAlign w:val="center"/>
            <w:hideMark/>
          </w:tcPr>
          <w:p w14:paraId="52BCF12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6.7167</w:t>
            </w:r>
            <w:r w:rsidRPr="00DF5B90">
              <w:rPr>
                <w:rFonts w:asciiTheme="minorHAnsi" w:eastAsia="Times New Roman" w:hAnsiTheme="minorHAnsi" w:cstheme="minorHAnsi"/>
                <w:color w:val="000000"/>
                <w:vertAlign w:val="superscript"/>
                <w:lang w:val="id-ID"/>
              </w:rPr>
              <w:t>***</w:t>
            </w:r>
          </w:p>
        </w:tc>
        <w:tc>
          <w:tcPr>
            <w:tcW w:w="1309" w:type="dxa"/>
            <w:noWrap/>
            <w:vAlign w:val="center"/>
            <w:hideMark/>
          </w:tcPr>
          <w:p w14:paraId="357B7D7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4.8742</w:t>
            </w:r>
            <w:r w:rsidRPr="00DF5B90">
              <w:rPr>
                <w:rFonts w:asciiTheme="minorHAnsi" w:eastAsia="Times New Roman" w:hAnsiTheme="minorHAnsi" w:cstheme="minorHAnsi"/>
                <w:color w:val="000000"/>
                <w:vertAlign w:val="superscript"/>
                <w:lang w:val="id-ID"/>
              </w:rPr>
              <w:t>***</w:t>
            </w:r>
          </w:p>
        </w:tc>
      </w:tr>
      <w:tr w:rsidR="00DF5B90" w:rsidRPr="00DF5B90" w14:paraId="0AE20A27" w14:textId="77777777" w:rsidTr="00DF5B90">
        <w:trPr>
          <w:trHeight w:val="300"/>
          <w:jc w:val="center"/>
        </w:trPr>
        <w:tc>
          <w:tcPr>
            <w:tcW w:w="0" w:type="auto"/>
            <w:vMerge/>
            <w:vAlign w:val="center"/>
            <w:hideMark/>
          </w:tcPr>
          <w:p w14:paraId="72EE13DC"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327CCAE5"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noWrap/>
            <w:vAlign w:val="center"/>
            <w:hideMark/>
          </w:tcPr>
          <w:p w14:paraId="7880834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0.0161</w:t>
            </w:r>
          </w:p>
        </w:tc>
        <w:tc>
          <w:tcPr>
            <w:tcW w:w="0" w:type="auto"/>
            <w:noWrap/>
            <w:vAlign w:val="center"/>
            <w:hideMark/>
          </w:tcPr>
          <w:p w14:paraId="75398E6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0.7780</w:t>
            </w:r>
          </w:p>
        </w:tc>
        <w:tc>
          <w:tcPr>
            <w:tcW w:w="0" w:type="auto"/>
            <w:noWrap/>
            <w:vAlign w:val="center"/>
            <w:hideMark/>
          </w:tcPr>
          <w:p w14:paraId="3C186A5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0.1212</w:t>
            </w:r>
          </w:p>
        </w:tc>
        <w:tc>
          <w:tcPr>
            <w:tcW w:w="0" w:type="auto"/>
            <w:noWrap/>
            <w:vAlign w:val="center"/>
            <w:hideMark/>
          </w:tcPr>
          <w:p w14:paraId="0FB5827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0.3650</w:t>
            </w:r>
          </w:p>
        </w:tc>
        <w:tc>
          <w:tcPr>
            <w:tcW w:w="0" w:type="auto"/>
            <w:noWrap/>
            <w:vAlign w:val="center"/>
            <w:hideMark/>
          </w:tcPr>
          <w:p w14:paraId="415B2C2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309" w:type="dxa"/>
            <w:noWrap/>
            <w:vAlign w:val="center"/>
            <w:hideMark/>
          </w:tcPr>
          <w:p w14:paraId="61B8D57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677CC3E8" w14:textId="77777777" w:rsidTr="00DF5B90">
        <w:trPr>
          <w:trHeight w:val="300"/>
          <w:jc w:val="center"/>
        </w:trPr>
        <w:tc>
          <w:tcPr>
            <w:tcW w:w="0" w:type="auto"/>
            <w:vMerge w:val="restart"/>
            <w:tcBorders>
              <w:top w:val="single" w:sz="4" w:space="0" w:color="auto"/>
              <w:left w:val="nil"/>
              <w:bottom w:val="single" w:sz="4" w:space="0" w:color="000000"/>
              <w:right w:val="nil"/>
            </w:tcBorders>
            <w:noWrap/>
            <w:vAlign w:val="center"/>
            <w:hideMark/>
          </w:tcPr>
          <w:p w14:paraId="1CAC3E6E"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VN 30</w:t>
            </w:r>
          </w:p>
        </w:tc>
        <w:tc>
          <w:tcPr>
            <w:tcW w:w="0" w:type="auto"/>
            <w:tcBorders>
              <w:top w:val="single" w:sz="4" w:space="0" w:color="auto"/>
              <w:left w:val="nil"/>
              <w:bottom w:val="nil"/>
              <w:right w:val="nil"/>
            </w:tcBorders>
            <w:noWrap/>
            <w:vAlign w:val="center"/>
            <w:hideMark/>
          </w:tcPr>
          <w:p w14:paraId="16E3C7A6"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3B6EDBE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0.0022</w:t>
            </w:r>
          </w:p>
        </w:tc>
        <w:tc>
          <w:tcPr>
            <w:tcW w:w="0" w:type="auto"/>
            <w:tcBorders>
              <w:top w:val="single" w:sz="4" w:space="0" w:color="auto"/>
              <w:left w:val="nil"/>
              <w:bottom w:val="nil"/>
              <w:right w:val="nil"/>
            </w:tcBorders>
            <w:noWrap/>
            <w:vAlign w:val="center"/>
            <w:hideMark/>
          </w:tcPr>
          <w:p w14:paraId="26F8353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-0.0004</w:t>
            </w:r>
          </w:p>
        </w:tc>
        <w:tc>
          <w:tcPr>
            <w:tcW w:w="0" w:type="auto"/>
            <w:tcBorders>
              <w:top w:val="single" w:sz="4" w:space="0" w:color="auto"/>
              <w:left w:val="nil"/>
              <w:bottom w:val="nil"/>
              <w:right w:val="nil"/>
            </w:tcBorders>
            <w:noWrap/>
            <w:vAlign w:val="center"/>
            <w:hideMark/>
          </w:tcPr>
          <w:p w14:paraId="1B1F681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single" w:sz="4" w:space="0" w:color="auto"/>
              <w:left w:val="nil"/>
              <w:bottom w:val="nil"/>
              <w:right w:val="nil"/>
            </w:tcBorders>
            <w:noWrap/>
            <w:vAlign w:val="center"/>
            <w:hideMark/>
          </w:tcPr>
          <w:p w14:paraId="1EE7EDC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-0.0400</w:t>
            </w:r>
          </w:p>
        </w:tc>
        <w:tc>
          <w:tcPr>
            <w:tcW w:w="0" w:type="auto"/>
            <w:tcBorders>
              <w:top w:val="single" w:sz="4" w:space="0" w:color="auto"/>
              <w:left w:val="nil"/>
              <w:bottom w:val="nil"/>
              <w:right w:val="nil"/>
            </w:tcBorders>
            <w:noWrap/>
            <w:vAlign w:val="center"/>
            <w:hideMark/>
          </w:tcPr>
          <w:p w14:paraId="429AAFF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0.8020</w:t>
            </w:r>
          </w:p>
        </w:tc>
        <w:tc>
          <w:tcPr>
            <w:tcW w:w="1309" w:type="dxa"/>
            <w:tcBorders>
              <w:top w:val="single" w:sz="4" w:space="0" w:color="auto"/>
              <w:left w:val="nil"/>
              <w:bottom w:val="nil"/>
              <w:right w:val="nil"/>
            </w:tcBorders>
            <w:vAlign w:val="center"/>
            <w:hideMark/>
          </w:tcPr>
          <w:p w14:paraId="435D25B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1.3209</w:t>
            </w:r>
          </w:p>
        </w:tc>
      </w:tr>
      <w:tr w:rsidR="00DF5B90" w:rsidRPr="00DF5B90" w14:paraId="6B20B795" w14:textId="77777777" w:rsidTr="00DF5B90">
        <w:trPr>
          <w:trHeight w:val="300"/>
          <w:jc w:val="center"/>
        </w:trPr>
        <w:tc>
          <w:tcPr>
            <w:tcW w:w="0" w:type="auto"/>
            <w:vMerge/>
            <w:tcBorders>
              <w:top w:val="single" w:sz="4" w:space="0" w:color="auto"/>
              <w:left w:val="nil"/>
              <w:bottom w:val="single" w:sz="4" w:space="0" w:color="000000"/>
              <w:right w:val="nil"/>
            </w:tcBorders>
            <w:vAlign w:val="center"/>
            <w:hideMark/>
          </w:tcPr>
          <w:p w14:paraId="387480BC"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687B83E3"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657F8244" w14:textId="77777777" w:rsidR="00DF5B90" w:rsidRPr="00DF5B90" w:rsidRDefault="00DF5B90" w:rsidP="00DF5B90">
            <w:pPr>
              <w:spacing w:after="0" w:line="240" w:lineRule="auto"/>
              <w:jc w:val="right"/>
              <w:rPr>
                <w:rFonts w:asciiTheme="minorHAnsi" w:eastAsia="Times New Roman" w:hAnsiTheme="minorHAnsi" w:cstheme="minorHAnsi"/>
                <w:color w:val="000000"/>
                <w:lang w:val="en-US"/>
              </w:rPr>
            </w:pPr>
            <w:r w:rsidRPr="00DF5B90">
              <w:rPr>
                <w:rFonts w:asciiTheme="minorHAnsi" w:eastAsia="Times New Roman" w:hAnsiTheme="minorHAnsi" w:cstheme="minorHAnsi"/>
                <w:color w:val="000000"/>
                <w:lang w:val="id-ID"/>
              </w:rPr>
              <w:t>2.3456</w:t>
            </w:r>
            <w:r w:rsidRPr="00DF5B90">
              <w:rPr>
                <w:rFonts w:asciiTheme="minorHAnsi" w:eastAsia="Times New Roman" w:hAnsiTheme="minorHAnsi" w:cstheme="minorHAnsi"/>
                <w:color w:val="000000"/>
                <w:vertAlign w:val="superscript"/>
              </w:rPr>
              <w:t>**</w:t>
            </w:r>
          </w:p>
        </w:tc>
        <w:tc>
          <w:tcPr>
            <w:tcW w:w="0" w:type="auto"/>
            <w:noWrap/>
            <w:vAlign w:val="center"/>
            <w:hideMark/>
          </w:tcPr>
          <w:p w14:paraId="67B54CA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-0.4746</w:t>
            </w:r>
          </w:p>
        </w:tc>
        <w:tc>
          <w:tcPr>
            <w:tcW w:w="0" w:type="auto"/>
            <w:noWrap/>
            <w:vAlign w:val="center"/>
            <w:hideMark/>
          </w:tcPr>
          <w:p w14:paraId="3149CC34" w14:textId="77777777" w:rsidR="00DF5B90" w:rsidRPr="00DF5B90" w:rsidRDefault="00DF5B90" w:rsidP="00DF5B90">
            <w:pPr>
              <w:spacing w:after="0" w:line="240" w:lineRule="auto"/>
              <w:jc w:val="right"/>
              <w:rPr>
                <w:rFonts w:asciiTheme="minorHAnsi" w:eastAsia="Times New Roman" w:hAnsiTheme="minorHAnsi" w:cstheme="minorHAnsi"/>
                <w:color w:val="000000"/>
                <w:lang w:val="en-US"/>
              </w:rPr>
            </w:pPr>
            <w:r w:rsidRPr="00DF5B90">
              <w:rPr>
                <w:rFonts w:asciiTheme="minorHAnsi" w:eastAsia="Times New Roman" w:hAnsiTheme="minorHAnsi" w:cstheme="minorHAnsi"/>
                <w:color w:val="000000"/>
                <w:lang w:val="id-ID"/>
              </w:rPr>
              <w:t>1.6772</w:t>
            </w:r>
            <w:r w:rsidRPr="00DF5B90">
              <w:rPr>
                <w:rFonts w:asciiTheme="minorHAnsi" w:eastAsia="Times New Roman" w:hAnsiTheme="minorHAnsi" w:cstheme="minorHAnsi"/>
                <w:color w:val="000000"/>
                <w:vertAlign w:val="superscript"/>
              </w:rPr>
              <w:t>*</w:t>
            </w:r>
          </w:p>
        </w:tc>
        <w:tc>
          <w:tcPr>
            <w:tcW w:w="0" w:type="auto"/>
            <w:noWrap/>
            <w:vAlign w:val="center"/>
            <w:hideMark/>
          </w:tcPr>
          <w:p w14:paraId="772BA93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-0.7987</w:t>
            </w:r>
          </w:p>
        </w:tc>
        <w:tc>
          <w:tcPr>
            <w:tcW w:w="0" w:type="auto"/>
            <w:noWrap/>
            <w:vAlign w:val="center"/>
            <w:hideMark/>
          </w:tcPr>
          <w:p w14:paraId="61070036" w14:textId="77777777" w:rsidR="00DF5B90" w:rsidRPr="00DF5B90" w:rsidRDefault="00DF5B90" w:rsidP="00DF5B90">
            <w:pPr>
              <w:spacing w:after="0" w:line="240" w:lineRule="auto"/>
              <w:jc w:val="right"/>
              <w:rPr>
                <w:rFonts w:asciiTheme="minorHAnsi" w:eastAsia="Times New Roman" w:hAnsiTheme="minorHAnsi" w:cstheme="minorHAnsi"/>
                <w:color w:val="000000"/>
                <w:lang w:val="en-US"/>
              </w:rPr>
            </w:pPr>
            <w:r w:rsidRPr="00DF5B90">
              <w:rPr>
                <w:rFonts w:asciiTheme="minorHAnsi" w:eastAsia="Times New Roman" w:hAnsiTheme="minorHAnsi" w:cstheme="minorHAnsi"/>
                <w:color w:val="000000"/>
                <w:lang w:val="id-ID"/>
              </w:rPr>
              <w:t>6.4939</w:t>
            </w:r>
            <w:r w:rsidRPr="00DF5B90">
              <w:rPr>
                <w:rFonts w:asciiTheme="minorHAnsi" w:eastAsia="Times New Roman" w:hAnsiTheme="minorHAnsi" w:cstheme="minorHAnsi"/>
                <w:color w:val="000000"/>
                <w:vertAlign w:val="superscript"/>
              </w:rPr>
              <w:t>***</w:t>
            </w:r>
          </w:p>
        </w:tc>
        <w:tc>
          <w:tcPr>
            <w:tcW w:w="1309" w:type="dxa"/>
            <w:noWrap/>
            <w:vAlign w:val="center"/>
            <w:hideMark/>
          </w:tcPr>
          <w:p w14:paraId="64A00D07" w14:textId="77777777" w:rsidR="00DF5B90" w:rsidRPr="00DF5B90" w:rsidRDefault="00DF5B90" w:rsidP="00DF5B90">
            <w:pPr>
              <w:spacing w:after="0" w:line="240" w:lineRule="auto"/>
              <w:jc w:val="right"/>
              <w:rPr>
                <w:rFonts w:asciiTheme="minorHAnsi" w:eastAsia="Times New Roman" w:hAnsiTheme="minorHAnsi" w:cstheme="minorHAnsi"/>
                <w:color w:val="000000"/>
              </w:rPr>
            </w:pPr>
            <w:r w:rsidRPr="00DF5B90">
              <w:rPr>
                <w:rFonts w:asciiTheme="minorHAnsi" w:eastAsia="Times New Roman" w:hAnsiTheme="minorHAnsi" w:cstheme="minorHAnsi"/>
                <w:color w:val="000000"/>
                <w:lang w:val="id-ID"/>
              </w:rPr>
              <w:t>4.8151</w:t>
            </w:r>
            <w:r w:rsidRPr="00DF5B90">
              <w:rPr>
                <w:rFonts w:asciiTheme="minorHAnsi" w:eastAsia="Times New Roman" w:hAnsiTheme="minorHAnsi" w:cstheme="minorHAnsi"/>
                <w:color w:val="000000"/>
                <w:vertAlign w:val="superscript"/>
              </w:rPr>
              <w:t>***</w:t>
            </w:r>
          </w:p>
        </w:tc>
      </w:tr>
      <w:tr w:rsidR="00DF5B90" w:rsidRPr="00DF5B90" w14:paraId="19C70203" w14:textId="77777777" w:rsidTr="00DF5B90">
        <w:trPr>
          <w:trHeight w:val="300"/>
          <w:jc w:val="center"/>
        </w:trPr>
        <w:tc>
          <w:tcPr>
            <w:tcW w:w="0" w:type="auto"/>
            <w:vMerge/>
            <w:tcBorders>
              <w:top w:val="single" w:sz="4" w:space="0" w:color="auto"/>
              <w:left w:val="nil"/>
              <w:bottom w:val="single" w:sz="4" w:space="0" w:color="000000"/>
              <w:right w:val="nil"/>
            </w:tcBorders>
            <w:vAlign w:val="center"/>
            <w:hideMark/>
          </w:tcPr>
          <w:p w14:paraId="612FBA80"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7F12A593"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0966F9E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0.0190</w:t>
            </w:r>
          </w:p>
        </w:tc>
        <w:tc>
          <w:tcPr>
            <w:tcW w:w="0" w:type="auto"/>
            <w:tcBorders>
              <w:top w:val="nil"/>
              <w:left w:val="nil"/>
              <w:bottom w:val="single" w:sz="4" w:space="0" w:color="auto"/>
              <w:right w:val="nil"/>
            </w:tcBorders>
            <w:noWrap/>
            <w:vAlign w:val="center"/>
            <w:hideMark/>
          </w:tcPr>
          <w:p w14:paraId="4E8D01C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0.6351</w:t>
            </w:r>
          </w:p>
        </w:tc>
        <w:tc>
          <w:tcPr>
            <w:tcW w:w="0" w:type="auto"/>
            <w:tcBorders>
              <w:top w:val="nil"/>
              <w:left w:val="nil"/>
              <w:bottom w:val="single" w:sz="4" w:space="0" w:color="auto"/>
              <w:right w:val="nil"/>
            </w:tcBorders>
            <w:noWrap/>
            <w:vAlign w:val="center"/>
            <w:hideMark/>
          </w:tcPr>
          <w:p w14:paraId="128A35B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0.0935</w:t>
            </w:r>
          </w:p>
        </w:tc>
        <w:tc>
          <w:tcPr>
            <w:tcW w:w="0" w:type="auto"/>
            <w:tcBorders>
              <w:top w:val="nil"/>
              <w:left w:val="nil"/>
              <w:bottom w:val="single" w:sz="4" w:space="0" w:color="auto"/>
              <w:right w:val="nil"/>
            </w:tcBorders>
            <w:noWrap/>
            <w:vAlign w:val="center"/>
            <w:hideMark/>
          </w:tcPr>
          <w:p w14:paraId="5B3B821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0.4245</w:t>
            </w:r>
          </w:p>
        </w:tc>
        <w:tc>
          <w:tcPr>
            <w:tcW w:w="0" w:type="auto"/>
            <w:tcBorders>
              <w:top w:val="nil"/>
              <w:left w:val="nil"/>
              <w:bottom w:val="single" w:sz="4" w:space="0" w:color="auto"/>
              <w:right w:val="nil"/>
            </w:tcBorders>
            <w:noWrap/>
            <w:vAlign w:val="center"/>
            <w:hideMark/>
          </w:tcPr>
          <w:p w14:paraId="14F9EF8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309" w:type="dxa"/>
            <w:tcBorders>
              <w:top w:val="nil"/>
              <w:left w:val="nil"/>
              <w:bottom w:val="single" w:sz="4" w:space="0" w:color="auto"/>
              <w:right w:val="nil"/>
            </w:tcBorders>
            <w:noWrap/>
            <w:vAlign w:val="center"/>
            <w:hideMark/>
          </w:tcPr>
          <w:p w14:paraId="536661E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42889059" w14:textId="77777777" w:rsidTr="00DF5B90">
        <w:trPr>
          <w:trHeight w:val="300"/>
          <w:jc w:val="center"/>
        </w:trPr>
        <w:tc>
          <w:tcPr>
            <w:tcW w:w="0" w:type="auto"/>
            <w:vMerge w:val="restart"/>
            <w:noWrap/>
            <w:vAlign w:val="center"/>
            <w:hideMark/>
          </w:tcPr>
          <w:p w14:paraId="02A4E2D1"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LSX</w:t>
            </w:r>
          </w:p>
        </w:tc>
        <w:tc>
          <w:tcPr>
            <w:tcW w:w="0" w:type="auto"/>
            <w:noWrap/>
            <w:vAlign w:val="center"/>
            <w:hideMark/>
          </w:tcPr>
          <w:p w14:paraId="0A9E2879"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noWrap/>
            <w:vAlign w:val="center"/>
            <w:hideMark/>
          </w:tcPr>
          <w:p w14:paraId="7083547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0.0023</w:t>
            </w:r>
          </w:p>
        </w:tc>
        <w:tc>
          <w:tcPr>
            <w:tcW w:w="0" w:type="auto"/>
            <w:noWrap/>
            <w:vAlign w:val="center"/>
            <w:hideMark/>
          </w:tcPr>
          <w:p w14:paraId="794B638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-0.0011</w:t>
            </w:r>
          </w:p>
        </w:tc>
        <w:tc>
          <w:tcPr>
            <w:tcW w:w="0" w:type="auto"/>
            <w:noWrap/>
            <w:vAlign w:val="center"/>
            <w:hideMark/>
          </w:tcPr>
          <w:p w14:paraId="5C35558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noWrap/>
            <w:vAlign w:val="center"/>
            <w:hideMark/>
          </w:tcPr>
          <w:p w14:paraId="051E29A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-0.0436</w:t>
            </w:r>
          </w:p>
        </w:tc>
        <w:tc>
          <w:tcPr>
            <w:tcW w:w="0" w:type="auto"/>
            <w:noWrap/>
            <w:vAlign w:val="center"/>
            <w:hideMark/>
          </w:tcPr>
          <w:p w14:paraId="712FD15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0.8293</w:t>
            </w:r>
          </w:p>
        </w:tc>
        <w:tc>
          <w:tcPr>
            <w:tcW w:w="1309" w:type="dxa"/>
            <w:vAlign w:val="center"/>
            <w:hideMark/>
          </w:tcPr>
          <w:p w14:paraId="527DE35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1.3463</w:t>
            </w:r>
          </w:p>
        </w:tc>
      </w:tr>
      <w:tr w:rsidR="00DF5B90" w:rsidRPr="00DF5B90" w14:paraId="67B531FD" w14:textId="77777777" w:rsidTr="00DF5B90">
        <w:trPr>
          <w:trHeight w:val="300"/>
          <w:jc w:val="center"/>
        </w:trPr>
        <w:tc>
          <w:tcPr>
            <w:tcW w:w="0" w:type="auto"/>
            <w:vMerge/>
            <w:vAlign w:val="center"/>
            <w:hideMark/>
          </w:tcPr>
          <w:p w14:paraId="0C168233"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568D862A"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0E60D67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2.4345</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341091E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-1.0000</w:t>
            </w:r>
          </w:p>
        </w:tc>
        <w:tc>
          <w:tcPr>
            <w:tcW w:w="0" w:type="auto"/>
            <w:noWrap/>
            <w:vAlign w:val="center"/>
            <w:hideMark/>
          </w:tcPr>
          <w:p w14:paraId="7ABB5D9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1.6478</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0101FC3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-0.9882</w:t>
            </w:r>
          </w:p>
        </w:tc>
        <w:tc>
          <w:tcPr>
            <w:tcW w:w="0" w:type="auto"/>
            <w:noWrap/>
            <w:vAlign w:val="center"/>
            <w:hideMark/>
          </w:tcPr>
          <w:p w14:paraId="443590C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7.5870</w:t>
            </w:r>
            <w:r w:rsidRPr="00DF5B90">
              <w:rPr>
                <w:rFonts w:asciiTheme="minorHAnsi" w:eastAsia="Times New Roman" w:hAnsiTheme="minorHAnsi" w:cstheme="minorHAnsi"/>
                <w:color w:val="000000"/>
                <w:vertAlign w:val="superscript"/>
                <w:lang w:val="id-ID"/>
              </w:rPr>
              <w:t>***</w:t>
            </w:r>
          </w:p>
        </w:tc>
        <w:tc>
          <w:tcPr>
            <w:tcW w:w="1309" w:type="dxa"/>
            <w:noWrap/>
            <w:vAlign w:val="center"/>
            <w:hideMark/>
          </w:tcPr>
          <w:p w14:paraId="560061C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4.5709</w:t>
            </w:r>
            <w:r w:rsidRPr="00DF5B90">
              <w:rPr>
                <w:rFonts w:asciiTheme="minorHAnsi" w:eastAsia="Times New Roman" w:hAnsiTheme="minorHAnsi" w:cstheme="minorHAnsi"/>
                <w:color w:val="000000"/>
                <w:vertAlign w:val="superscript"/>
                <w:lang w:val="id-ID"/>
              </w:rPr>
              <w:t>***</w:t>
            </w:r>
          </w:p>
        </w:tc>
      </w:tr>
      <w:tr w:rsidR="00DF5B90" w:rsidRPr="00DF5B90" w14:paraId="5AB1FCDA" w14:textId="77777777" w:rsidTr="00DF5B90">
        <w:trPr>
          <w:trHeight w:val="300"/>
          <w:jc w:val="center"/>
        </w:trPr>
        <w:tc>
          <w:tcPr>
            <w:tcW w:w="0" w:type="auto"/>
            <w:vMerge/>
            <w:vAlign w:val="center"/>
            <w:hideMark/>
          </w:tcPr>
          <w:p w14:paraId="2D4BB76A"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4CC824B0"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noWrap/>
            <w:vAlign w:val="center"/>
            <w:hideMark/>
          </w:tcPr>
          <w:p w14:paraId="3534633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0.0149</w:t>
            </w:r>
          </w:p>
        </w:tc>
        <w:tc>
          <w:tcPr>
            <w:tcW w:w="0" w:type="auto"/>
            <w:noWrap/>
            <w:vAlign w:val="center"/>
            <w:hideMark/>
          </w:tcPr>
          <w:p w14:paraId="35CEB7F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0.3173</w:t>
            </w:r>
          </w:p>
        </w:tc>
        <w:tc>
          <w:tcPr>
            <w:tcW w:w="0" w:type="auto"/>
            <w:noWrap/>
            <w:vAlign w:val="center"/>
            <w:hideMark/>
          </w:tcPr>
          <w:p w14:paraId="5674D5D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0.0994</w:t>
            </w:r>
          </w:p>
        </w:tc>
        <w:tc>
          <w:tcPr>
            <w:tcW w:w="0" w:type="auto"/>
            <w:noWrap/>
            <w:vAlign w:val="center"/>
            <w:hideMark/>
          </w:tcPr>
          <w:p w14:paraId="5B3CD27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0.3231</w:t>
            </w:r>
          </w:p>
        </w:tc>
        <w:tc>
          <w:tcPr>
            <w:tcW w:w="0" w:type="auto"/>
            <w:noWrap/>
            <w:vAlign w:val="center"/>
            <w:hideMark/>
          </w:tcPr>
          <w:p w14:paraId="47637AB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309" w:type="dxa"/>
            <w:noWrap/>
            <w:vAlign w:val="center"/>
            <w:hideMark/>
          </w:tcPr>
          <w:p w14:paraId="4E66D97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609CCFFB" w14:textId="77777777" w:rsidTr="00DF5B90">
        <w:trPr>
          <w:trHeight w:val="300"/>
          <w:jc w:val="center"/>
        </w:trPr>
        <w:tc>
          <w:tcPr>
            <w:tcW w:w="0" w:type="auto"/>
            <w:vMerge w:val="restart"/>
            <w:tcBorders>
              <w:top w:val="single" w:sz="4" w:space="0" w:color="auto"/>
              <w:left w:val="nil"/>
              <w:bottom w:val="single" w:sz="4" w:space="0" w:color="000000"/>
              <w:right w:val="nil"/>
            </w:tcBorders>
            <w:noWrap/>
            <w:vAlign w:val="center"/>
            <w:hideMark/>
          </w:tcPr>
          <w:p w14:paraId="793E27BC"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Nikkei</w:t>
            </w:r>
          </w:p>
        </w:tc>
        <w:tc>
          <w:tcPr>
            <w:tcW w:w="0" w:type="auto"/>
            <w:tcBorders>
              <w:top w:val="single" w:sz="4" w:space="0" w:color="auto"/>
              <w:left w:val="nil"/>
              <w:bottom w:val="nil"/>
              <w:right w:val="nil"/>
            </w:tcBorders>
            <w:noWrap/>
            <w:vAlign w:val="center"/>
            <w:hideMark/>
          </w:tcPr>
          <w:p w14:paraId="608750C1"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4231E6E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0.0023</w:t>
            </w:r>
          </w:p>
        </w:tc>
        <w:tc>
          <w:tcPr>
            <w:tcW w:w="0" w:type="auto"/>
            <w:tcBorders>
              <w:top w:val="single" w:sz="4" w:space="0" w:color="auto"/>
              <w:left w:val="nil"/>
              <w:bottom w:val="nil"/>
              <w:right w:val="nil"/>
            </w:tcBorders>
            <w:noWrap/>
            <w:vAlign w:val="center"/>
            <w:hideMark/>
          </w:tcPr>
          <w:p w14:paraId="0F73661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-0.0011</w:t>
            </w:r>
          </w:p>
        </w:tc>
        <w:tc>
          <w:tcPr>
            <w:tcW w:w="0" w:type="auto"/>
            <w:tcBorders>
              <w:top w:val="single" w:sz="4" w:space="0" w:color="auto"/>
              <w:left w:val="nil"/>
              <w:bottom w:val="nil"/>
              <w:right w:val="nil"/>
            </w:tcBorders>
            <w:noWrap/>
            <w:vAlign w:val="center"/>
            <w:hideMark/>
          </w:tcPr>
          <w:p w14:paraId="592028B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single" w:sz="4" w:space="0" w:color="auto"/>
              <w:left w:val="nil"/>
              <w:bottom w:val="nil"/>
              <w:right w:val="nil"/>
            </w:tcBorders>
            <w:noWrap/>
            <w:vAlign w:val="center"/>
            <w:hideMark/>
          </w:tcPr>
          <w:p w14:paraId="41C7D73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-0.0371</w:t>
            </w:r>
          </w:p>
        </w:tc>
        <w:tc>
          <w:tcPr>
            <w:tcW w:w="0" w:type="auto"/>
            <w:tcBorders>
              <w:top w:val="single" w:sz="4" w:space="0" w:color="auto"/>
              <w:left w:val="nil"/>
              <w:bottom w:val="nil"/>
              <w:right w:val="nil"/>
            </w:tcBorders>
            <w:noWrap/>
            <w:vAlign w:val="center"/>
            <w:hideMark/>
          </w:tcPr>
          <w:p w14:paraId="2A97484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0.8006</w:t>
            </w:r>
          </w:p>
        </w:tc>
        <w:tc>
          <w:tcPr>
            <w:tcW w:w="1309" w:type="dxa"/>
            <w:tcBorders>
              <w:top w:val="single" w:sz="4" w:space="0" w:color="auto"/>
              <w:left w:val="nil"/>
              <w:bottom w:val="nil"/>
              <w:right w:val="nil"/>
            </w:tcBorders>
            <w:vAlign w:val="center"/>
            <w:hideMark/>
          </w:tcPr>
          <w:p w14:paraId="08BD48C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1.2552</w:t>
            </w:r>
          </w:p>
        </w:tc>
      </w:tr>
      <w:tr w:rsidR="00DF5B90" w:rsidRPr="00DF5B90" w14:paraId="0028A6D0" w14:textId="77777777" w:rsidTr="00DF5B90">
        <w:trPr>
          <w:trHeight w:val="300"/>
          <w:jc w:val="center"/>
        </w:trPr>
        <w:tc>
          <w:tcPr>
            <w:tcW w:w="0" w:type="auto"/>
            <w:vMerge/>
            <w:tcBorders>
              <w:top w:val="single" w:sz="4" w:space="0" w:color="auto"/>
              <w:left w:val="nil"/>
              <w:bottom w:val="single" w:sz="4" w:space="0" w:color="000000"/>
              <w:right w:val="nil"/>
            </w:tcBorders>
            <w:vAlign w:val="center"/>
            <w:hideMark/>
          </w:tcPr>
          <w:p w14:paraId="7AE3AF0A"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0BBF1131"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3C03305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2.5301</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61621B2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-1.2845</w:t>
            </w:r>
          </w:p>
        </w:tc>
        <w:tc>
          <w:tcPr>
            <w:tcW w:w="0" w:type="auto"/>
            <w:noWrap/>
            <w:vAlign w:val="center"/>
            <w:hideMark/>
          </w:tcPr>
          <w:p w14:paraId="0BB94F3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1.5769</w:t>
            </w:r>
          </w:p>
        </w:tc>
        <w:tc>
          <w:tcPr>
            <w:tcW w:w="0" w:type="auto"/>
            <w:noWrap/>
            <w:vAlign w:val="center"/>
            <w:hideMark/>
          </w:tcPr>
          <w:p w14:paraId="5F20977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-0.9313</w:t>
            </w:r>
          </w:p>
        </w:tc>
        <w:tc>
          <w:tcPr>
            <w:tcW w:w="0" w:type="auto"/>
            <w:noWrap/>
            <w:vAlign w:val="center"/>
            <w:hideMark/>
          </w:tcPr>
          <w:p w14:paraId="0060A48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6.3217</w:t>
            </w:r>
            <w:r w:rsidRPr="00DF5B90">
              <w:rPr>
                <w:rFonts w:asciiTheme="minorHAnsi" w:eastAsia="Times New Roman" w:hAnsiTheme="minorHAnsi" w:cstheme="minorHAnsi"/>
                <w:color w:val="000000"/>
                <w:vertAlign w:val="superscript"/>
                <w:lang w:val="id-ID"/>
              </w:rPr>
              <w:t>***</w:t>
            </w:r>
          </w:p>
        </w:tc>
        <w:tc>
          <w:tcPr>
            <w:tcW w:w="1309" w:type="dxa"/>
            <w:noWrap/>
            <w:vAlign w:val="center"/>
            <w:hideMark/>
          </w:tcPr>
          <w:p w14:paraId="16957EA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5.1077</w:t>
            </w:r>
            <w:r w:rsidRPr="00DF5B90">
              <w:rPr>
                <w:rFonts w:asciiTheme="minorHAnsi" w:eastAsia="Times New Roman" w:hAnsiTheme="minorHAnsi" w:cstheme="minorHAnsi"/>
                <w:color w:val="000000"/>
                <w:vertAlign w:val="superscript"/>
                <w:lang w:val="id-ID"/>
              </w:rPr>
              <w:t>***</w:t>
            </w:r>
          </w:p>
        </w:tc>
      </w:tr>
      <w:tr w:rsidR="00DF5B90" w:rsidRPr="00DF5B90" w14:paraId="32339CC0" w14:textId="77777777" w:rsidTr="00DF5B90">
        <w:trPr>
          <w:trHeight w:val="300"/>
          <w:jc w:val="center"/>
        </w:trPr>
        <w:tc>
          <w:tcPr>
            <w:tcW w:w="0" w:type="auto"/>
            <w:vMerge/>
            <w:tcBorders>
              <w:top w:val="single" w:sz="4" w:space="0" w:color="auto"/>
              <w:left w:val="nil"/>
              <w:bottom w:val="single" w:sz="4" w:space="0" w:color="000000"/>
              <w:right w:val="nil"/>
            </w:tcBorders>
            <w:vAlign w:val="center"/>
            <w:hideMark/>
          </w:tcPr>
          <w:p w14:paraId="329428C0"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78EC19B5"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14A32BD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0.0114</w:t>
            </w:r>
          </w:p>
        </w:tc>
        <w:tc>
          <w:tcPr>
            <w:tcW w:w="0" w:type="auto"/>
            <w:tcBorders>
              <w:top w:val="nil"/>
              <w:left w:val="nil"/>
              <w:bottom w:val="single" w:sz="4" w:space="0" w:color="auto"/>
              <w:right w:val="nil"/>
            </w:tcBorders>
            <w:noWrap/>
            <w:vAlign w:val="center"/>
            <w:hideMark/>
          </w:tcPr>
          <w:p w14:paraId="52D62C6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0.1990</w:t>
            </w:r>
          </w:p>
        </w:tc>
        <w:tc>
          <w:tcPr>
            <w:tcW w:w="0" w:type="auto"/>
            <w:tcBorders>
              <w:top w:val="nil"/>
              <w:left w:val="nil"/>
              <w:bottom w:val="single" w:sz="4" w:space="0" w:color="auto"/>
              <w:right w:val="nil"/>
            </w:tcBorders>
            <w:noWrap/>
            <w:vAlign w:val="center"/>
            <w:hideMark/>
          </w:tcPr>
          <w:p w14:paraId="7D73307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0.1148</w:t>
            </w:r>
          </w:p>
        </w:tc>
        <w:tc>
          <w:tcPr>
            <w:tcW w:w="0" w:type="auto"/>
            <w:tcBorders>
              <w:top w:val="nil"/>
              <w:left w:val="nil"/>
              <w:bottom w:val="single" w:sz="4" w:space="0" w:color="auto"/>
              <w:right w:val="nil"/>
            </w:tcBorders>
            <w:noWrap/>
            <w:vAlign w:val="center"/>
            <w:hideMark/>
          </w:tcPr>
          <w:p w14:paraId="4716D0B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0.3517</w:t>
            </w:r>
          </w:p>
        </w:tc>
        <w:tc>
          <w:tcPr>
            <w:tcW w:w="0" w:type="auto"/>
            <w:tcBorders>
              <w:top w:val="nil"/>
              <w:left w:val="nil"/>
              <w:bottom w:val="single" w:sz="4" w:space="0" w:color="auto"/>
              <w:right w:val="nil"/>
            </w:tcBorders>
            <w:noWrap/>
            <w:vAlign w:val="center"/>
            <w:hideMark/>
          </w:tcPr>
          <w:p w14:paraId="51510E8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309" w:type="dxa"/>
            <w:tcBorders>
              <w:top w:val="nil"/>
              <w:left w:val="nil"/>
              <w:bottom w:val="single" w:sz="4" w:space="0" w:color="auto"/>
              <w:right w:val="nil"/>
            </w:tcBorders>
            <w:noWrap/>
            <w:vAlign w:val="center"/>
            <w:hideMark/>
          </w:tcPr>
          <w:p w14:paraId="2DA8723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380BF530" w14:textId="77777777" w:rsidTr="00DF5B90">
        <w:trPr>
          <w:trHeight w:val="300"/>
          <w:jc w:val="center"/>
        </w:trPr>
        <w:tc>
          <w:tcPr>
            <w:tcW w:w="0" w:type="auto"/>
            <w:vMerge w:val="restart"/>
            <w:tcBorders>
              <w:top w:val="nil"/>
              <w:left w:val="nil"/>
              <w:bottom w:val="single" w:sz="4" w:space="0" w:color="auto"/>
              <w:right w:val="nil"/>
            </w:tcBorders>
            <w:noWrap/>
            <w:vAlign w:val="center"/>
            <w:hideMark/>
          </w:tcPr>
          <w:p w14:paraId="01113EA1"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Kospi</w:t>
            </w:r>
          </w:p>
        </w:tc>
        <w:tc>
          <w:tcPr>
            <w:tcW w:w="0" w:type="auto"/>
            <w:noWrap/>
            <w:vAlign w:val="center"/>
            <w:hideMark/>
          </w:tcPr>
          <w:p w14:paraId="0D9C67E7"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noWrap/>
            <w:vAlign w:val="center"/>
            <w:hideMark/>
          </w:tcPr>
          <w:p w14:paraId="444AD25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0.0022</w:t>
            </w:r>
          </w:p>
        </w:tc>
        <w:tc>
          <w:tcPr>
            <w:tcW w:w="0" w:type="auto"/>
            <w:noWrap/>
            <w:vAlign w:val="center"/>
            <w:hideMark/>
          </w:tcPr>
          <w:p w14:paraId="057485F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-0.0003</w:t>
            </w:r>
          </w:p>
        </w:tc>
        <w:tc>
          <w:tcPr>
            <w:tcW w:w="0" w:type="auto"/>
            <w:noWrap/>
            <w:vAlign w:val="center"/>
            <w:hideMark/>
          </w:tcPr>
          <w:p w14:paraId="6244775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noWrap/>
            <w:vAlign w:val="center"/>
            <w:hideMark/>
          </w:tcPr>
          <w:p w14:paraId="77A28B2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-0.0407</w:t>
            </w:r>
          </w:p>
        </w:tc>
        <w:tc>
          <w:tcPr>
            <w:tcW w:w="0" w:type="auto"/>
            <w:noWrap/>
            <w:vAlign w:val="center"/>
            <w:hideMark/>
          </w:tcPr>
          <w:p w14:paraId="31C08B5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0.8039</w:t>
            </w:r>
          </w:p>
        </w:tc>
        <w:tc>
          <w:tcPr>
            <w:tcW w:w="1309" w:type="dxa"/>
            <w:vAlign w:val="center"/>
            <w:hideMark/>
          </w:tcPr>
          <w:p w14:paraId="42AE695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1.3124</w:t>
            </w:r>
          </w:p>
        </w:tc>
      </w:tr>
      <w:tr w:rsidR="00DF5B90" w:rsidRPr="00DF5B90" w14:paraId="45BFDE29" w14:textId="77777777" w:rsidTr="00DF5B90">
        <w:trPr>
          <w:trHeight w:val="300"/>
          <w:jc w:val="center"/>
        </w:trPr>
        <w:tc>
          <w:tcPr>
            <w:tcW w:w="0" w:type="auto"/>
            <w:vMerge/>
            <w:tcBorders>
              <w:top w:val="nil"/>
              <w:left w:val="nil"/>
              <w:bottom w:val="single" w:sz="4" w:space="0" w:color="auto"/>
              <w:right w:val="nil"/>
            </w:tcBorders>
            <w:vAlign w:val="center"/>
            <w:hideMark/>
          </w:tcPr>
          <w:p w14:paraId="3DCA1053"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0BE10A7C"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535BF1B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2.3904</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0954DBF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-0.4351</w:t>
            </w:r>
          </w:p>
        </w:tc>
        <w:tc>
          <w:tcPr>
            <w:tcW w:w="0" w:type="auto"/>
            <w:noWrap/>
            <w:vAlign w:val="center"/>
            <w:hideMark/>
          </w:tcPr>
          <w:p w14:paraId="1786539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1.6793</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174193B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-0.8743</w:t>
            </w:r>
          </w:p>
        </w:tc>
        <w:tc>
          <w:tcPr>
            <w:tcW w:w="0" w:type="auto"/>
            <w:noWrap/>
            <w:vAlign w:val="center"/>
            <w:hideMark/>
          </w:tcPr>
          <w:p w14:paraId="49CB738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6.6266</w:t>
            </w:r>
            <w:r w:rsidRPr="00DF5B90">
              <w:rPr>
                <w:rFonts w:asciiTheme="minorHAnsi" w:eastAsia="Times New Roman" w:hAnsiTheme="minorHAnsi" w:cstheme="minorHAnsi"/>
                <w:color w:val="000000"/>
                <w:vertAlign w:val="superscript"/>
                <w:lang w:val="id-ID"/>
              </w:rPr>
              <w:t>***</w:t>
            </w:r>
          </w:p>
        </w:tc>
        <w:tc>
          <w:tcPr>
            <w:tcW w:w="1309" w:type="dxa"/>
            <w:noWrap/>
            <w:vAlign w:val="center"/>
            <w:hideMark/>
          </w:tcPr>
          <w:p w14:paraId="1D1B921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4.9552</w:t>
            </w:r>
            <w:r w:rsidRPr="00DF5B90">
              <w:rPr>
                <w:rFonts w:asciiTheme="minorHAnsi" w:eastAsia="Times New Roman" w:hAnsiTheme="minorHAnsi" w:cstheme="minorHAnsi"/>
                <w:color w:val="000000"/>
                <w:vertAlign w:val="superscript"/>
                <w:lang w:val="id-ID"/>
              </w:rPr>
              <w:t>***</w:t>
            </w:r>
          </w:p>
        </w:tc>
      </w:tr>
      <w:tr w:rsidR="00DF5B90" w:rsidRPr="00DF5B90" w14:paraId="017B49A4" w14:textId="77777777" w:rsidTr="00DF5B90">
        <w:trPr>
          <w:trHeight w:val="300"/>
          <w:jc w:val="center"/>
        </w:trPr>
        <w:tc>
          <w:tcPr>
            <w:tcW w:w="0" w:type="auto"/>
            <w:vMerge/>
            <w:tcBorders>
              <w:top w:val="nil"/>
              <w:left w:val="nil"/>
              <w:bottom w:val="single" w:sz="4" w:space="0" w:color="auto"/>
              <w:right w:val="nil"/>
            </w:tcBorders>
            <w:vAlign w:val="center"/>
            <w:hideMark/>
          </w:tcPr>
          <w:p w14:paraId="6CBA9D03"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4E267F4A"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35EE15D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0.0168</w:t>
            </w:r>
          </w:p>
        </w:tc>
        <w:tc>
          <w:tcPr>
            <w:tcW w:w="0" w:type="auto"/>
            <w:tcBorders>
              <w:top w:val="nil"/>
              <w:left w:val="nil"/>
              <w:bottom w:val="single" w:sz="4" w:space="0" w:color="auto"/>
              <w:right w:val="nil"/>
            </w:tcBorders>
            <w:noWrap/>
            <w:vAlign w:val="center"/>
            <w:hideMark/>
          </w:tcPr>
          <w:p w14:paraId="09C7EE4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0.6635</w:t>
            </w:r>
          </w:p>
        </w:tc>
        <w:tc>
          <w:tcPr>
            <w:tcW w:w="0" w:type="auto"/>
            <w:tcBorders>
              <w:top w:val="nil"/>
              <w:left w:val="nil"/>
              <w:bottom w:val="single" w:sz="4" w:space="0" w:color="auto"/>
              <w:right w:val="nil"/>
            </w:tcBorders>
            <w:noWrap/>
            <w:vAlign w:val="center"/>
            <w:hideMark/>
          </w:tcPr>
          <w:p w14:paraId="560C331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0.0931</w:t>
            </w:r>
          </w:p>
        </w:tc>
        <w:tc>
          <w:tcPr>
            <w:tcW w:w="0" w:type="auto"/>
            <w:tcBorders>
              <w:top w:val="nil"/>
              <w:left w:val="nil"/>
              <w:bottom w:val="single" w:sz="4" w:space="0" w:color="auto"/>
              <w:right w:val="nil"/>
            </w:tcBorders>
            <w:noWrap/>
            <w:vAlign w:val="center"/>
            <w:hideMark/>
          </w:tcPr>
          <w:p w14:paraId="2D0FEBE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0.3820</w:t>
            </w:r>
          </w:p>
        </w:tc>
        <w:tc>
          <w:tcPr>
            <w:tcW w:w="0" w:type="auto"/>
            <w:tcBorders>
              <w:top w:val="nil"/>
              <w:left w:val="nil"/>
              <w:bottom w:val="single" w:sz="4" w:space="0" w:color="auto"/>
              <w:right w:val="nil"/>
            </w:tcBorders>
            <w:noWrap/>
            <w:vAlign w:val="center"/>
            <w:hideMark/>
          </w:tcPr>
          <w:p w14:paraId="56D9661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309" w:type="dxa"/>
            <w:tcBorders>
              <w:top w:val="nil"/>
              <w:left w:val="nil"/>
              <w:bottom w:val="single" w:sz="4" w:space="0" w:color="auto"/>
              <w:right w:val="nil"/>
            </w:tcBorders>
            <w:noWrap/>
            <w:vAlign w:val="center"/>
            <w:hideMark/>
          </w:tcPr>
          <w:p w14:paraId="6D2D64A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4681E3CD" w14:textId="77777777" w:rsidTr="00DF5B90">
        <w:trPr>
          <w:trHeight w:val="300"/>
          <w:jc w:val="center"/>
        </w:trPr>
        <w:tc>
          <w:tcPr>
            <w:tcW w:w="0" w:type="auto"/>
            <w:vMerge w:val="restart"/>
            <w:tcBorders>
              <w:top w:val="single" w:sz="4" w:space="0" w:color="auto"/>
              <w:left w:val="nil"/>
              <w:bottom w:val="single" w:sz="4" w:space="0" w:color="auto"/>
              <w:right w:val="nil"/>
            </w:tcBorders>
            <w:noWrap/>
            <w:vAlign w:val="center"/>
            <w:hideMark/>
          </w:tcPr>
          <w:p w14:paraId="71C4CC80"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SSEC</w:t>
            </w:r>
          </w:p>
        </w:tc>
        <w:tc>
          <w:tcPr>
            <w:tcW w:w="0" w:type="auto"/>
            <w:tcBorders>
              <w:top w:val="single" w:sz="4" w:space="0" w:color="auto"/>
              <w:left w:val="nil"/>
              <w:bottom w:val="nil"/>
              <w:right w:val="nil"/>
            </w:tcBorders>
            <w:noWrap/>
            <w:vAlign w:val="center"/>
            <w:hideMark/>
          </w:tcPr>
          <w:p w14:paraId="25E645FC"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0E17A0C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0.0022</w:t>
            </w:r>
          </w:p>
        </w:tc>
        <w:tc>
          <w:tcPr>
            <w:tcW w:w="0" w:type="auto"/>
            <w:tcBorders>
              <w:top w:val="single" w:sz="4" w:space="0" w:color="auto"/>
              <w:left w:val="nil"/>
              <w:bottom w:val="nil"/>
              <w:right w:val="nil"/>
            </w:tcBorders>
            <w:noWrap/>
            <w:vAlign w:val="center"/>
            <w:hideMark/>
          </w:tcPr>
          <w:p w14:paraId="3B7EB52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-0.0003</w:t>
            </w:r>
          </w:p>
        </w:tc>
        <w:tc>
          <w:tcPr>
            <w:tcW w:w="0" w:type="auto"/>
            <w:tcBorders>
              <w:top w:val="single" w:sz="4" w:space="0" w:color="auto"/>
              <w:left w:val="nil"/>
              <w:bottom w:val="nil"/>
              <w:right w:val="nil"/>
            </w:tcBorders>
            <w:noWrap/>
            <w:vAlign w:val="center"/>
            <w:hideMark/>
          </w:tcPr>
          <w:p w14:paraId="06F9478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single" w:sz="4" w:space="0" w:color="auto"/>
              <w:left w:val="nil"/>
              <w:bottom w:val="nil"/>
              <w:right w:val="nil"/>
            </w:tcBorders>
            <w:noWrap/>
            <w:vAlign w:val="center"/>
            <w:hideMark/>
          </w:tcPr>
          <w:p w14:paraId="2438F6A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-0.0394</w:t>
            </w:r>
          </w:p>
        </w:tc>
        <w:tc>
          <w:tcPr>
            <w:tcW w:w="0" w:type="auto"/>
            <w:tcBorders>
              <w:top w:val="single" w:sz="4" w:space="0" w:color="auto"/>
              <w:left w:val="nil"/>
              <w:bottom w:val="nil"/>
              <w:right w:val="nil"/>
            </w:tcBorders>
            <w:noWrap/>
            <w:vAlign w:val="center"/>
            <w:hideMark/>
          </w:tcPr>
          <w:p w14:paraId="385A655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0.8098</w:t>
            </w:r>
          </w:p>
        </w:tc>
        <w:tc>
          <w:tcPr>
            <w:tcW w:w="1309" w:type="dxa"/>
            <w:tcBorders>
              <w:top w:val="single" w:sz="4" w:space="0" w:color="auto"/>
              <w:left w:val="nil"/>
              <w:bottom w:val="nil"/>
              <w:right w:val="nil"/>
            </w:tcBorders>
            <w:vAlign w:val="center"/>
            <w:hideMark/>
          </w:tcPr>
          <w:p w14:paraId="7EEF89A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1.2943</w:t>
            </w:r>
          </w:p>
        </w:tc>
      </w:tr>
      <w:tr w:rsidR="00DF5B90" w:rsidRPr="00DF5B90" w14:paraId="56152A59"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000D189A"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1175795B"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62BD4E6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2.3810</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1374E13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-0.3503</w:t>
            </w:r>
          </w:p>
        </w:tc>
        <w:tc>
          <w:tcPr>
            <w:tcW w:w="0" w:type="auto"/>
            <w:noWrap/>
            <w:vAlign w:val="center"/>
            <w:hideMark/>
          </w:tcPr>
          <w:p w14:paraId="05EF98B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1.6466</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53C1CF9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-0.8474</w:t>
            </w:r>
          </w:p>
        </w:tc>
        <w:tc>
          <w:tcPr>
            <w:tcW w:w="0" w:type="auto"/>
            <w:noWrap/>
            <w:vAlign w:val="center"/>
            <w:hideMark/>
          </w:tcPr>
          <w:p w14:paraId="4D458F0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6.7217</w:t>
            </w:r>
            <w:r w:rsidRPr="00DF5B90">
              <w:rPr>
                <w:rFonts w:asciiTheme="minorHAnsi" w:eastAsia="Times New Roman" w:hAnsiTheme="minorHAnsi" w:cstheme="minorHAnsi"/>
                <w:color w:val="000000"/>
                <w:vertAlign w:val="superscript"/>
                <w:lang w:val="id-ID"/>
              </w:rPr>
              <w:t>***</w:t>
            </w:r>
          </w:p>
        </w:tc>
        <w:tc>
          <w:tcPr>
            <w:tcW w:w="1309" w:type="dxa"/>
            <w:noWrap/>
            <w:vAlign w:val="center"/>
            <w:hideMark/>
          </w:tcPr>
          <w:p w14:paraId="008DAC3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4.8961</w:t>
            </w:r>
            <w:r w:rsidRPr="00DF5B90">
              <w:rPr>
                <w:rFonts w:asciiTheme="minorHAnsi" w:eastAsia="Times New Roman" w:hAnsiTheme="minorHAnsi" w:cstheme="minorHAnsi"/>
                <w:color w:val="000000"/>
                <w:vertAlign w:val="superscript"/>
                <w:lang w:val="id-ID"/>
              </w:rPr>
              <w:t>***</w:t>
            </w:r>
          </w:p>
        </w:tc>
      </w:tr>
      <w:tr w:rsidR="00DF5B90" w:rsidRPr="00DF5B90" w14:paraId="2BBB328D" w14:textId="77777777" w:rsidTr="00DF5B90">
        <w:trPr>
          <w:trHeight w:val="315"/>
          <w:jc w:val="center"/>
        </w:trPr>
        <w:tc>
          <w:tcPr>
            <w:tcW w:w="0" w:type="auto"/>
            <w:vMerge/>
            <w:tcBorders>
              <w:top w:val="single" w:sz="4" w:space="0" w:color="auto"/>
              <w:left w:val="nil"/>
              <w:bottom w:val="single" w:sz="4" w:space="0" w:color="auto"/>
              <w:right w:val="nil"/>
            </w:tcBorders>
            <w:vAlign w:val="center"/>
            <w:hideMark/>
          </w:tcPr>
          <w:p w14:paraId="05068D26"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6761B090"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29BF624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0.0173</w:t>
            </w:r>
          </w:p>
        </w:tc>
        <w:tc>
          <w:tcPr>
            <w:tcW w:w="0" w:type="auto"/>
            <w:tcBorders>
              <w:top w:val="nil"/>
              <w:left w:val="nil"/>
              <w:bottom w:val="single" w:sz="4" w:space="0" w:color="auto"/>
              <w:right w:val="nil"/>
            </w:tcBorders>
            <w:noWrap/>
            <w:vAlign w:val="center"/>
            <w:hideMark/>
          </w:tcPr>
          <w:p w14:paraId="2E29E8B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0.7261</w:t>
            </w:r>
          </w:p>
        </w:tc>
        <w:tc>
          <w:tcPr>
            <w:tcW w:w="0" w:type="auto"/>
            <w:tcBorders>
              <w:top w:val="nil"/>
              <w:left w:val="nil"/>
              <w:bottom w:val="single" w:sz="4" w:space="0" w:color="auto"/>
              <w:right w:val="nil"/>
            </w:tcBorders>
            <w:noWrap/>
            <w:vAlign w:val="center"/>
            <w:hideMark/>
          </w:tcPr>
          <w:p w14:paraId="18D2047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0.0996</w:t>
            </w:r>
          </w:p>
        </w:tc>
        <w:tc>
          <w:tcPr>
            <w:tcW w:w="0" w:type="auto"/>
            <w:tcBorders>
              <w:top w:val="nil"/>
              <w:left w:val="nil"/>
              <w:bottom w:val="single" w:sz="4" w:space="0" w:color="auto"/>
              <w:right w:val="nil"/>
            </w:tcBorders>
            <w:noWrap/>
            <w:vAlign w:val="center"/>
            <w:hideMark/>
          </w:tcPr>
          <w:p w14:paraId="4C02C58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0.3968</w:t>
            </w:r>
          </w:p>
        </w:tc>
        <w:tc>
          <w:tcPr>
            <w:tcW w:w="0" w:type="auto"/>
            <w:tcBorders>
              <w:top w:val="nil"/>
              <w:left w:val="nil"/>
              <w:bottom w:val="single" w:sz="4" w:space="0" w:color="auto"/>
              <w:right w:val="nil"/>
            </w:tcBorders>
            <w:noWrap/>
            <w:vAlign w:val="center"/>
            <w:hideMark/>
          </w:tcPr>
          <w:p w14:paraId="216022D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309" w:type="dxa"/>
            <w:tcBorders>
              <w:top w:val="nil"/>
              <w:left w:val="nil"/>
              <w:bottom w:val="single" w:sz="4" w:space="0" w:color="auto"/>
              <w:right w:val="nil"/>
            </w:tcBorders>
            <w:noWrap/>
            <w:vAlign w:val="center"/>
            <w:hideMark/>
          </w:tcPr>
          <w:p w14:paraId="002522F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bl>
    <w:p w14:paraId="478F1661" w14:textId="77777777" w:rsidR="00DF5B90" w:rsidRPr="00DF5B90" w:rsidRDefault="00DF5B90" w:rsidP="00DF5B90">
      <w:pPr>
        <w:spacing w:after="0" w:line="240" w:lineRule="auto"/>
        <w:jc w:val="both"/>
        <w:rPr>
          <w:rFonts w:asciiTheme="minorHAnsi" w:eastAsiaTheme="minorEastAsia" w:hAnsiTheme="minorHAnsi" w:cstheme="minorHAnsi"/>
          <w:noProof/>
          <w:lang w:val="en-US" w:eastAsia="en-US"/>
        </w:rPr>
      </w:pPr>
      <w:r w:rsidRPr="00DF5B90">
        <w:rPr>
          <w:rFonts w:asciiTheme="minorHAnsi" w:eastAsiaTheme="minorEastAsia" w:hAnsiTheme="minorHAnsi" w:cstheme="minorHAnsi"/>
          <w:lang w:val="id-ID"/>
        </w:rPr>
        <w:t>***</w:t>
      </w:r>
      <w:r w:rsidRPr="00DF5B90">
        <w:rPr>
          <w:rFonts w:asciiTheme="minorHAnsi" w:hAnsiTheme="minorHAnsi" w:cstheme="minorHAnsi"/>
          <w:lang w:val="id-ID"/>
        </w:rPr>
        <w:t xml:space="preserve"> </w:t>
      </w:r>
      <w:r w:rsidRPr="00DF5B90">
        <w:rPr>
          <w:rFonts w:asciiTheme="minorHAnsi" w:eastAsiaTheme="minorEastAsia" w:hAnsiTheme="minorHAnsi" w:cstheme="minorHAnsi"/>
        </w:rPr>
        <w:t>Significant at 1% level</w:t>
      </w:r>
    </w:p>
    <w:p w14:paraId="575A5038" w14:textId="77777777" w:rsidR="00DF5B90" w:rsidRPr="00DF5B90" w:rsidRDefault="00DF5B90" w:rsidP="00DF5B90">
      <w:pPr>
        <w:spacing w:after="0" w:line="240" w:lineRule="auto"/>
        <w:jc w:val="both"/>
        <w:rPr>
          <w:rFonts w:asciiTheme="minorHAnsi" w:eastAsiaTheme="minorEastAsia" w:hAnsiTheme="minorHAnsi" w:cstheme="minorHAnsi"/>
        </w:rPr>
      </w:pPr>
      <w:r w:rsidRPr="00DF5B90">
        <w:rPr>
          <w:rFonts w:asciiTheme="minorHAnsi" w:eastAsiaTheme="minorEastAsia" w:hAnsiTheme="minorHAnsi" w:cstheme="minorHAnsi"/>
          <w:lang w:val="id-ID"/>
        </w:rPr>
        <w:t>**</w:t>
      </w:r>
      <w:r w:rsidRPr="00DF5B90">
        <w:rPr>
          <w:rFonts w:asciiTheme="minorHAnsi" w:eastAsiaTheme="minorEastAsia" w:hAnsiTheme="minorHAnsi" w:cstheme="minorHAnsi"/>
        </w:rPr>
        <w:t xml:space="preserve"> Significant at 5% level</w:t>
      </w:r>
    </w:p>
    <w:p w14:paraId="3EC44B09" w14:textId="77777777" w:rsidR="00DF5B90" w:rsidRPr="00DF5B90" w:rsidRDefault="00DF5B90" w:rsidP="00DF5B90">
      <w:pPr>
        <w:spacing w:line="240" w:lineRule="auto"/>
        <w:jc w:val="both"/>
        <w:rPr>
          <w:rFonts w:asciiTheme="minorHAnsi" w:eastAsiaTheme="minorEastAsia" w:hAnsiTheme="minorHAnsi" w:cstheme="minorHAnsi"/>
          <w:lang w:val="id-ID"/>
        </w:rPr>
      </w:pPr>
      <w:r w:rsidRPr="00DF5B90">
        <w:rPr>
          <w:rFonts w:asciiTheme="minorHAnsi" w:eastAsiaTheme="minorEastAsia" w:hAnsiTheme="minorHAnsi" w:cstheme="minorHAnsi"/>
          <w:lang w:val="id-ID"/>
        </w:rPr>
        <w:t>*</w:t>
      </w:r>
      <w:r w:rsidRPr="00DF5B90">
        <w:rPr>
          <w:rFonts w:asciiTheme="minorHAnsi" w:eastAsiaTheme="minorEastAsia" w:hAnsiTheme="minorHAnsi" w:cstheme="minorHAnsi"/>
        </w:rPr>
        <w:t xml:space="preserve"> Significant at 10% level</w:t>
      </w:r>
    </w:p>
    <w:p w14:paraId="0B7F782E" w14:textId="77777777" w:rsidR="00DF5B90" w:rsidRPr="00DF5B90" w:rsidRDefault="00DF5B90" w:rsidP="00BA7D9E">
      <w:pPr>
        <w:spacing w:line="240" w:lineRule="auto"/>
        <w:ind w:firstLine="284"/>
        <w:jc w:val="both"/>
        <w:rPr>
          <w:rFonts w:asciiTheme="minorHAnsi" w:eastAsiaTheme="minorHAnsi" w:hAnsiTheme="minorHAnsi" w:cstheme="minorHAnsi"/>
          <w:shd w:val="clear" w:color="auto" w:fill="FFFFFF"/>
          <w:lang w:val="en-US"/>
        </w:rPr>
      </w:pPr>
      <w:r w:rsidRPr="00DF5B90">
        <w:rPr>
          <w:rFonts w:asciiTheme="minorHAnsi" w:hAnsiTheme="minorHAnsi" w:cstheme="minorHAnsi"/>
          <w:shd w:val="clear" w:color="auto" w:fill="FFFFFF"/>
          <w:lang w:val="id-ID"/>
        </w:rPr>
        <w:t xml:space="preserve">To determine the impact of stock market volatility on gold prices as a whole, GARCH (1,1) testing was conducted for the entire period. The results of the test are listed in Table 6. Over the entire period, it can be seen that almost every variable follows the GARCH pattern. However, one variable does not follow the GARCH pattern, namely VN 30 where the probability value exceeds the 10% significance level. In addition, only PSEi is proven to positively influence gold prices. </w:t>
      </w:r>
    </w:p>
    <w:p w14:paraId="3432435F" w14:textId="77777777" w:rsidR="00DF5B90" w:rsidRPr="00BA7D9E" w:rsidRDefault="00DF5B90" w:rsidP="00DF5B90">
      <w:pPr>
        <w:pStyle w:val="Keterangan"/>
        <w:keepNext/>
        <w:jc w:val="center"/>
        <w:rPr>
          <w:rFonts w:asciiTheme="minorHAnsi" w:hAnsiTheme="minorHAnsi" w:cstheme="minorHAnsi"/>
          <w:sz w:val="24"/>
          <w:szCs w:val="24"/>
          <w:lang w:val="id-ID"/>
        </w:rPr>
      </w:pPr>
      <w:bookmarkStart w:id="23" w:name="_Toc168426047"/>
      <w:bookmarkStart w:id="24" w:name="_Toc170310508"/>
      <w:bookmarkStart w:id="25" w:name="_Toc171071275"/>
      <w:bookmarkStart w:id="26" w:name="_Toc171072600"/>
      <w:r w:rsidRPr="00BA7D9E">
        <w:rPr>
          <w:rFonts w:asciiTheme="minorHAnsi" w:hAnsiTheme="minorHAnsi" w:cstheme="minorHAnsi"/>
          <w:sz w:val="24"/>
          <w:szCs w:val="24"/>
          <w:lang w:val="id-ID"/>
        </w:rPr>
        <w:t>T</w:t>
      </w:r>
      <w:r w:rsidRPr="00BA7D9E">
        <w:rPr>
          <w:rFonts w:asciiTheme="minorHAnsi" w:hAnsiTheme="minorHAnsi" w:cstheme="minorHAnsi"/>
          <w:sz w:val="24"/>
          <w:szCs w:val="24"/>
        </w:rPr>
        <w:t>able</w:t>
      </w:r>
      <w:r w:rsidRPr="00BA7D9E">
        <w:rPr>
          <w:rFonts w:asciiTheme="minorHAnsi" w:hAnsiTheme="minorHAnsi" w:cstheme="minorHAnsi"/>
          <w:sz w:val="24"/>
          <w:szCs w:val="24"/>
          <w:lang w:val="id-ID"/>
        </w:rPr>
        <w:t xml:space="preserve"> </w:t>
      </w:r>
      <w:r w:rsidRPr="00BA7D9E">
        <w:rPr>
          <w:rFonts w:asciiTheme="minorHAnsi" w:hAnsiTheme="minorHAnsi" w:cstheme="minorHAnsi"/>
          <w:sz w:val="24"/>
          <w:szCs w:val="24"/>
        </w:rPr>
        <w:fldChar w:fldCharType="begin"/>
      </w:r>
      <w:r w:rsidRPr="00BA7D9E">
        <w:rPr>
          <w:rFonts w:asciiTheme="minorHAnsi" w:hAnsiTheme="minorHAnsi" w:cstheme="minorHAnsi"/>
          <w:sz w:val="24"/>
          <w:szCs w:val="24"/>
          <w:lang w:val="id-ID"/>
        </w:rPr>
        <w:instrText xml:space="preserve"> SEQ Table \* ARABIC </w:instrText>
      </w:r>
      <w:r w:rsidRPr="00BA7D9E">
        <w:rPr>
          <w:rFonts w:asciiTheme="minorHAnsi" w:hAnsiTheme="minorHAnsi" w:cstheme="minorHAnsi"/>
          <w:sz w:val="24"/>
          <w:szCs w:val="24"/>
        </w:rPr>
        <w:fldChar w:fldCharType="separate"/>
      </w:r>
      <w:r w:rsidRPr="00BA7D9E">
        <w:rPr>
          <w:rFonts w:asciiTheme="minorHAnsi" w:hAnsiTheme="minorHAnsi" w:cstheme="minorHAnsi"/>
          <w:sz w:val="24"/>
          <w:szCs w:val="24"/>
          <w:lang w:val="id-ID"/>
        </w:rPr>
        <w:t>6</w:t>
      </w:r>
      <w:bookmarkEnd w:id="23"/>
      <w:bookmarkEnd w:id="24"/>
      <w:bookmarkEnd w:id="25"/>
      <w:bookmarkEnd w:id="26"/>
      <w:r w:rsidRPr="00BA7D9E">
        <w:rPr>
          <w:rFonts w:asciiTheme="minorHAnsi" w:hAnsiTheme="minorHAnsi" w:cstheme="minorHAnsi"/>
          <w:sz w:val="24"/>
          <w:szCs w:val="24"/>
          <w:lang w:val="id-ID"/>
        </w:rPr>
        <w:fldChar w:fldCharType="end"/>
      </w:r>
      <w:r w:rsidRPr="00BA7D9E">
        <w:rPr>
          <w:rFonts w:asciiTheme="minorHAnsi" w:hAnsiTheme="minorHAnsi" w:cstheme="minorHAnsi"/>
          <w:sz w:val="24"/>
          <w:szCs w:val="24"/>
          <w:lang w:val="id-ID"/>
        </w:rPr>
        <w:t xml:space="preserve"> </w:t>
      </w:r>
    </w:p>
    <w:p w14:paraId="074F5201" w14:textId="77777777" w:rsidR="00DF5B90" w:rsidRPr="00BA7D9E" w:rsidRDefault="00DF5B90" w:rsidP="00DF5B90">
      <w:pPr>
        <w:pStyle w:val="Keterangan"/>
        <w:keepNext/>
        <w:jc w:val="center"/>
        <w:rPr>
          <w:rFonts w:asciiTheme="minorHAnsi" w:hAnsiTheme="minorHAnsi" w:cstheme="minorHAnsi"/>
          <w:sz w:val="24"/>
          <w:szCs w:val="24"/>
          <w:lang w:val="id-ID"/>
        </w:rPr>
      </w:pPr>
      <w:r w:rsidRPr="00BA7D9E">
        <w:rPr>
          <w:rFonts w:asciiTheme="minorHAnsi" w:hAnsiTheme="minorHAnsi" w:cstheme="minorHAnsi"/>
          <w:sz w:val="24"/>
          <w:szCs w:val="24"/>
          <w:lang w:val="id-ID"/>
        </w:rPr>
        <w:t>The Impact of Stock Market Volatility on Gold Prices in All Periods</w:t>
      </w:r>
    </w:p>
    <w:tbl>
      <w:tblPr>
        <w:tblW w:w="8864" w:type="dxa"/>
        <w:jc w:val="center"/>
        <w:tblLook w:val="04A0" w:firstRow="1" w:lastRow="0" w:firstColumn="1" w:lastColumn="0" w:noHBand="0" w:noVBand="1"/>
      </w:tblPr>
      <w:tblGrid>
        <w:gridCol w:w="819"/>
        <w:gridCol w:w="1274"/>
        <w:gridCol w:w="885"/>
        <w:gridCol w:w="1499"/>
        <w:gridCol w:w="885"/>
        <w:gridCol w:w="885"/>
        <w:gridCol w:w="1124"/>
        <w:gridCol w:w="1524"/>
      </w:tblGrid>
      <w:tr w:rsidR="00DF5B90" w:rsidRPr="00DF5B90" w14:paraId="54ADE072" w14:textId="77777777" w:rsidTr="00DF5B90">
        <w:trPr>
          <w:trHeight w:val="300"/>
          <w:jc w:val="center"/>
        </w:trPr>
        <w:tc>
          <w:tcPr>
            <w:tcW w:w="8864" w:type="dxa"/>
            <w:gridSpan w:val="8"/>
            <w:tcBorders>
              <w:top w:val="single" w:sz="8" w:space="0" w:color="auto"/>
              <w:left w:val="nil"/>
              <w:bottom w:val="nil"/>
              <w:right w:val="nil"/>
            </w:tcBorders>
            <w:noWrap/>
            <w:vAlign w:val="center"/>
            <w:hideMark/>
          </w:tcPr>
          <w:p w14:paraId="0909B693"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All Period</w:t>
            </w:r>
          </w:p>
        </w:tc>
      </w:tr>
      <w:tr w:rsidR="00DF5B90" w:rsidRPr="00DF5B90" w14:paraId="3918D5E5" w14:textId="77777777" w:rsidTr="00DF5B90">
        <w:trPr>
          <w:trHeight w:val="300"/>
          <w:jc w:val="center"/>
        </w:trPr>
        <w:tc>
          <w:tcPr>
            <w:tcW w:w="0" w:type="auto"/>
            <w:gridSpan w:val="2"/>
            <w:vMerge w:val="restart"/>
            <w:tcBorders>
              <w:top w:val="single" w:sz="4" w:space="0" w:color="auto"/>
              <w:left w:val="nil"/>
              <w:bottom w:val="single" w:sz="8" w:space="0" w:color="000000"/>
              <w:right w:val="nil"/>
            </w:tcBorders>
            <w:noWrap/>
            <w:vAlign w:val="center"/>
            <w:hideMark/>
          </w:tcPr>
          <w:p w14:paraId="2D88545A"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en-US"/>
              </w:rPr>
            </w:pPr>
            <w:r w:rsidRPr="00DF5B90">
              <w:rPr>
                <w:rFonts w:asciiTheme="minorHAnsi" w:eastAsia="Times New Roman" w:hAnsiTheme="minorHAnsi" w:cstheme="minorHAnsi"/>
                <w:b/>
                <w:bCs/>
                <w:color w:val="000000"/>
              </w:rPr>
              <w:t>Independent</w:t>
            </w:r>
          </w:p>
          <w:p w14:paraId="6218B97D" w14:textId="77777777" w:rsidR="00DF5B90" w:rsidRPr="00DF5B90" w:rsidRDefault="00DF5B90" w:rsidP="00DF5B90">
            <w:pPr>
              <w:spacing w:after="0" w:line="240" w:lineRule="auto"/>
              <w:jc w:val="center"/>
              <w:rPr>
                <w:rFonts w:asciiTheme="minorHAnsi" w:eastAsia="Times New Roman" w:hAnsiTheme="minorHAnsi" w:cstheme="minorHAnsi"/>
                <w:b/>
                <w:bCs/>
                <w:color w:val="000000"/>
              </w:rPr>
            </w:pPr>
            <w:r w:rsidRPr="00DF5B90">
              <w:rPr>
                <w:rFonts w:asciiTheme="minorHAnsi" w:eastAsia="Times New Roman" w:hAnsiTheme="minorHAnsi" w:cstheme="minorHAnsi"/>
                <w:b/>
                <w:bCs/>
                <w:color w:val="000000"/>
              </w:rPr>
              <w:t>Variable</w:t>
            </w:r>
          </w:p>
        </w:tc>
        <w:tc>
          <w:tcPr>
            <w:tcW w:w="0" w:type="auto"/>
            <w:gridSpan w:val="2"/>
            <w:tcBorders>
              <w:top w:val="single" w:sz="4" w:space="0" w:color="auto"/>
              <w:left w:val="nil"/>
              <w:bottom w:val="single" w:sz="4" w:space="0" w:color="auto"/>
              <w:right w:val="nil"/>
            </w:tcBorders>
            <w:vAlign w:val="center"/>
            <w:hideMark/>
          </w:tcPr>
          <w:p w14:paraId="6990E479"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Mean Equation</w:t>
            </w:r>
          </w:p>
        </w:tc>
        <w:tc>
          <w:tcPr>
            <w:tcW w:w="0" w:type="auto"/>
            <w:gridSpan w:val="3"/>
            <w:tcBorders>
              <w:top w:val="single" w:sz="4" w:space="0" w:color="auto"/>
              <w:left w:val="nil"/>
              <w:bottom w:val="single" w:sz="4" w:space="0" w:color="auto"/>
              <w:right w:val="nil"/>
            </w:tcBorders>
            <w:noWrap/>
            <w:vAlign w:val="center"/>
            <w:hideMark/>
          </w:tcPr>
          <w:p w14:paraId="7699DDA8"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Variance Equation</w:t>
            </w:r>
          </w:p>
        </w:tc>
        <w:tc>
          <w:tcPr>
            <w:tcW w:w="1524" w:type="dxa"/>
            <w:vMerge w:val="restart"/>
            <w:tcBorders>
              <w:top w:val="single" w:sz="4" w:space="0" w:color="auto"/>
              <w:left w:val="nil"/>
              <w:bottom w:val="single" w:sz="8" w:space="0" w:color="000000"/>
              <w:right w:val="nil"/>
            </w:tcBorders>
            <w:vAlign w:val="center"/>
            <w:hideMark/>
          </w:tcPr>
          <w:p w14:paraId="07D95EDC"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GED Parameter</w:t>
            </w:r>
          </w:p>
        </w:tc>
      </w:tr>
      <w:tr w:rsidR="00DF5B90" w:rsidRPr="00DF5B90" w14:paraId="0D941EF3" w14:textId="77777777" w:rsidTr="00DF5B90">
        <w:trPr>
          <w:trHeight w:val="315"/>
          <w:jc w:val="center"/>
        </w:trPr>
        <w:tc>
          <w:tcPr>
            <w:tcW w:w="0" w:type="auto"/>
            <w:gridSpan w:val="2"/>
            <w:vMerge/>
            <w:tcBorders>
              <w:top w:val="single" w:sz="4" w:space="0" w:color="auto"/>
              <w:left w:val="nil"/>
              <w:bottom w:val="single" w:sz="8" w:space="0" w:color="000000"/>
              <w:right w:val="nil"/>
            </w:tcBorders>
            <w:vAlign w:val="center"/>
            <w:hideMark/>
          </w:tcPr>
          <w:p w14:paraId="08D27FF8" w14:textId="77777777" w:rsidR="00DF5B90" w:rsidRPr="00DF5B90" w:rsidRDefault="00DF5B90" w:rsidP="00DF5B90">
            <w:pPr>
              <w:spacing w:after="0" w:line="240" w:lineRule="auto"/>
              <w:rPr>
                <w:rFonts w:asciiTheme="minorHAnsi" w:eastAsia="Times New Roman" w:hAnsiTheme="minorHAnsi" w:cstheme="minorHAnsi"/>
                <w:b/>
                <w:bCs/>
                <w:color w:val="000000"/>
                <w:lang w:val="en-US"/>
              </w:rPr>
            </w:pPr>
          </w:p>
        </w:tc>
        <w:tc>
          <w:tcPr>
            <w:tcW w:w="0" w:type="auto"/>
            <w:tcBorders>
              <w:top w:val="nil"/>
              <w:left w:val="nil"/>
              <w:bottom w:val="single" w:sz="8" w:space="0" w:color="auto"/>
              <w:right w:val="nil"/>
            </w:tcBorders>
            <w:vAlign w:val="center"/>
            <w:hideMark/>
          </w:tcPr>
          <w:p w14:paraId="0E841567"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C</w:t>
            </w:r>
          </w:p>
        </w:tc>
        <w:tc>
          <w:tcPr>
            <w:tcW w:w="0" w:type="auto"/>
            <w:tcBorders>
              <w:top w:val="nil"/>
              <w:left w:val="nil"/>
              <w:bottom w:val="single" w:sz="8" w:space="0" w:color="auto"/>
              <w:right w:val="nil"/>
            </w:tcBorders>
            <w:vAlign w:val="center"/>
            <w:hideMark/>
          </w:tcPr>
          <w:p w14:paraId="7C35CEC1"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Independent</w:t>
            </w:r>
          </w:p>
          <w:p w14:paraId="3749C71D"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Variable</w:t>
            </w:r>
          </w:p>
          <w:p w14:paraId="246866E6"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en-US"/>
              </w:rPr>
            </w:pPr>
            <w:r w:rsidRPr="00DF5B90">
              <w:rPr>
                <w:rFonts w:asciiTheme="minorHAnsi" w:eastAsia="Times New Roman" w:hAnsiTheme="minorHAnsi" w:cstheme="minorHAnsi"/>
                <w:b/>
                <w:bCs/>
                <w:color w:val="000000"/>
                <w:lang w:val="id-ID"/>
              </w:rPr>
              <w:t>(Volatili</w:t>
            </w:r>
            <w:r w:rsidRPr="00DF5B90">
              <w:rPr>
                <w:rFonts w:asciiTheme="minorHAnsi" w:eastAsia="Times New Roman" w:hAnsiTheme="minorHAnsi" w:cstheme="minorHAnsi"/>
                <w:b/>
                <w:bCs/>
                <w:color w:val="000000"/>
              </w:rPr>
              <w:t>ty</w:t>
            </w:r>
            <w:r w:rsidRPr="00DF5B90">
              <w:rPr>
                <w:rFonts w:asciiTheme="minorHAnsi" w:eastAsia="Times New Roman" w:hAnsiTheme="minorHAnsi" w:cstheme="minorHAnsi"/>
                <w:b/>
                <w:bCs/>
                <w:color w:val="000000"/>
                <w:lang w:val="id-ID"/>
              </w:rPr>
              <w:t>)</w:t>
            </w:r>
          </w:p>
        </w:tc>
        <w:tc>
          <w:tcPr>
            <w:tcW w:w="0" w:type="auto"/>
            <w:tcBorders>
              <w:top w:val="nil"/>
              <w:left w:val="nil"/>
              <w:bottom w:val="single" w:sz="8" w:space="0" w:color="auto"/>
              <w:right w:val="nil"/>
            </w:tcBorders>
            <w:noWrap/>
            <w:vAlign w:val="center"/>
            <w:hideMark/>
          </w:tcPr>
          <w:p w14:paraId="54404458"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C</w:t>
            </w:r>
          </w:p>
        </w:tc>
        <w:tc>
          <w:tcPr>
            <w:tcW w:w="0" w:type="auto"/>
            <w:tcBorders>
              <w:top w:val="nil"/>
              <w:left w:val="nil"/>
              <w:bottom w:val="single" w:sz="8" w:space="0" w:color="auto"/>
              <w:right w:val="nil"/>
            </w:tcBorders>
            <w:noWrap/>
            <w:vAlign w:val="center"/>
            <w:hideMark/>
          </w:tcPr>
          <w:p w14:paraId="408AC60D"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Resid</w:t>
            </w:r>
          </w:p>
        </w:tc>
        <w:tc>
          <w:tcPr>
            <w:tcW w:w="0" w:type="auto"/>
            <w:tcBorders>
              <w:top w:val="nil"/>
              <w:left w:val="nil"/>
              <w:bottom w:val="single" w:sz="8" w:space="0" w:color="auto"/>
              <w:right w:val="nil"/>
            </w:tcBorders>
            <w:noWrap/>
            <w:vAlign w:val="center"/>
            <w:hideMark/>
          </w:tcPr>
          <w:p w14:paraId="26DCB1A6" w14:textId="2790C509"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G</w:t>
            </w:r>
            <w:r w:rsidR="006E23DC">
              <w:rPr>
                <w:rFonts w:asciiTheme="minorHAnsi" w:eastAsia="Times New Roman" w:hAnsiTheme="minorHAnsi" w:cstheme="minorHAnsi"/>
                <w:b/>
                <w:bCs/>
                <w:color w:val="000000"/>
                <w:lang w:val="id-ID"/>
              </w:rPr>
              <w:t>ARCH</w:t>
            </w:r>
          </w:p>
        </w:tc>
        <w:tc>
          <w:tcPr>
            <w:tcW w:w="0" w:type="auto"/>
            <w:vMerge/>
            <w:tcBorders>
              <w:top w:val="single" w:sz="4" w:space="0" w:color="auto"/>
              <w:left w:val="nil"/>
              <w:bottom w:val="single" w:sz="8" w:space="0" w:color="000000"/>
              <w:right w:val="nil"/>
            </w:tcBorders>
            <w:vAlign w:val="center"/>
            <w:hideMark/>
          </w:tcPr>
          <w:p w14:paraId="7B97E75F" w14:textId="77777777" w:rsidR="00DF5B90" w:rsidRPr="00DF5B90" w:rsidRDefault="00DF5B90" w:rsidP="00DF5B90">
            <w:pPr>
              <w:spacing w:after="0" w:line="240" w:lineRule="auto"/>
              <w:rPr>
                <w:rFonts w:asciiTheme="minorHAnsi" w:eastAsia="Times New Roman" w:hAnsiTheme="minorHAnsi" w:cstheme="minorHAnsi"/>
                <w:b/>
                <w:bCs/>
                <w:color w:val="000000"/>
                <w:lang w:val="id-ID"/>
              </w:rPr>
            </w:pPr>
          </w:p>
        </w:tc>
      </w:tr>
      <w:tr w:rsidR="00DF5B90" w:rsidRPr="00DF5B90" w14:paraId="516CB901" w14:textId="77777777" w:rsidTr="00DF5B90">
        <w:trPr>
          <w:trHeight w:val="300"/>
          <w:jc w:val="center"/>
        </w:trPr>
        <w:tc>
          <w:tcPr>
            <w:tcW w:w="0" w:type="auto"/>
            <w:vMerge w:val="restart"/>
            <w:tcBorders>
              <w:top w:val="single" w:sz="4" w:space="0" w:color="auto"/>
              <w:left w:val="nil"/>
              <w:bottom w:val="single" w:sz="4" w:space="0" w:color="auto"/>
              <w:right w:val="nil"/>
            </w:tcBorders>
            <w:noWrap/>
            <w:vAlign w:val="center"/>
            <w:hideMark/>
          </w:tcPr>
          <w:p w14:paraId="06741870"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JKSE</w:t>
            </w:r>
          </w:p>
        </w:tc>
        <w:tc>
          <w:tcPr>
            <w:tcW w:w="0" w:type="auto"/>
            <w:tcBorders>
              <w:top w:val="single" w:sz="4" w:space="0" w:color="auto"/>
              <w:left w:val="nil"/>
              <w:bottom w:val="nil"/>
              <w:right w:val="nil"/>
            </w:tcBorders>
            <w:noWrap/>
            <w:vAlign w:val="center"/>
            <w:hideMark/>
          </w:tcPr>
          <w:p w14:paraId="2EDA3118"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noWrap/>
            <w:vAlign w:val="center"/>
            <w:hideMark/>
          </w:tcPr>
          <w:p w14:paraId="039A263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0.0005</w:t>
            </w:r>
          </w:p>
        </w:tc>
        <w:tc>
          <w:tcPr>
            <w:tcW w:w="0" w:type="auto"/>
            <w:noWrap/>
            <w:vAlign w:val="center"/>
            <w:hideMark/>
          </w:tcPr>
          <w:p w14:paraId="4BB98E5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-0.0002</w:t>
            </w:r>
          </w:p>
        </w:tc>
        <w:tc>
          <w:tcPr>
            <w:tcW w:w="0" w:type="auto"/>
            <w:noWrap/>
            <w:vAlign w:val="center"/>
            <w:hideMark/>
          </w:tcPr>
          <w:p w14:paraId="2896381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noWrap/>
            <w:vAlign w:val="center"/>
            <w:hideMark/>
          </w:tcPr>
          <w:p w14:paraId="25F34CD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0.0235</w:t>
            </w:r>
          </w:p>
        </w:tc>
        <w:tc>
          <w:tcPr>
            <w:tcW w:w="0" w:type="auto"/>
            <w:noWrap/>
            <w:vAlign w:val="center"/>
            <w:hideMark/>
          </w:tcPr>
          <w:p w14:paraId="01D860B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0.7191</w:t>
            </w:r>
          </w:p>
        </w:tc>
        <w:tc>
          <w:tcPr>
            <w:tcW w:w="1524" w:type="dxa"/>
            <w:vAlign w:val="center"/>
            <w:hideMark/>
          </w:tcPr>
          <w:p w14:paraId="65037A0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1.1050</w:t>
            </w:r>
          </w:p>
        </w:tc>
      </w:tr>
      <w:tr w:rsidR="00DF5B90" w:rsidRPr="00DF5B90" w14:paraId="6970C843"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53024C21"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1A2F75FE"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29CE493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1.3813</w:t>
            </w:r>
          </w:p>
        </w:tc>
        <w:tc>
          <w:tcPr>
            <w:tcW w:w="0" w:type="auto"/>
            <w:noWrap/>
            <w:vAlign w:val="center"/>
            <w:hideMark/>
          </w:tcPr>
          <w:p w14:paraId="69DCC3A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-0.4645</w:t>
            </w:r>
          </w:p>
        </w:tc>
        <w:tc>
          <w:tcPr>
            <w:tcW w:w="0" w:type="auto"/>
            <w:noWrap/>
            <w:vAlign w:val="center"/>
            <w:hideMark/>
          </w:tcPr>
          <w:p w14:paraId="554B191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1.3942</w:t>
            </w:r>
          </w:p>
        </w:tc>
        <w:tc>
          <w:tcPr>
            <w:tcW w:w="0" w:type="auto"/>
            <w:noWrap/>
            <w:vAlign w:val="center"/>
            <w:hideMark/>
          </w:tcPr>
          <w:p w14:paraId="3D0D5F8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0.6517</w:t>
            </w:r>
          </w:p>
        </w:tc>
        <w:tc>
          <w:tcPr>
            <w:tcW w:w="0" w:type="auto"/>
            <w:noWrap/>
            <w:vAlign w:val="center"/>
            <w:hideMark/>
          </w:tcPr>
          <w:p w14:paraId="4516299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3.6910</w:t>
            </w:r>
            <w:r w:rsidRPr="00DF5B90">
              <w:rPr>
                <w:rFonts w:asciiTheme="minorHAnsi" w:eastAsia="Times New Roman" w:hAnsiTheme="minorHAnsi" w:cstheme="minorHAnsi"/>
                <w:color w:val="000000"/>
                <w:vertAlign w:val="superscript"/>
                <w:lang w:val="id-ID"/>
              </w:rPr>
              <w:t>***</w:t>
            </w:r>
          </w:p>
        </w:tc>
        <w:tc>
          <w:tcPr>
            <w:tcW w:w="1524" w:type="dxa"/>
            <w:noWrap/>
            <w:vAlign w:val="center"/>
            <w:hideMark/>
          </w:tcPr>
          <w:p w14:paraId="7E46492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12.5505</w:t>
            </w:r>
            <w:r w:rsidRPr="00DF5B90">
              <w:rPr>
                <w:rFonts w:asciiTheme="minorHAnsi" w:eastAsia="Times New Roman" w:hAnsiTheme="minorHAnsi" w:cstheme="minorHAnsi"/>
                <w:color w:val="000000"/>
                <w:vertAlign w:val="superscript"/>
                <w:lang w:val="id-ID"/>
              </w:rPr>
              <w:t>***</w:t>
            </w:r>
          </w:p>
        </w:tc>
      </w:tr>
      <w:tr w:rsidR="00DF5B90" w:rsidRPr="00DF5B90" w14:paraId="0503BFCC"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26BF989E"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1F4EBCEB"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2AB23CD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0.1672</w:t>
            </w:r>
          </w:p>
        </w:tc>
        <w:tc>
          <w:tcPr>
            <w:tcW w:w="0" w:type="auto"/>
            <w:tcBorders>
              <w:top w:val="nil"/>
              <w:left w:val="nil"/>
              <w:bottom w:val="single" w:sz="4" w:space="0" w:color="auto"/>
              <w:right w:val="nil"/>
            </w:tcBorders>
            <w:noWrap/>
            <w:vAlign w:val="center"/>
            <w:hideMark/>
          </w:tcPr>
          <w:p w14:paraId="12D4EA2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0.6423</w:t>
            </w:r>
          </w:p>
        </w:tc>
        <w:tc>
          <w:tcPr>
            <w:tcW w:w="0" w:type="auto"/>
            <w:tcBorders>
              <w:top w:val="nil"/>
              <w:left w:val="nil"/>
              <w:bottom w:val="single" w:sz="4" w:space="0" w:color="auto"/>
              <w:right w:val="nil"/>
            </w:tcBorders>
            <w:noWrap/>
            <w:vAlign w:val="center"/>
            <w:hideMark/>
          </w:tcPr>
          <w:p w14:paraId="0D27E98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0.1633</w:t>
            </w:r>
          </w:p>
        </w:tc>
        <w:tc>
          <w:tcPr>
            <w:tcW w:w="0" w:type="auto"/>
            <w:tcBorders>
              <w:top w:val="nil"/>
              <w:left w:val="nil"/>
              <w:bottom w:val="single" w:sz="4" w:space="0" w:color="auto"/>
              <w:right w:val="nil"/>
            </w:tcBorders>
            <w:noWrap/>
            <w:vAlign w:val="center"/>
            <w:hideMark/>
          </w:tcPr>
          <w:p w14:paraId="4F35E60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0.5146</w:t>
            </w:r>
          </w:p>
        </w:tc>
        <w:tc>
          <w:tcPr>
            <w:tcW w:w="0" w:type="auto"/>
            <w:tcBorders>
              <w:top w:val="nil"/>
              <w:left w:val="nil"/>
              <w:bottom w:val="single" w:sz="4" w:space="0" w:color="auto"/>
              <w:right w:val="nil"/>
            </w:tcBorders>
            <w:noWrap/>
            <w:vAlign w:val="center"/>
            <w:hideMark/>
          </w:tcPr>
          <w:p w14:paraId="61C7B26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0.0002</w:t>
            </w:r>
          </w:p>
        </w:tc>
        <w:tc>
          <w:tcPr>
            <w:tcW w:w="1524" w:type="dxa"/>
            <w:tcBorders>
              <w:top w:val="nil"/>
              <w:left w:val="nil"/>
              <w:bottom w:val="single" w:sz="4" w:space="0" w:color="auto"/>
              <w:right w:val="nil"/>
            </w:tcBorders>
            <w:noWrap/>
            <w:vAlign w:val="center"/>
            <w:hideMark/>
          </w:tcPr>
          <w:p w14:paraId="4513006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7438F25B" w14:textId="77777777" w:rsidTr="00DF5B90">
        <w:trPr>
          <w:trHeight w:val="300"/>
          <w:jc w:val="center"/>
        </w:trPr>
        <w:tc>
          <w:tcPr>
            <w:tcW w:w="0" w:type="auto"/>
            <w:vMerge w:val="restart"/>
            <w:tcBorders>
              <w:top w:val="single" w:sz="4" w:space="0" w:color="auto"/>
              <w:left w:val="nil"/>
              <w:bottom w:val="single" w:sz="4" w:space="0" w:color="auto"/>
              <w:right w:val="nil"/>
            </w:tcBorders>
            <w:noWrap/>
            <w:vAlign w:val="center"/>
            <w:hideMark/>
          </w:tcPr>
          <w:p w14:paraId="7BE1AE0D"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KLSE</w:t>
            </w:r>
          </w:p>
        </w:tc>
        <w:tc>
          <w:tcPr>
            <w:tcW w:w="0" w:type="auto"/>
            <w:tcBorders>
              <w:top w:val="single" w:sz="4" w:space="0" w:color="auto"/>
              <w:left w:val="nil"/>
              <w:bottom w:val="nil"/>
              <w:right w:val="nil"/>
            </w:tcBorders>
            <w:noWrap/>
            <w:vAlign w:val="center"/>
            <w:hideMark/>
          </w:tcPr>
          <w:p w14:paraId="1BDF2ABA"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5B76DAB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0.0005</w:t>
            </w:r>
          </w:p>
        </w:tc>
        <w:tc>
          <w:tcPr>
            <w:tcW w:w="0" w:type="auto"/>
            <w:tcBorders>
              <w:top w:val="single" w:sz="4" w:space="0" w:color="auto"/>
              <w:left w:val="nil"/>
              <w:bottom w:val="nil"/>
              <w:right w:val="nil"/>
            </w:tcBorders>
            <w:noWrap/>
            <w:vAlign w:val="center"/>
            <w:hideMark/>
          </w:tcPr>
          <w:p w14:paraId="79B2753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0.0003</w:t>
            </w:r>
          </w:p>
        </w:tc>
        <w:tc>
          <w:tcPr>
            <w:tcW w:w="0" w:type="auto"/>
            <w:tcBorders>
              <w:top w:val="single" w:sz="4" w:space="0" w:color="auto"/>
              <w:left w:val="nil"/>
              <w:bottom w:val="nil"/>
              <w:right w:val="nil"/>
            </w:tcBorders>
            <w:noWrap/>
            <w:vAlign w:val="center"/>
            <w:hideMark/>
          </w:tcPr>
          <w:p w14:paraId="4E471EF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single" w:sz="4" w:space="0" w:color="auto"/>
              <w:left w:val="nil"/>
              <w:bottom w:val="nil"/>
              <w:right w:val="nil"/>
            </w:tcBorders>
            <w:noWrap/>
            <w:vAlign w:val="center"/>
            <w:hideMark/>
          </w:tcPr>
          <w:p w14:paraId="197C945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0.0271</w:t>
            </w:r>
          </w:p>
        </w:tc>
        <w:tc>
          <w:tcPr>
            <w:tcW w:w="0" w:type="auto"/>
            <w:tcBorders>
              <w:top w:val="single" w:sz="4" w:space="0" w:color="auto"/>
              <w:left w:val="nil"/>
              <w:bottom w:val="nil"/>
              <w:right w:val="nil"/>
            </w:tcBorders>
            <w:noWrap/>
            <w:vAlign w:val="center"/>
            <w:hideMark/>
          </w:tcPr>
          <w:p w14:paraId="5B52E16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0.7163</w:t>
            </w:r>
          </w:p>
        </w:tc>
        <w:tc>
          <w:tcPr>
            <w:tcW w:w="1524" w:type="dxa"/>
            <w:tcBorders>
              <w:top w:val="single" w:sz="4" w:space="0" w:color="auto"/>
              <w:left w:val="nil"/>
              <w:bottom w:val="nil"/>
              <w:right w:val="nil"/>
            </w:tcBorders>
            <w:vAlign w:val="center"/>
            <w:hideMark/>
          </w:tcPr>
          <w:p w14:paraId="159E47E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1.1035</w:t>
            </w:r>
          </w:p>
        </w:tc>
      </w:tr>
      <w:tr w:rsidR="00DF5B90" w:rsidRPr="00DF5B90" w14:paraId="0E58C037"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47B688EA"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40AF5C96"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227FCFB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1.5662</w:t>
            </w:r>
          </w:p>
        </w:tc>
        <w:tc>
          <w:tcPr>
            <w:tcW w:w="0" w:type="auto"/>
            <w:noWrap/>
            <w:vAlign w:val="center"/>
            <w:hideMark/>
          </w:tcPr>
          <w:p w14:paraId="1C4F940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0.8325</w:t>
            </w:r>
          </w:p>
        </w:tc>
        <w:tc>
          <w:tcPr>
            <w:tcW w:w="0" w:type="auto"/>
            <w:noWrap/>
            <w:vAlign w:val="center"/>
            <w:hideMark/>
          </w:tcPr>
          <w:p w14:paraId="33EF1C3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1.4312</w:t>
            </w:r>
          </w:p>
        </w:tc>
        <w:tc>
          <w:tcPr>
            <w:tcW w:w="0" w:type="auto"/>
            <w:noWrap/>
            <w:vAlign w:val="center"/>
            <w:hideMark/>
          </w:tcPr>
          <w:p w14:paraId="77199ED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0.7235</w:t>
            </w:r>
          </w:p>
        </w:tc>
        <w:tc>
          <w:tcPr>
            <w:tcW w:w="0" w:type="auto"/>
            <w:noWrap/>
            <w:vAlign w:val="center"/>
            <w:hideMark/>
          </w:tcPr>
          <w:p w14:paraId="2CEEFDB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3.7538</w:t>
            </w:r>
            <w:r w:rsidRPr="00DF5B90">
              <w:rPr>
                <w:rFonts w:asciiTheme="minorHAnsi" w:eastAsia="Times New Roman" w:hAnsiTheme="minorHAnsi" w:cstheme="minorHAnsi"/>
                <w:color w:val="000000"/>
                <w:vertAlign w:val="superscript"/>
                <w:lang w:val="id-ID"/>
              </w:rPr>
              <w:t>***</w:t>
            </w:r>
          </w:p>
        </w:tc>
        <w:tc>
          <w:tcPr>
            <w:tcW w:w="1524" w:type="dxa"/>
            <w:noWrap/>
            <w:vAlign w:val="center"/>
            <w:hideMark/>
          </w:tcPr>
          <w:p w14:paraId="6789038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12.6356</w:t>
            </w:r>
            <w:r w:rsidRPr="00DF5B90">
              <w:rPr>
                <w:rFonts w:asciiTheme="minorHAnsi" w:eastAsia="Times New Roman" w:hAnsiTheme="minorHAnsi" w:cstheme="minorHAnsi"/>
                <w:color w:val="000000"/>
                <w:vertAlign w:val="superscript"/>
                <w:lang w:val="id-ID"/>
              </w:rPr>
              <w:t>***</w:t>
            </w:r>
          </w:p>
        </w:tc>
      </w:tr>
      <w:tr w:rsidR="00DF5B90" w:rsidRPr="00DF5B90" w14:paraId="77222ADC"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7DD2A89C"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159B7670"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081B73A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0.1173</w:t>
            </w:r>
          </w:p>
        </w:tc>
        <w:tc>
          <w:tcPr>
            <w:tcW w:w="0" w:type="auto"/>
            <w:tcBorders>
              <w:top w:val="nil"/>
              <w:left w:val="nil"/>
              <w:bottom w:val="single" w:sz="4" w:space="0" w:color="auto"/>
              <w:right w:val="nil"/>
            </w:tcBorders>
            <w:noWrap/>
            <w:vAlign w:val="center"/>
            <w:hideMark/>
          </w:tcPr>
          <w:p w14:paraId="203022F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0.4052</w:t>
            </w:r>
          </w:p>
        </w:tc>
        <w:tc>
          <w:tcPr>
            <w:tcW w:w="0" w:type="auto"/>
            <w:tcBorders>
              <w:top w:val="nil"/>
              <w:left w:val="nil"/>
              <w:bottom w:val="single" w:sz="4" w:space="0" w:color="auto"/>
              <w:right w:val="nil"/>
            </w:tcBorders>
            <w:noWrap/>
            <w:vAlign w:val="center"/>
            <w:hideMark/>
          </w:tcPr>
          <w:p w14:paraId="71B9FCA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0.1524</w:t>
            </w:r>
          </w:p>
        </w:tc>
        <w:tc>
          <w:tcPr>
            <w:tcW w:w="0" w:type="auto"/>
            <w:tcBorders>
              <w:top w:val="nil"/>
              <w:left w:val="nil"/>
              <w:bottom w:val="single" w:sz="4" w:space="0" w:color="auto"/>
              <w:right w:val="nil"/>
            </w:tcBorders>
            <w:noWrap/>
            <w:vAlign w:val="center"/>
            <w:hideMark/>
          </w:tcPr>
          <w:p w14:paraId="071F535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0.4694</w:t>
            </w:r>
          </w:p>
        </w:tc>
        <w:tc>
          <w:tcPr>
            <w:tcW w:w="0" w:type="auto"/>
            <w:tcBorders>
              <w:top w:val="nil"/>
              <w:left w:val="nil"/>
              <w:bottom w:val="single" w:sz="4" w:space="0" w:color="auto"/>
              <w:right w:val="nil"/>
            </w:tcBorders>
            <w:noWrap/>
            <w:vAlign w:val="center"/>
            <w:hideMark/>
          </w:tcPr>
          <w:p w14:paraId="57CDDA7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0.0002</w:t>
            </w:r>
          </w:p>
        </w:tc>
        <w:tc>
          <w:tcPr>
            <w:tcW w:w="1524" w:type="dxa"/>
            <w:tcBorders>
              <w:top w:val="nil"/>
              <w:left w:val="nil"/>
              <w:bottom w:val="single" w:sz="4" w:space="0" w:color="auto"/>
              <w:right w:val="nil"/>
            </w:tcBorders>
            <w:noWrap/>
            <w:vAlign w:val="center"/>
            <w:hideMark/>
          </w:tcPr>
          <w:p w14:paraId="0F42221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443534B8" w14:textId="77777777" w:rsidTr="00DF5B90">
        <w:trPr>
          <w:trHeight w:val="300"/>
          <w:jc w:val="center"/>
        </w:trPr>
        <w:tc>
          <w:tcPr>
            <w:tcW w:w="0" w:type="auto"/>
            <w:vMerge w:val="restart"/>
            <w:tcBorders>
              <w:top w:val="single" w:sz="4" w:space="0" w:color="auto"/>
              <w:left w:val="nil"/>
              <w:bottom w:val="single" w:sz="4" w:space="0" w:color="auto"/>
              <w:right w:val="nil"/>
            </w:tcBorders>
            <w:noWrap/>
            <w:vAlign w:val="center"/>
            <w:hideMark/>
          </w:tcPr>
          <w:p w14:paraId="74D332B4"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PSEi</w:t>
            </w:r>
          </w:p>
        </w:tc>
        <w:tc>
          <w:tcPr>
            <w:tcW w:w="0" w:type="auto"/>
            <w:tcBorders>
              <w:top w:val="single" w:sz="4" w:space="0" w:color="auto"/>
              <w:left w:val="nil"/>
              <w:bottom w:val="nil"/>
              <w:right w:val="nil"/>
            </w:tcBorders>
            <w:noWrap/>
            <w:vAlign w:val="center"/>
            <w:hideMark/>
          </w:tcPr>
          <w:p w14:paraId="654D1C19"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5A3BDCE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0.0005</w:t>
            </w:r>
          </w:p>
        </w:tc>
        <w:tc>
          <w:tcPr>
            <w:tcW w:w="0" w:type="auto"/>
            <w:tcBorders>
              <w:top w:val="single" w:sz="4" w:space="0" w:color="auto"/>
              <w:left w:val="nil"/>
              <w:bottom w:val="nil"/>
              <w:right w:val="nil"/>
            </w:tcBorders>
            <w:noWrap/>
            <w:vAlign w:val="center"/>
            <w:hideMark/>
          </w:tcPr>
          <w:p w14:paraId="45963A0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0.0007</w:t>
            </w:r>
          </w:p>
        </w:tc>
        <w:tc>
          <w:tcPr>
            <w:tcW w:w="0" w:type="auto"/>
            <w:tcBorders>
              <w:top w:val="single" w:sz="4" w:space="0" w:color="auto"/>
              <w:left w:val="nil"/>
              <w:bottom w:val="nil"/>
              <w:right w:val="nil"/>
            </w:tcBorders>
            <w:noWrap/>
            <w:vAlign w:val="center"/>
            <w:hideMark/>
          </w:tcPr>
          <w:p w14:paraId="2F3CC32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single" w:sz="4" w:space="0" w:color="auto"/>
              <w:left w:val="nil"/>
              <w:bottom w:val="nil"/>
              <w:right w:val="nil"/>
            </w:tcBorders>
            <w:noWrap/>
            <w:vAlign w:val="center"/>
            <w:hideMark/>
          </w:tcPr>
          <w:p w14:paraId="4918B51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0.0216</w:t>
            </w:r>
          </w:p>
        </w:tc>
        <w:tc>
          <w:tcPr>
            <w:tcW w:w="0" w:type="auto"/>
            <w:tcBorders>
              <w:top w:val="single" w:sz="4" w:space="0" w:color="auto"/>
              <w:left w:val="nil"/>
              <w:bottom w:val="nil"/>
              <w:right w:val="nil"/>
            </w:tcBorders>
            <w:noWrap/>
            <w:vAlign w:val="center"/>
            <w:hideMark/>
          </w:tcPr>
          <w:p w14:paraId="53E83D7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0.7206</w:t>
            </w:r>
          </w:p>
        </w:tc>
        <w:tc>
          <w:tcPr>
            <w:tcW w:w="1524" w:type="dxa"/>
            <w:tcBorders>
              <w:top w:val="single" w:sz="4" w:space="0" w:color="auto"/>
              <w:left w:val="nil"/>
              <w:bottom w:val="nil"/>
              <w:right w:val="nil"/>
            </w:tcBorders>
            <w:vAlign w:val="center"/>
            <w:hideMark/>
          </w:tcPr>
          <w:p w14:paraId="0F8A358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1.1217</w:t>
            </w:r>
          </w:p>
        </w:tc>
      </w:tr>
      <w:tr w:rsidR="00DF5B90" w:rsidRPr="00DF5B90" w14:paraId="0E57A1A5"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48345028"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19F3FC27"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401D340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1.6201</w:t>
            </w:r>
          </w:p>
        </w:tc>
        <w:tc>
          <w:tcPr>
            <w:tcW w:w="0" w:type="auto"/>
            <w:noWrap/>
            <w:vAlign w:val="center"/>
            <w:hideMark/>
          </w:tcPr>
          <w:p w14:paraId="3B62559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2.1726</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467AB2F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1.4706</w:t>
            </w:r>
          </w:p>
        </w:tc>
        <w:tc>
          <w:tcPr>
            <w:tcW w:w="0" w:type="auto"/>
            <w:noWrap/>
            <w:vAlign w:val="center"/>
            <w:hideMark/>
          </w:tcPr>
          <w:p w14:paraId="6C3156A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0.6261</w:t>
            </w:r>
          </w:p>
        </w:tc>
        <w:tc>
          <w:tcPr>
            <w:tcW w:w="0" w:type="auto"/>
            <w:noWrap/>
            <w:vAlign w:val="center"/>
            <w:hideMark/>
          </w:tcPr>
          <w:p w14:paraId="3BD6D84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3.9266</w:t>
            </w:r>
            <w:r w:rsidRPr="00DF5B90">
              <w:rPr>
                <w:rFonts w:asciiTheme="minorHAnsi" w:eastAsia="Times New Roman" w:hAnsiTheme="minorHAnsi" w:cstheme="minorHAnsi"/>
                <w:color w:val="000000"/>
                <w:vertAlign w:val="superscript"/>
                <w:lang w:val="id-ID"/>
              </w:rPr>
              <w:t>***</w:t>
            </w:r>
          </w:p>
        </w:tc>
        <w:tc>
          <w:tcPr>
            <w:tcW w:w="1524" w:type="dxa"/>
            <w:noWrap/>
            <w:vAlign w:val="center"/>
            <w:hideMark/>
          </w:tcPr>
          <w:p w14:paraId="3C33127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12.5881</w:t>
            </w:r>
            <w:r w:rsidRPr="00DF5B90">
              <w:rPr>
                <w:rFonts w:asciiTheme="minorHAnsi" w:eastAsia="Times New Roman" w:hAnsiTheme="minorHAnsi" w:cstheme="minorHAnsi"/>
                <w:color w:val="000000"/>
                <w:vertAlign w:val="superscript"/>
                <w:lang w:val="id-ID"/>
              </w:rPr>
              <w:t>***</w:t>
            </w:r>
          </w:p>
        </w:tc>
      </w:tr>
      <w:tr w:rsidR="00DF5B90" w:rsidRPr="00DF5B90" w14:paraId="3E25A5A9"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52E0DE94"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17C7B0FB"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62DD3F2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0.1052</w:t>
            </w:r>
          </w:p>
        </w:tc>
        <w:tc>
          <w:tcPr>
            <w:tcW w:w="0" w:type="auto"/>
            <w:tcBorders>
              <w:top w:val="nil"/>
              <w:left w:val="nil"/>
              <w:bottom w:val="single" w:sz="4" w:space="0" w:color="auto"/>
              <w:right w:val="nil"/>
            </w:tcBorders>
            <w:noWrap/>
            <w:vAlign w:val="center"/>
            <w:hideMark/>
          </w:tcPr>
          <w:p w14:paraId="5CCCE7A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0.0298</w:t>
            </w:r>
          </w:p>
        </w:tc>
        <w:tc>
          <w:tcPr>
            <w:tcW w:w="0" w:type="auto"/>
            <w:tcBorders>
              <w:top w:val="nil"/>
              <w:left w:val="nil"/>
              <w:bottom w:val="single" w:sz="4" w:space="0" w:color="auto"/>
              <w:right w:val="nil"/>
            </w:tcBorders>
            <w:noWrap/>
            <w:vAlign w:val="center"/>
            <w:hideMark/>
          </w:tcPr>
          <w:p w14:paraId="3BDFD0C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0.1414</w:t>
            </w:r>
          </w:p>
        </w:tc>
        <w:tc>
          <w:tcPr>
            <w:tcW w:w="0" w:type="auto"/>
            <w:tcBorders>
              <w:top w:val="nil"/>
              <w:left w:val="nil"/>
              <w:bottom w:val="single" w:sz="4" w:space="0" w:color="auto"/>
              <w:right w:val="nil"/>
            </w:tcBorders>
            <w:noWrap/>
            <w:vAlign w:val="center"/>
            <w:hideMark/>
          </w:tcPr>
          <w:p w14:paraId="145842D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0.5312</w:t>
            </w:r>
          </w:p>
        </w:tc>
        <w:tc>
          <w:tcPr>
            <w:tcW w:w="0" w:type="auto"/>
            <w:tcBorders>
              <w:top w:val="nil"/>
              <w:left w:val="nil"/>
              <w:bottom w:val="single" w:sz="4" w:space="0" w:color="auto"/>
              <w:right w:val="nil"/>
            </w:tcBorders>
            <w:noWrap/>
            <w:vAlign w:val="center"/>
            <w:hideMark/>
          </w:tcPr>
          <w:p w14:paraId="1909444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0.0001</w:t>
            </w:r>
          </w:p>
        </w:tc>
        <w:tc>
          <w:tcPr>
            <w:tcW w:w="1524" w:type="dxa"/>
            <w:tcBorders>
              <w:top w:val="nil"/>
              <w:left w:val="nil"/>
              <w:bottom w:val="single" w:sz="4" w:space="0" w:color="auto"/>
              <w:right w:val="nil"/>
            </w:tcBorders>
            <w:noWrap/>
            <w:vAlign w:val="center"/>
            <w:hideMark/>
          </w:tcPr>
          <w:p w14:paraId="138DB35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44AD1948" w14:textId="77777777" w:rsidTr="00DF5B90">
        <w:trPr>
          <w:trHeight w:val="300"/>
          <w:jc w:val="center"/>
        </w:trPr>
        <w:tc>
          <w:tcPr>
            <w:tcW w:w="0" w:type="auto"/>
            <w:vMerge w:val="restart"/>
            <w:tcBorders>
              <w:top w:val="single" w:sz="4" w:space="0" w:color="auto"/>
              <w:left w:val="nil"/>
              <w:bottom w:val="single" w:sz="4" w:space="0" w:color="auto"/>
              <w:right w:val="nil"/>
            </w:tcBorders>
            <w:noWrap/>
            <w:vAlign w:val="center"/>
            <w:hideMark/>
          </w:tcPr>
          <w:p w14:paraId="45511FCF"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STI</w:t>
            </w:r>
          </w:p>
        </w:tc>
        <w:tc>
          <w:tcPr>
            <w:tcW w:w="0" w:type="auto"/>
            <w:tcBorders>
              <w:top w:val="single" w:sz="4" w:space="0" w:color="auto"/>
              <w:left w:val="nil"/>
              <w:bottom w:val="nil"/>
              <w:right w:val="nil"/>
            </w:tcBorders>
            <w:noWrap/>
            <w:vAlign w:val="center"/>
            <w:hideMark/>
          </w:tcPr>
          <w:p w14:paraId="543E12C1"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6C6245A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0.0004</w:t>
            </w:r>
          </w:p>
        </w:tc>
        <w:tc>
          <w:tcPr>
            <w:tcW w:w="0" w:type="auto"/>
            <w:tcBorders>
              <w:top w:val="single" w:sz="4" w:space="0" w:color="auto"/>
              <w:left w:val="nil"/>
              <w:bottom w:val="nil"/>
              <w:right w:val="nil"/>
            </w:tcBorders>
            <w:noWrap/>
            <w:vAlign w:val="center"/>
            <w:hideMark/>
          </w:tcPr>
          <w:p w14:paraId="1118470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0.0003</w:t>
            </w:r>
          </w:p>
        </w:tc>
        <w:tc>
          <w:tcPr>
            <w:tcW w:w="0" w:type="auto"/>
            <w:tcBorders>
              <w:top w:val="single" w:sz="4" w:space="0" w:color="auto"/>
              <w:left w:val="nil"/>
              <w:bottom w:val="nil"/>
              <w:right w:val="nil"/>
            </w:tcBorders>
            <w:noWrap/>
            <w:vAlign w:val="center"/>
            <w:hideMark/>
          </w:tcPr>
          <w:p w14:paraId="6B69CC8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single" w:sz="4" w:space="0" w:color="auto"/>
              <w:left w:val="nil"/>
              <w:bottom w:val="nil"/>
              <w:right w:val="nil"/>
            </w:tcBorders>
            <w:noWrap/>
            <w:vAlign w:val="center"/>
            <w:hideMark/>
          </w:tcPr>
          <w:p w14:paraId="54D75F7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0.0228</w:t>
            </w:r>
          </w:p>
        </w:tc>
        <w:tc>
          <w:tcPr>
            <w:tcW w:w="0" w:type="auto"/>
            <w:tcBorders>
              <w:top w:val="single" w:sz="4" w:space="0" w:color="auto"/>
              <w:left w:val="nil"/>
              <w:bottom w:val="nil"/>
              <w:right w:val="nil"/>
            </w:tcBorders>
            <w:noWrap/>
            <w:vAlign w:val="center"/>
            <w:hideMark/>
          </w:tcPr>
          <w:p w14:paraId="6575E93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0.7207</w:t>
            </w:r>
          </w:p>
        </w:tc>
        <w:tc>
          <w:tcPr>
            <w:tcW w:w="1524" w:type="dxa"/>
            <w:tcBorders>
              <w:top w:val="single" w:sz="4" w:space="0" w:color="auto"/>
              <w:left w:val="nil"/>
              <w:bottom w:val="nil"/>
              <w:right w:val="nil"/>
            </w:tcBorders>
            <w:vAlign w:val="center"/>
            <w:hideMark/>
          </w:tcPr>
          <w:p w14:paraId="7781ABE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1.1166</w:t>
            </w:r>
          </w:p>
        </w:tc>
      </w:tr>
      <w:tr w:rsidR="00DF5B90" w:rsidRPr="00DF5B90" w14:paraId="07C36B85"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3FAFC0F0"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54899299"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3CC9E88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1.1958</w:t>
            </w:r>
          </w:p>
        </w:tc>
        <w:tc>
          <w:tcPr>
            <w:tcW w:w="0" w:type="auto"/>
            <w:noWrap/>
            <w:vAlign w:val="center"/>
            <w:hideMark/>
          </w:tcPr>
          <w:p w14:paraId="28E9461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0.8610</w:t>
            </w:r>
          </w:p>
        </w:tc>
        <w:tc>
          <w:tcPr>
            <w:tcW w:w="0" w:type="auto"/>
            <w:noWrap/>
            <w:vAlign w:val="center"/>
            <w:hideMark/>
          </w:tcPr>
          <w:p w14:paraId="18321CF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1.4368</w:t>
            </w:r>
          </w:p>
        </w:tc>
        <w:tc>
          <w:tcPr>
            <w:tcW w:w="0" w:type="auto"/>
            <w:noWrap/>
            <w:vAlign w:val="center"/>
            <w:hideMark/>
          </w:tcPr>
          <w:p w14:paraId="558F312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0.6464</w:t>
            </w:r>
          </w:p>
        </w:tc>
        <w:tc>
          <w:tcPr>
            <w:tcW w:w="0" w:type="auto"/>
            <w:noWrap/>
            <w:vAlign w:val="center"/>
            <w:hideMark/>
          </w:tcPr>
          <w:p w14:paraId="715DD98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3.8290</w:t>
            </w:r>
            <w:r w:rsidRPr="00DF5B90">
              <w:rPr>
                <w:rFonts w:asciiTheme="minorHAnsi" w:eastAsia="Times New Roman" w:hAnsiTheme="minorHAnsi" w:cstheme="minorHAnsi"/>
                <w:color w:val="000000"/>
                <w:vertAlign w:val="superscript"/>
                <w:lang w:val="id-ID"/>
              </w:rPr>
              <w:t>***</w:t>
            </w:r>
          </w:p>
        </w:tc>
        <w:tc>
          <w:tcPr>
            <w:tcW w:w="1524" w:type="dxa"/>
            <w:noWrap/>
            <w:vAlign w:val="center"/>
            <w:hideMark/>
          </w:tcPr>
          <w:p w14:paraId="386EA52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12.6022</w:t>
            </w:r>
            <w:r w:rsidRPr="00DF5B90">
              <w:rPr>
                <w:rFonts w:asciiTheme="minorHAnsi" w:eastAsia="Times New Roman" w:hAnsiTheme="minorHAnsi" w:cstheme="minorHAnsi"/>
                <w:color w:val="000000"/>
                <w:vertAlign w:val="superscript"/>
                <w:lang w:val="id-ID"/>
              </w:rPr>
              <w:t>***</w:t>
            </w:r>
          </w:p>
        </w:tc>
      </w:tr>
      <w:tr w:rsidR="00DF5B90" w:rsidRPr="00DF5B90" w14:paraId="0AF5B3B4"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6F007B52"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0087E6DD"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78B0595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0.2318</w:t>
            </w:r>
          </w:p>
        </w:tc>
        <w:tc>
          <w:tcPr>
            <w:tcW w:w="0" w:type="auto"/>
            <w:tcBorders>
              <w:top w:val="nil"/>
              <w:left w:val="nil"/>
              <w:bottom w:val="single" w:sz="4" w:space="0" w:color="auto"/>
              <w:right w:val="nil"/>
            </w:tcBorders>
            <w:noWrap/>
            <w:vAlign w:val="center"/>
            <w:hideMark/>
          </w:tcPr>
          <w:p w14:paraId="205F58A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0.3892</w:t>
            </w:r>
          </w:p>
        </w:tc>
        <w:tc>
          <w:tcPr>
            <w:tcW w:w="0" w:type="auto"/>
            <w:tcBorders>
              <w:top w:val="nil"/>
              <w:left w:val="nil"/>
              <w:bottom w:val="single" w:sz="4" w:space="0" w:color="auto"/>
              <w:right w:val="nil"/>
            </w:tcBorders>
            <w:noWrap/>
            <w:vAlign w:val="center"/>
            <w:hideMark/>
          </w:tcPr>
          <w:p w14:paraId="04D82CE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0.1508</w:t>
            </w:r>
          </w:p>
        </w:tc>
        <w:tc>
          <w:tcPr>
            <w:tcW w:w="0" w:type="auto"/>
            <w:tcBorders>
              <w:top w:val="nil"/>
              <w:left w:val="nil"/>
              <w:bottom w:val="single" w:sz="4" w:space="0" w:color="auto"/>
              <w:right w:val="nil"/>
            </w:tcBorders>
            <w:noWrap/>
            <w:vAlign w:val="center"/>
            <w:hideMark/>
          </w:tcPr>
          <w:p w14:paraId="74402D0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0.5180</w:t>
            </w:r>
          </w:p>
        </w:tc>
        <w:tc>
          <w:tcPr>
            <w:tcW w:w="0" w:type="auto"/>
            <w:tcBorders>
              <w:top w:val="nil"/>
              <w:left w:val="nil"/>
              <w:bottom w:val="single" w:sz="4" w:space="0" w:color="auto"/>
              <w:right w:val="nil"/>
            </w:tcBorders>
            <w:noWrap/>
            <w:vAlign w:val="center"/>
            <w:hideMark/>
          </w:tcPr>
          <w:p w14:paraId="5D0D4B5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0.0001</w:t>
            </w:r>
          </w:p>
        </w:tc>
        <w:tc>
          <w:tcPr>
            <w:tcW w:w="1524" w:type="dxa"/>
            <w:tcBorders>
              <w:top w:val="nil"/>
              <w:left w:val="nil"/>
              <w:bottom w:val="single" w:sz="4" w:space="0" w:color="auto"/>
              <w:right w:val="nil"/>
            </w:tcBorders>
            <w:noWrap/>
            <w:vAlign w:val="center"/>
            <w:hideMark/>
          </w:tcPr>
          <w:p w14:paraId="620F95E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5BC1A50D" w14:textId="77777777" w:rsidTr="00DF5B90">
        <w:trPr>
          <w:trHeight w:val="300"/>
          <w:jc w:val="center"/>
        </w:trPr>
        <w:tc>
          <w:tcPr>
            <w:tcW w:w="0" w:type="auto"/>
            <w:vMerge w:val="restart"/>
            <w:tcBorders>
              <w:top w:val="single" w:sz="4" w:space="0" w:color="auto"/>
              <w:left w:val="nil"/>
              <w:bottom w:val="nil"/>
              <w:right w:val="nil"/>
            </w:tcBorders>
            <w:noWrap/>
            <w:vAlign w:val="center"/>
            <w:hideMark/>
          </w:tcPr>
          <w:p w14:paraId="0EFBC780"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SETI</w:t>
            </w:r>
          </w:p>
        </w:tc>
        <w:tc>
          <w:tcPr>
            <w:tcW w:w="0" w:type="auto"/>
            <w:tcBorders>
              <w:top w:val="single" w:sz="4" w:space="0" w:color="auto"/>
              <w:left w:val="nil"/>
              <w:bottom w:val="nil"/>
              <w:right w:val="nil"/>
            </w:tcBorders>
            <w:noWrap/>
            <w:vAlign w:val="center"/>
            <w:hideMark/>
          </w:tcPr>
          <w:p w14:paraId="6C213B6F"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51F20B8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0.0004</w:t>
            </w:r>
          </w:p>
        </w:tc>
        <w:tc>
          <w:tcPr>
            <w:tcW w:w="0" w:type="auto"/>
            <w:tcBorders>
              <w:top w:val="single" w:sz="4" w:space="0" w:color="auto"/>
              <w:left w:val="nil"/>
              <w:bottom w:val="nil"/>
              <w:right w:val="nil"/>
            </w:tcBorders>
            <w:noWrap/>
            <w:vAlign w:val="center"/>
            <w:hideMark/>
          </w:tcPr>
          <w:p w14:paraId="4DB1442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0.0003</w:t>
            </w:r>
          </w:p>
        </w:tc>
        <w:tc>
          <w:tcPr>
            <w:tcW w:w="0" w:type="auto"/>
            <w:tcBorders>
              <w:top w:val="single" w:sz="4" w:space="0" w:color="auto"/>
              <w:left w:val="nil"/>
              <w:bottom w:val="nil"/>
              <w:right w:val="nil"/>
            </w:tcBorders>
            <w:noWrap/>
            <w:vAlign w:val="center"/>
            <w:hideMark/>
          </w:tcPr>
          <w:p w14:paraId="248FC37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single" w:sz="4" w:space="0" w:color="auto"/>
              <w:left w:val="nil"/>
              <w:bottom w:val="nil"/>
              <w:right w:val="nil"/>
            </w:tcBorders>
            <w:noWrap/>
            <w:vAlign w:val="center"/>
            <w:hideMark/>
          </w:tcPr>
          <w:p w14:paraId="3A4B64E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0.0266</w:t>
            </w:r>
          </w:p>
        </w:tc>
        <w:tc>
          <w:tcPr>
            <w:tcW w:w="0" w:type="auto"/>
            <w:tcBorders>
              <w:top w:val="single" w:sz="4" w:space="0" w:color="auto"/>
              <w:left w:val="nil"/>
              <w:bottom w:val="nil"/>
              <w:right w:val="nil"/>
            </w:tcBorders>
            <w:noWrap/>
            <w:vAlign w:val="center"/>
            <w:hideMark/>
          </w:tcPr>
          <w:p w14:paraId="796AF19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0.7155</w:t>
            </w:r>
          </w:p>
        </w:tc>
        <w:tc>
          <w:tcPr>
            <w:tcW w:w="1524" w:type="dxa"/>
            <w:tcBorders>
              <w:top w:val="single" w:sz="4" w:space="0" w:color="auto"/>
              <w:left w:val="nil"/>
              <w:bottom w:val="nil"/>
              <w:right w:val="nil"/>
            </w:tcBorders>
            <w:vAlign w:val="center"/>
            <w:hideMark/>
          </w:tcPr>
          <w:p w14:paraId="16C341D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1.1108</w:t>
            </w:r>
          </w:p>
        </w:tc>
      </w:tr>
      <w:tr w:rsidR="00DF5B90" w:rsidRPr="00DF5B90" w14:paraId="1A210217" w14:textId="77777777" w:rsidTr="00DF5B90">
        <w:trPr>
          <w:trHeight w:val="300"/>
          <w:jc w:val="center"/>
        </w:trPr>
        <w:tc>
          <w:tcPr>
            <w:tcW w:w="0" w:type="auto"/>
            <w:vMerge/>
            <w:tcBorders>
              <w:top w:val="single" w:sz="4" w:space="0" w:color="auto"/>
              <w:left w:val="nil"/>
              <w:bottom w:val="nil"/>
              <w:right w:val="nil"/>
            </w:tcBorders>
            <w:vAlign w:val="center"/>
            <w:hideMark/>
          </w:tcPr>
          <w:p w14:paraId="2EE5DCA9"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434EF950"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47BF5B9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1.1321</w:t>
            </w:r>
          </w:p>
        </w:tc>
        <w:tc>
          <w:tcPr>
            <w:tcW w:w="0" w:type="auto"/>
            <w:noWrap/>
            <w:vAlign w:val="center"/>
            <w:hideMark/>
          </w:tcPr>
          <w:p w14:paraId="1328739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0.9547</w:t>
            </w:r>
          </w:p>
        </w:tc>
        <w:tc>
          <w:tcPr>
            <w:tcW w:w="0" w:type="auto"/>
            <w:noWrap/>
            <w:vAlign w:val="center"/>
            <w:hideMark/>
          </w:tcPr>
          <w:p w14:paraId="11E6236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1.4232</w:t>
            </w:r>
          </w:p>
        </w:tc>
        <w:tc>
          <w:tcPr>
            <w:tcW w:w="0" w:type="auto"/>
            <w:noWrap/>
            <w:vAlign w:val="center"/>
            <w:hideMark/>
          </w:tcPr>
          <w:p w14:paraId="44E8A97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0.7177</w:t>
            </w:r>
          </w:p>
        </w:tc>
        <w:tc>
          <w:tcPr>
            <w:tcW w:w="0" w:type="auto"/>
            <w:noWrap/>
            <w:vAlign w:val="center"/>
            <w:hideMark/>
          </w:tcPr>
          <w:p w14:paraId="2CBB0B6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3.7246</w:t>
            </w:r>
            <w:r w:rsidRPr="00DF5B90">
              <w:rPr>
                <w:rFonts w:asciiTheme="minorHAnsi" w:eastAsia="Times New Roman" w:hAnsiTheme="minorHAnsi" w:cstheme="minorHAnsi"/>
                <w:color w:val="000000"/>
                <w:vertAlign w:val="superscript"/>
                <w:lang w:val="id-ID"/>
              </w:rPr>
              <w:t>***</w:t>
            </w:r>
          </w:p>
        </w:tc>
        <w:tc>
          <w:tcPr>
            <w:tcW w:w="1524" w:type="dxa"/>
            <w:noWrap/>
            <w:vAlign w:val="center"/>
            <w:hideMark/>
          </w:tcPr>
          <w:p w14:paraId="1EB17D4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12.5583</w:t>
            </w:r>
            <w:r w:rsidRPr="00DF5B90">
              <w:rPr>
                <w:rFonts w:asciiTheme="minorHAnsi" w:eastAsia="Times New Roman" w:hAnsiTheme="minorHAnsi" w:cstheme="minorHAnsi"/>
                <w:color w:val="000000"/>
                <w:vertAlign w:val="superscript"/>
                <w:lang w:val="id-ID"/>
              </w:rPr>
              <w:t>***</w:t>
            </w:r>
          </w:p>
        </w:tc>
      </w:tr>
      <w:tr w:rsidR="00DF5B90" w:rsidRPr="00DF5B90" w14:paraId="3A22BC41" w14:textId="77777777" w:rsidTr="00DF5B90">
        <w:trPr>
          <w:trHeight w:val="300"/>
          <w:jc w:val="center"/>
        </w:trPr>
        <w:tc>
          <w:tcPr>
            <w:tcW w:w="0" w:type="auto"/>
            <w:vMerge/>
            <w:tcBorders>
              <w:top w:val="single" w:sz="4" w:space="0" w:color="auto"/>
              <w:left w:val="nil"/>
              <w:bottom w:val="nil"/>
              <w:right w:val="nil"/>
            </w:tcBorders>
            <w:vAlign w:val="center"/>
            <w:hideMark/>
          </w:tcPr>
          <w:p w14:paraId="7F59DD48"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358B0473"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noWrap/>
            <w:vAlign w:val="center"/>
            <w:hideMark/>
          </w:tcPr>
          <w:p w14:paraId="31367BD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0.2576</w:t>
            </w:r>
          </w:p>
        </w:tc>
        <w:tc>
          <w:tcPr>
            <w:tcW w:w="0" w:type="auto"/>
            <w:noWrap/>
            <w:vAlign w:val="center"/>
            <w:hideMark/>
          </w:tcPr>
          <w:p w14:paraId="12395BD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0.3397</w:t>
            </w:r>
          </w:p>
        </w:tc>
        <w:tc>
          <w:tcPr>
            <w:tcW w:w="0" w:type="auto"/>
            <w:noWrap/>
            <w:vAlign w:val="center"/>
            <w:hideMark/>
          </w:tcPr>
          <w:p w14:paraId="3D86240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0.1547</w:t>
            </w:r>
          </w:p>
        </w:tc>
        <w:tc>
          <w:tcPr>
            <w:tcW w:w="0" w:type="auto"/>
            <w:noWrap/>
            <w:vAlign w:val="center"/>
            <w:hideMark/>
          </w:tcPr>
          <w:p w14:paraId="5E21B66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0.4730</w:t>
            </w:r>
          </w:p>
        </w:tc>
        <w:tc>
          <w:tcPr>
            <w:tcW w:w="0" w:type="auto"/>
            <w:noWrap/>
            <w:vAlign w:val="center"/>
            <w:hideMark/>
          </w:tcPr>
          <w:p w14:paraId="4E5E6EC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0.0002</w:t>
            </w:r>
          </w:p>
        </w:tc>
        <w:tc>
          <w:tcPr>
            <w:tcW w:w="1524" w:type="dxa"/>
            <w:noWrap/>
            <w:vAlign w:val="center"/>
            <w:hideMark/>
          </w:tcPr>
          <w:p w14:paraId="17CD4D7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236035D4" w14:textId="77777777" w:rsidTr="00DF5B90">
        <w:trPr>
          <w:trHeight w:val="300"/>
          <w:jc w:val="center"/>
        </w:trPr>
        <w:tc>
          <w:tcPr>
            <w:tcW w:w="0" w:type="auto"/>
            <w:vMerge w:val="restart"/>
            <w:tcBorders>
              <w:top w:val="single" w:sz="4" w:space="0" w:color="auto"/>
              <w:left w:val="nil"/>
              <w:bottom w:val="single" w:sz="4" w:space="0" w:color="000000"/>
              <w:right w:val="nil"/>
            </w:tcBorders>
            <w:noWrap/>
            <w:vAlign w:val="center"/>
            <w:hideMark/>
          </w:tcPr>
          <w:p w14:paraId="619CEF84"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VN 30</w:t>
            </w:r>
          </w:p>
        </w:tc>
        <w:tc>
          <w:tcPr>
            <w:tcW w:w="0" w:type="auto"/>
            <w:tcBorders>
              <w:top w:val="single" w:sz="4" w:space="0" w:color="auto"/>
              <w:left w:val="nil"/>
              <w:bottom w:val="nil"/>
              <w:right w:val="nil"/>
            </w:tcBorders>
            <w:noWrap/>
            <w:vAlign w:val="center"/>
            <w:hideMark/>
          </w:tcPr>
          <w:p w14:paraId="5C9D75FD"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1FC45F5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0.0003</w:t>
            </w:r>
          </w:p>
        </w:tc>
        <w:tc>
          <w:tcPr>
            <w:tcW w:w="0" w:type="auto"/>
            <w:tcBorders>
              <w:top w:val="single" w:sz="4" w:space="0" w:color="auto"/>
              <w:left w:val="nil"/>
              <w:bottom w:val="nil"/>
              <w:right w:val="nil"/>
            </w:tcBorders>
            <w:noWrap/>
            <w:vAlign w:val="center"/>
            <w:hideMark/>
          </w:tcPr>
          <w:p w14:paraId="4B8ABD8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-0.0002</w:t>
            </w:r>
          </w:p>
        </w:tc>
        <w:tc>
          <w:tcPr>
            <w:tcW w:w="0" w:type="auto"/>
            <w:tcBorders>
              <w:top w:val="single" w:sz="4" w:space="0" w:color="auto"/>
              <w:left w:val="nil"/>
              <w:bottom w:val="nil"/>
              <w:right w:val="nil"/>
            </w:tcBorders>
            <w:noWrap/>
            <w:vAlign w:val="center"/>
            <w:hideMark/>
          </w:tcPr>
          <w:p w14:paraId="24951ED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0.0001</w:t>
            </w:r>
          </w:p>
        </w:tc>
        <w:tc>
          <w:tcPr>
            <w:tcW w:w="0" w:type="auto"/>
            <w:tcBorders>
              <w:top w:val="single" w:sz="4" w:space="0" w:color="auto"/>
              <w:left w:val="nil"/>
              <w:bottom w:val="nil"/>
              <w:right w:val="nil"/>
            </w:tcBorders>
            <w:noWrap/>
            <w:vAlign w:val="center"/>
            <w:hideMark/>
          </w:tcPr>
          <w:p w14:paraId="07CBCB5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0.1500</w:t>
            </w:r>
          </w:p>
        </w:tc>
        <w:tc>
          <w:tcPr>
            <w:tcW w:w="0" w:type="auto"/>
            <w:tcBorders>
              <w:top w:val="single" w:sz="4" w:space="0" w:color="auto"/>
              <w:left w:val="nil"/>
              <w:bottom w:val="nil"/>
              <w:right w:val="nil"/>
            </w:tcBorders>
            <w:noWrap/>
            <w:vAlign w:val="center"/>
            <w:hideMark/>
          </w:tcPr>
          <w:p w14:paraId="3044577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0.6000</w:t>
            </w:r>
          </w:p>
        </w:tc>
        <w:tc>
          <w:tcPr>
            <w:tcW w:w="1524" w:type="dxa"/>
            <w:tcBorders>
              <w:top w:val="single" w:sz="4" w:space="0" w:color="auto"/>
              <w:left w:val="nil"/>
              <w:bottom w:val="nil"/>
              <w:right w:val="nil"/>
            </w:tcBorders>
            <w:vAlign w:val="center"/>
            <w:hideMark/>
          </w:tcPr>
          <w:p w14:paraId="48DB628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2.0000</w:t>
            </w:r>
          </w:p>
        </w:tc>
      </w:tr>
      <w:tr w:rsidR="00DF5B90" w:rsidRPr="00DF5B90" w14:paraId="3EE11A30" w14:textId="77777777" w:rsidTr="00DF5B90">
        <w:trPr>
          <w:trHeight w:val="300"/>
          <w:jc w:val="center"/>
        </w:trPr>
        <w:tc>
          <w:tcPr>
            <w:tcW w:w="0" w:type="auto"/>
            <w:vMerge/>
            <w:tcBorders>
              <w:top w:val="single" w:sz="4" w:space="0" w:color="auto"/>
              <w:left w:val="nil"/>
              <w:bottom w:val="single" w:sz="4" w:space="0" w:color="000000"/>
              <w:right w:val="nil"/>
            </w:tcBorders>
            <w:vAlign w:val="center"/>
            <w:hideMark/>
          </w:tcPr>
          <w:p w14:paraId="3CFDDCDC"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720EAB67"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37D2733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0.2673</w:t>
            </w:r>
          </w:p>
        </w:tc>
        <w:tc>
          <w:tcPr>
            <w:tcW w:w="0" w:type="auto"/>
            <w:noWrap/>
            <w:vAlign w:val="center"/>
            <w:hideMark/>
          </w:tcPr>
          <w:p w14:paraId="1F9A2AD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-0.1731</w:t>
            </w:r>
          </w:p>
        </w:tc>
        <w:tc>
          <w:tcPr>
            <w:tcW w:w="0" w:type="auto"/>
            <w:noWrap/>
            <w:vAlign w:val="center"/>
            <w:hideMark/>
          </w:tcPr>
          <w:p w14:paraId="786A669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0.9307</w:t>
            </w:r>
          </w:p>
        </w:tc>
        <w:tc>
          <w:tcPr>
            <w:tcW w:w="0" w:type="auto"/>
            <w:noWrap/>
            <w:vAlign w:val="center"/>
            <w:hideMark/>
          </w:tcPr>
          <w:p w14:paraId="24EEFC6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0.8426</w:t>
            </w:r>
          </w:p>
        </w:tc>
        <w:tc>
          <w:tcPr>
            <w:tcW w:w="0" w:type="auto"/>
            <w:noWrap/>
            <w:vAlign w:val="center"/>
            <w:hideMark/>
          </w:tcPr>
          <w:p w14:paraId="7F551EB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1.4628</w:t>
            </w:r>
          </w:p>
        </w:tc>
        <w:tc>
          <w:tcPr>
            <w:tcW w:w="1524" w:type="dxa"/>
            <w:noWrap/>
            <w:vAlign w:val="center"/>
            <w:hideMark/>
          </w:tcPr>
          <w:p w14:paraId="7F88D1A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6.4640</w:t>
            </w:r>
            <w:r w:rsidRPr="00DF5B90">
              <w:rPr>
                <w:rFonts w:asciiTheme="minorHAnsi" w:eastAsia="Times New Roman" w:hAnsiTheme="minorHAnsi" w:cstheme="minorHAnsi"/>
                <w:color w:val="000000"/>
                <w:vertAlign w:val="superscript"/>
                <w:lang w:val="id-ID"/>
              </w:rPr>
              <w:t>***</w:t>
            </w:r>
          </w:p>
        </w:tc>
      </w:tr>
      <w:tr w:rsidR="00DF5B90" w:rsidRPr="00DF5B90" w14:paraId="300301B8" w14:textId="77777777" w:rsidTr="00DF5B90">
        <w:trPr>
          <w:trHeight w:val="300"/>
          <w:jc w:val="center"/>
        </w:trPr>
        <w:tc>
          <w:tcPr>
            <w:tcW w:w="0" w:type="auto"/>
            <w:vMerge/>
            <w:tcBorders>
              <w:top w:val="single" w:sz="4" w:space="0" w:color="auto"/>
              <w:left w:val="nil"/>
              <w:bottom w:val="single" w:sz="4" w:space="0" w:color="000000"/>
              <w:right w:val="nil"/>
            </w:tcBorders>
            <w:vAlign w:val="center"/>
            <w:hideMark/>
          </w:tcPr>
          <w:p w14:paraId="5CB687C4"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61834C5C"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05153D5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0.7893</w:t>
            </w:r>
          </w:p>
        </w:tc>
        <w:tc>
          <w:tcPr>
            <w:tcW w:w="0" w:type="auto"/>
            <w:tcBorders>
              <w:top w:val="nil"/>
              <w:left w:val="nil"/>
              <w:bottom w:val="single" w:sz="4" w:space="0" w:color="auto"/>
              <w:right w:val="nil"/>
            </w:tcBorders>
            <w:noWrap/>
            <w:vAlign w:val="center"/>
            <w:hideMark/>
          </w:tcPr>
          <w:p w14:paraId="1ADE026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0.8625</w:t>
            </w:r>
          </w:p>
        </w:tc>
        <w:tc>
          <w:tcPr>
            <w:tcW w:w="0" w:type="auto"/>
            <w:tcBorders>
              <w:top w:val="nil"/>
              <w:left w:val="nil"/>
              <w:bottom w:val="single" w:sz="4" w:space="0" w:color="auto"/>
              <w:right w:val="nil"/>
            </w:tcBorders>
            <w:noWrap/>
            <w:vAlign w:val="center"/>
            <w:hideMark/>
          </w:tcPr>
          <w:p w14:paraId="520DEE5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0.3520</w:t>
            </w:r>
          </w:p>
        </w:tc>
        <w:tc>
          <w:tcPr>
            <w:tcW w:w="0" w:type="auto"/>
            <w:tcBorders>
              <w:top w:val="nil"/>
              <w:left w:val="nil"/>
              <w:bottom w:val="single" w:sz="4" w:space="0" w:color="auto"/>
              <w:right w:val="nil"/>
            </w:tcBorders>
            <w:noWrap/>
            <w:vAlign w:val="center"/>
            <w:hideMark/>
          </w:tcPr>
          <w:p w14:paraId="7B7CAAA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0.3995</w:t>
            </w:r>
          </w:p>
        </w:tc>
        <w:tc>
          <w:tcPr>
            <w:tcW w:w="0" w:type="auto"/>
            <w:tcBorders>
              <w:top w:val="nil"/>
              <w:left w:val="nil"/>
              <w:bottom w:val="single" w:sz="4" w:space="0" w:color="auto"/>
              <w:right w:val="nil"/>
            </w:tcBorders>
            <w:noWrap/>
            <w:vAlign w:val="center"/>
            <w:hideMark/>
          </w:tcPr>
          <w:p w14:paraId="78AB09C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0.1435</w:t>
            </w:r>
          </w:p>
        </w:tc>
        <w:tc>
          <w:tcPr>
            <w:tcW w:w="1524" w:type="dxa"/>
            <w:tcBorders>
              <w:top w:val="nil"/>
              <w:left w:val="nil"/>
              <w:bottom w:val="single" w:sz="4" w:space="0" w:color="auto"/>
              <w:right w:val="nil"/>
            </w:tcBorders>
            <w:noWrap/>
            <w:vAlign w:val="center"/>
            <w:hideMark/>
          </w:tcPr>
          <w:p w14:paraId="54A3EE8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37D5DF2F" w14:textId="77777777" w:rsidTr="00DF5B90">
        <w:trPr>
          <w:trHeight w:val="300"/>
          <w:jc w:val="center"/>
        </w:trPr>
        <w:tc>
          <w:tcPr>
            <w:tcW w:w="0" w:type="auto"/>
            <w:vMerge w:val="restart"/>
            <w:tcBorders>
              <w:top w:val="nil"/>
              <w:left w:val="nil"/>
              <w:bottom w:val="single" w:sz="4" w:space="0" w:color="auto"/>
              <w:right w:val="nil"/>
            </w:tcBorders>
            <w:noWrap/>
            <w:vAlign w:val="center"/>
            <w:hideMark/>
          </w:tcPr>
          <w:p w14:paraId="7E65C4A9"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LSX</w:t>
            </w:r>
          </w:p>
        </w:tc>
        <w:tc>
          <w:tcPr>
            <w:tcW w:w="0" w:type="auto"/>
            <w:noWrap/>
            <w:vAlign w:val="center"/>
            <w:hideMark/>
          </w:tcPr>
          <w:p w14:paraId="213678EA"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noWrap/>
            <w:vAlign w:val="center"/>
            <w:hideMark/>
          </w:tcPr>
          <w:p w14:paraId="41C963A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0.0005</w:t>
            </w:r>
          </w:p>
        </w:tc>
        <w:tc>
          <w:tcPr>
            <w:tcW w:w="0" w:type="auto"/>
            <w:noWrap/>
            <w:vAlign w:val="center"/>
            <w:hideMark/>
          </w:tcPr>
          <w:p w14:paraId="6601C64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-0.0004</w:t>
            </w:r>
          </w:p>
        </w:tc>
        <w:tc>
          <w:tcPr>
            <w:tcW w:w="0" w:type="auto"/>
            <w:noWrap/>
            <w:vAlign w:val="center"/>
            <w:hideMark/>
          </w:tcPr>
          <w:p w14:paraId="6D216BB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noWrap/>
            <w:vAlign w:val="center"/>
            <w:hideMark/>
          </w:tcPr>
          <w:p w14:paraId="362EFD7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0.0270</w:t>
            </w:r>
          </w:p>
        </w:tc>
        <w:tc>
          <w:tcPr>
            <w:tcW w:w="0" w:type="auto"/>
            <w:noWrap/>
            <w:vAlign w:val="center"/>
            <w:hideMark/>
          </w:tcPr>
          <w:p w14:paraId="43BF775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0.7203</w:t>
            </w:r>
          </w:p>
        </w:tc>
        <w:tc>
          <w:tcPr>
            <w:tcW w:w="1524" w:type="dxa"/>
            <w:vAlign w:val="center"/>
            <w:hideMark/>
          </w:tcPr>
          <w:p w14:paraId="2352BAD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1.0965</w:t>
            </w:r>
          </w:p>
        </w:tc>
      </w:tr>
      <w:tr w:rsidR="00DF5B90" w:rsidRPr="00DF5B90" w14:paraId="67A35C55" w14:textId="77777777" w:rsidTr="00DF5B90">
        <w:trPr>
          <w:trHeight w:val="300"/>
          <w:jc w:val="center"/>
        </w:trPr>
        <w:tc>
          <w:tcPr>
            <w:tcW w:w="0" w:type="auto"/>
            <w:vMerge/>
            <w:tcBorders>
              <w:top w:val="nil"/>
              <w:left w:val="nil"/>
              <w:bottom w:val="single" w:sz="4" w:space="0" w:color="auto"/>
              <w:right w:val="nil"/>
            </w:tcBorders>
            <w:vAlign w:val="center"/>
            <w:hideMark/>
          </w:tcPr>
          <w:p w14:paraId="22DFE033"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01A8BB01"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411ACAD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1.4539</w:t>
            </w:r>
          </w:p>
        </w:tc>
        <w:tc>
          <w:tcPr>
            <w:tcW w:w="0" w:type="auto"/>
            <w:noWrap/>
            <w:vAlign w:val="center"/>
            <w:hideMark/>
          </w:tcPr>
          <w:p w14:paraId="3BE54E4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-1.3170</w:t>
            </w:r>
          </w:p>
        </w:tc>
        <w:tc>
          <w:tcPr>
            <w:tcW w:w="0" w:type="auto"/>
            <w:noWrap/>
            <w:vAlign w:val="center"/>
            <w:hideMark/>
          </w:tcPr>
          <w:p w14:paraId="66F92F3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1.3838</w:t>
            </w:r>
          </w:p>
        </w:tc>
        <w:tc>
          <w:tcPr>
            <w:tcW w:w="0" w:type="auto"/>
            <w:noWrap/>
            <w:vAlign w:val="center"/>
            <w:hideMark/>
          </w:tcPr>
          <w:p w14:paraId="0094617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0.7238</w:t>
            </w:r>
          </w:p>
        </w:tc>
        <w:tc>
          <w:tcPr>
            <w:tcW w:w="0" w:type="auto"/>
            <w:noWrap/>
            <w:vAlign w:val="center"/>
            <w:hideMark/>
          </w:tcPr>
          <w:p w14:paraId="576CC77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3.7049</w:t>
            </w:r>
            <w:r w:rsidRPr="00DF5B90">
              <w:rPr>
                <w:rFonts w:asciiTheme="minorHAnsi" w:eastAsia="Times New Roman" w:hAnsiTheme="minorHAnsi" w:cstheme="minorHAnsi"/>
                <w:color w:val="000000"/>
                <w:vertAlign w:val="superscript"/>
                <w:lang w:val="id-ID"/>
              </w:rPr>
              <w:t>***</w:t>
            </w:r>
          </w:p>
        </w:tc>
        <w:tc>
          <w:tcPr>
            <w:tcW w:w="1524" w:type="dxa"/>
            <w:noWrap/>
            <w:vAlign w:val="center"/>
            <w:hideMark/>
          </w:tcPr>
          <w:p w14:paraId="032CC58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12.5047</w:t>
            </w:r>
            <w:r w:rsidRPr="00DF5B90">
              <w:rPr>
                <w:rFonts w:asciiTheme="minorHAnsi" w:eastAsia="Times New Roman" w:hAnsiTheme="minorHAnsi" w:cstheme="minorHAnsi"/>
                <w:color w:val="000000"/>
                <w:vertAlign w:val="superscript"/>
                <w:lang w:val="id-ID"/>
              </w:rPr>
              <w:t>***</w:t>
            </w:r>
          </w:p>
        </w:tc>
      </w:tr>
      <w:tr w:rsidR="00DF5B90" w:rsidRPr="00DF5B90" w14:paraId="13D1C9E2" w14:textId="77777777" w:rsidTr="00DF5B90">
        <w:trPr>
          <w:trHeight w:val="300"/>
          <w:jc w:val="center"/>
        </w:trPr>
        <w:tc>
          <w:tcPr>
            <w:tcW w:w="0" w:type="auto"/>
            <w:vMerge/>
            <w:tcBorders>
              <w:top w:val="nil"/>
              <w:left w:val="nil"/>
              <w:bottom w:val="single" w:sz="4" w:space="0" w:color="auto"/>
              <w:right w:val="nil"/>
            </w:tcBorders>
            <w:vAlign w:val="center"/>
            <w:hideMark/>
          </w:tcPr>
          <w:p w14:paraId="011A05DF"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5E5FF016"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218A5F0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0.1460</w:t>
            </w:r>
          </w:p>
        </w:tc>
        <w:tc>
          <w:tcPr>
            <w:tcW w:w="0" w:type="auto"/>
            <w:tcBorders>
              <w:top w:val="nil"/>
              <w:left w:val="nil"/>
              <w:bottom w:val="single" w:sz="4" w:space="0" w:color="auto"/>
              <w:right w:val="nil"/>
            </w:tcBorders>
            <w:noWrap/>
            <w:vAlign w:val="center"/>
            <w:hideMark/>
          </w:tcPr>
          <w:p w14:paraId="546D399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0.1879</w:t>
            </w:r>
          </w:p>
        </w:tc>
        <w:tc>
          <w:tcPr>
            <w:tcW w:w="0" w:type="auto"/>
            <w:tcBorders>
              <w:top w:val="nil"/>
              <w:left w:val="nil"/>
              <w:bottom w:val="single" w:sz="4" w:space="0" w:color="auto"/>
              <w:right w:val="nil"/>
            </w:tcBorders>
            <w:noWrap/>
            <w:vAlign w:val="center"/>
            <w:hideMark/>
          </w:tcPr>
          <w:p w14:paraId="7D47DEE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0.1664</w:t>
            </w:r>
          </w:p>
        </w:tc>
        <w:tc>
          <w:tcPr>
            <w:tcW w:w="0" w:type="auto"/>
            <w:tcBorders>
              <w:top w:val="nil"/>
              <w:left w:val="nil"/>
              <w:bottom w:val="single" w:sz="4" w:space="0" w:color="auto"/>
              <w:right w:val="nil"/>
            </w:tcBorders>
            <w:noWrap/>
            <w:vAlign w:val="center"/>
            <w:hideMark/>
          </w:tcPr>
          <w:p w14:paraId="493E22F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0.4692</w:t>
            </w:r>
          </w:p>
        </w:tc>
        <w:tc>
          <w:tcPr>
            <w:tcW w:w="0" w:type="auto"/>
            <w:tcBorders>
              <w:top w:val="nil"/>
              <w:left w:val="nil"/>
              <w:bottom w:val="single" w:sz="4" w:space="0" w:color="auto"/>
              <w:right w:val="nil"/>
            </w:tcBorders>
            <w:noWrap/>
            <w:vAlign w:val="center"/>
            <w:hideMark/>
          </w:tcPr>
          <w:p w14:paraId="6FD07E0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0.0002</w:t>
            </w:r>
          </w:p>
        </w:tc>
        <w:tc>
          <w:tcPr>
            <w:tcW w:w="1524" w:type="dxa"/>
            <w:tcBorders>
              <w:top w:val="nil"/>
              <w:left w:val="nil"/>
              <w:bottom w:val="single" w:sz="4" w:space="0" w:color="auto"/>
              <w:right w:val="nil"/>
            </w:tcBorders>
            <w:noWrap/>
            <w:vAlign w:val="center"/>
            <w:hideMark/>
          </w:tcPr>
          <w:p w14:paraId="2C7EB42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2C67D0FE" w14:textId="77777777" w:rsidTr="00DF5B90">
        <w:trPr>
          <w:trHeight w:val="300"/>
          <w:jc w:val="center"/>
        </w:trPr>
        <w:tc>
          <w:tcPr>
            <w:tcW w:w="0" w:type="auto"/>
            <w:vMerge w:val="restart"/>
            <w:tcBorders>
              <w:top w:val="single" w:sz="4" w:space="0" w:color="auto"/>
              <w:left w:val="nil"/>
              <w:bottom w:val="single" w:sz="4" w:space="0" w:color="auto"/>
              <w:right w:val="nil"/>
            </w:tcBorders>
            <w:noWrap/>
            <w:vAlign w:val="center"/>
            <w:hideMark/>
          </w:tcPr>
          <w:p w14:paraId="723A9FCA"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Nikkei</w:t>
            </w:r>
          </w:p>
        </w:tc>
        <w:tc>
          <w:tcPr>
            <w:tcW w:w="0" w:type="auto"/>
            <w:tcBorders>
              <w:top w:val="single" w:sz="4" w:space="0" w:color="auto"/>
              <w:left w:val="nil"/>
              <w:bottom w:val="nil"/>
              <w:right w:val="nil"/>
            </w:tcBorders>
            <w:noWrap/>
            <w:vAlign w:val="center"/>
            <w:hideMark/>
          </w:tcPr>
          <w:p w14:paraId="4E110D88"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7F40EBB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0.0004</w:t>
            </w:r>
          </w:p>
        </w:tc>
        <w:tc>
          <w:tcPr>
            <w:tcW w:w="0" w:type="auto"/>
            <w:tcBorders>
              <w:top w:val="single" w:sz="4" w:space="0" w:color="auto"/>
              <w:left w:val="nil"/>
              <w:bottom w:val="nil"/>
              <w:right w:val="nil"/>
            </w:tcBorders>
            <w:noWrap/>
            <w:vAlign w:val="center"/>
            <w:hideMark/>
          </w:tcPr>
          <w:p w14:paraId="789F354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-0.0001</w:t>
            </w:r>
          </w:p>
        </w:tc>
        <w:tc>
          <w:tcPr>
            <w:tcW w:w="0" w:type="auto"/>
            <w:tcBorders>
              <w:top w:val="single" w:sz="4" w:space="0" w:color="auto"/>
              <w:left w:val="nil"/>
              <w:bottom w:val="nil"/>
              <w:right w:val="nil"/>
            </w:tcBorders>
            <w:noWrap/>
            <w:vAlign w:val="center"/>
            <w:hideMark/>
          </w:tcPr>
          <w:p w14:paraId="0ECCADC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single" w:sz="4" w:space="0" w:color="auto"/>
              <w:left w:val="nil"/>
              <w:bottom w:val="nil"/>
              <w:right w:val="nil"/>
            </w:tcBorders>
            <w:noWrap/>
            <w:vAlign w:val="center"/>
            <w:hideMark/>
          </w:tcPr>
          <w:p w14:paraId="5D3481C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0.0235</w:t>
            </w:r>
          </w:p>
        </w:tc>
        <w:tc>
          <w:tcPr>
            <w:tcW w:w="0" w:type="auto"/>
            <w:tcBorders>
              <w:top w:val="single" w:sz="4" w:space="0" w:color="auto"/>
              <w:left w:val="nil"/>
              <w:bottom w:val="nil"/>
              <w:right w:val="nil"/>
            </w:tcBorders>
            <w:noWrap/>
            <w:vAlign w:val="center"/>
            <w:hideMark/>
          </w:tcPr>
          <w:p w14:paraId="426406F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0.7151</w:t>
            </w:r>
          </w:p>
        </w:tc>
        <w:tc>
          <w:tcPr>
            <w:tcW w:w="1524" w:type="dxa"/>
            <w:tcBorders>
              <w:top w:val="single" w:sz="4" w:space="0" w:color="auto"/>
              <w:left w:val="nil"/>
              <w:bottom w:val="nil"/>
              <w:right w:val="nil"/>
            </w:tcBorders>
            <w:noWrap/>
            <w:vAlign w:val="center"/>
            <w:hideMark/>
          </w:tcPr>
          <w:p w14:paraId="126AF5E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1.1073</w:t>
            </w:r>
          </w:p>
        </w:tc>
      </w:tr>
      <w:tr w:rsidR="00DF5B90" w:rsidRPr="00DF5B90" w14:paraId="39491EF6"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25C97DB6"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3DE87600"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1A03B16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1.2562</w:t>
            </w:r>
          </w:p>
        </w:tc>
        <w:tc>
          <w:tcPr>
            <w:tcW w:w="0" w:type="auto"/>
            <w:noWrap/>
            <w:vAlign w:val="center"/>
            <w:hideMark/>
          </w:tcPr>
          <w:p w14:paraId="1AB94FE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-0.3497</w:t>
            </w:r>
          </w:p>
        </w:tc>
        <w:tc>
          <w:tcPr>
            <w:tcW w:w="0" w:type="auto"/>
            <w:noWrap/>
            <w:vAlign w:val="center"/>
            <w:hideMark/>
          </w:tcPr>
          <w:p w14:paraId="523B0D1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1.4042</w:t>
            </w:r>
          </w:p>
        </w:tc>
        <w:tc>
          <w:tcPr>
            <w:tcW w:w="0" w:type="auto"/>
            <w:noWrap/>
            <w:vAlign w:val="center"/>
            <w:hideMark/>
          </w:tcPr>
          <w:p w14:paraId="3E71D95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0.6506</w:t>
            </w:r>
          </w:p>
        </w:tc>
        <w:tc>
          <w:tcPr>
            <w:tcW w:w="0" w:type="auto"/>
            <w:noWrap/>
            <w:vAlign w:val="center"/>
            <w:hideMark/>
          </w:tcPr>
          <w:p w14:paraId="30AC8C7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3.6460</w:t>
            </w:r>
            <w:r w:rsidRPr="00DF5B90">
              <w:rPr>
                <w:rFonts w:asciiTheme="minorHAnsi" w:eastAsia="Times New Roman" w:hAnsiTheme="minorHAnsi" w:cstheme="minorHAnsi"/>
                <w:color w:val="000000"/>
                <w:vertAlign w:val="superscript"/>
                <w:lang w:val="id-ID"/>
              </w:rPr>
              <w:t>***</w:t>
            </w:r>
          </w:p>
        </w:tc>
        <w:tc>
          <w:tcPr>
            <w:tcW w:w="1524" w:type="dxa"/>
            <w:noWrap/>
            <w:vAlign w:val="center"/>
            <w:hideMark/>
          </w:tcPr>
          <w:p w14:paraId="6696911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12.6209</w:t>
            </w:r>
            <w:r w:rsidRPr="00DF5B90">
              <w:rPr>
                <w:rFonts w:asciiTheme="minorHAnsi" w:eastAsia="Times New Roman" w:hAnsiTheme="minorHAnsi" w:cstheme="minorHAnsi"/>
                <w:color w:val="000000"/>
                <w:vertAlign w:val="superscript"/>
                <w:lang w:val="id-ID"/>
              </w:rPr>
              <w:t>***</w:t>
            </w:r>
          </w:p>
        </w:tc>
      </w:tr>
      <w:tr w:rsidR="00DF5B90" w:rsidRPr="00DF5B90" w14:paraId="501641C5"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453583A8"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31089807"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31BD0FC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0.2090</w:t>
            </w:r>
          </w:p>
        </w:tc>
        <w:tc>
          <w:tcPr>
            <w:tcW w:w="0" w:type="auto"/>
            <w:tcBorders>
              <w:top w:val="nil"/>
              <w:left w:val="nil"/>
              <w:bottom w:val="single" w:sz="4" w:space="0" w:color="auto"/>
              <w:right w:val="nil"/>
            </w:tcBorders>
            <w:noWrap/>
            <w:vAlign w:val="center"/>
            <w:hideMark/>
          </w:tcPr>
          <w:p w14:paraId="3D12E07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0.7266</w:t>
            </w:r>
          </w:p>
        </w:tc>
        <w:tc>
          <w:tcPr>
            <w:tcW w:w="0" w:type="auto"/>
            <w:tcBorders>
              <w:top w:val="nil"/>
              <w:left w:val="nil"/>
              <w:bottom w:val="single" w:sz="4" w:space="0" w:color="auto"/>
              <w:right w:val="nil"/>
            </w:tcBorders>
            <w:noWrap/>
            <w:vAlign w:val="center"/>
            <w:hideMark/>
          </w:tcPr>
          <w:p w14:paraId="183B192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0.1602</w:t>
            </w:r>
          </w:p>
        </w:tc>
        <w:tc>
          <w:tcPr>
            <w:tcW w:w="0" w:type="auto"/>
            <w:tcBorders>
              <w:top w:val="nil"/>
              <w:left w:val="nil"/>
              <w:bottom w:val="single" w:sz="4" w:space="0" w:color="auto"/>
              <w:right w:val="nil"/>
            </w:tcBorders>
            <w:noWrap/>
            <w:vAlign w:val="center"/>
            <w:hideMark/>
          </w:tcPr>
          <w:p w14:paraId="2E404BF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0.5153</w:t>
            </w:r>
          </w:p>
        </w:tc>
        <w:tc>
          <w:tcPr>
            <w:tcW w:w="0" w:type="auto"/>
            <w:tcBorders>
              <w:top w:val="nil"/>
              <w:left w:val="nil"/>
              <w:bottom w:val="single" w:sz="4" w:space="0" w:color="auto"/>
              <w:right w:val="nil"/>
            </w:tcBorders>
            <w:noWrap/>
            <w:vAlign w:val="center"/>
            <w:hideMark/>
          </w:tcPr>
          <w:p w14:paraId="73AF7DC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0.0003</w:t>
            </w:r>
          </w:p>
        </w:tc>
        <w:tc>
          <w:tcPr>
            <w:tcW w:w="1524" w:type="dxa"/>
            <w:tcBorders>
              <w:top w:val="nil"/>
              <w:left w:val="nil"/>
              <w:bottom w:val="single" w:sz="4" w:space="0" w:color="auto"/>
              <w:right w:val="nil"/>
            </w:tcBorders>
            <w:noWrap/>
            <w:vAlign w:val="center"/>
            <w:hideMark/>
          </w:tcPr>
          <w:p w14:paraId="2E7816F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5DAE3D3F" w14:textId="77777777" w:rsidTr="00DF5B90">
        <w:trPr>
          <w:trHeight w:val="300"/>
          <w:jc w:val="center"/>
        </w:trPr>
        <w:tc>
          <w:tcPr>
            <w:tcW w:w="0" w:type="auto"/>
            <w:vMerge w:val="restart"/>
            <w:tcBorders>
              <w:top w:val="single" w:sz="4" w:space="0" w:color="auto"/>
              <w:left w:val="nil"/>
              <w:bottom w:val="single" w:sz="4" w:space="0" w:color="auto"/>
              <w:right w:val="nil"/>
            </w:tcBorders>
            <w:noWrap/>
            <w:vAlign w:val="center"/>
            <w:hideMark/>
          </w:tcPr>
          <w:p w14:paraId="00E61151"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Kospi</w:t>
            </w:r>
          </w:p>
        </w:tc>
        <w:tc>
          <w:tcPr>
            <w:tcW w:w="0" w:type="auto"/>
            <w:tcBorders>
              <w:top w:val="single" w:sz="4" w:space="0" w:color="auto"/>
              <w:left w:val="nil"/>
              <w:bottom w:val="nil"/>
              <w:right w:val="nil"/>
            </w:tcBorders>
            <w:noWrap/>
            <w:vAlign w:val="center"/>
            <w:hideMark/>
          </w:tcPr>
          <w:p w14:paraId="1532EF60"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5E15EA0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0.0005</w:t>
            </w:r>
          </w:p>
        </w:tc>
        <w:tc>
          <w:tcPr>
            <w:tcW w:w="0" w:type="auto"/>
            <w:tcBorders>
              <w:top w:val="single" w:sz="4" w:space="0" w:color="auto"/>
              <w:left w:val="nil"/>
              <w:bottom w:val="nil"/>
              <w:right w:val="nil"/>
            </w:tcBorders>
            <w:noWrap/>
            <w:vAlign w:val="center"/>
            <w:hideMark/>
          </w:tcPr>
          <w:p w14:paraId="09BFDDB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0.0004</w:t>
            </w:r>
          </w:p>
        </w:tc>
        <w:tc>
          <w:tcPr>
            <w:tcW w:w="0" w:type="auto"/>
            <w:tcBorders>
              <w:top w:val="single" w:sz="4" w:space="0" w:color="auto"/>
              <w:left w:val="nil"/>
              <w:bottom w:val="nil"/>
              <w:right w:val="nil"/>
            </w:tcBorders>
            <w:noWrap/>
            <w:vAlign w:val="center"/>
            <w:hideMark/>
          </w:tcPr>
          <w:p w14:paraId="20A92BB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single" w:sz="4" w:space="0" w:color="auto"/>
              <w:left w:val="nil"/>
              <w:bottom w:val="nil"/>
              <w:right w:val="nil"/>
            </w:tcBorders>
            <w:noWrap/>
            <w:vAlign w:val="center"/>
            <w:hideMark/>
          </w:tcPr>
          <w:p w14:paraId="14FFDA5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0.0262</w:t>
            </w:r>
          </w:p>
        </w:tc>
        <w:tc>
          <w:tcPr>
            <w:tcW w:w="0" w:type="auto"/>
            <w:tcBorders>
              <w:top w:val="single" w:sz="4" w:space="0" w:color="auto"/>
              <w:left w:val="nil"/>
              <w:bottom w:val="nil"/>
              <w:right w:val="nil"/>
            </w:tcBorders>
            <w:noWrap/>
            <w:vAlign w:val="center"/>
            <w:hideMark/>
          </w:tcPr>
          <w:p w14:paraId="3667E59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0.7199</w:t>
            </w:r>
          </w:p>
        </w:tc>
        <w:tc>
          <w:tcPr>
            <w:tcW w:w="1524" w:type="dxa"/>
            <w:tcBorders>
              <w:top w:val="single" w:sz="4" w:space="0" w:color="auto"/>
              <w:left w:val="nil"/>
              <w:bottom w:val="nil"/>
              <w:right w:val="nil"/>
            </w:tcBorders>
            <w:vAlign w:val="center"/>
            <w:hideMark/>
          </w:tcPr>
          <w:p w14:paraId="4ADEBAB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1.1063</w:t>
            </w:r>
          </w:p>
        </w:tc>
      </w:tr>
      <w:tr w:rsidR="00DF5B90" w:rsidRPr="00DF5B90" w14:paraId="7987E2F5"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00708543"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77B519FA"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79B2865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1.4909</w:t>
            </w:r>
          </w:p>
        </w:tc>
        <w:tc>
          <w:tcPr>
            <w:tcW w:w="0" w:type="auto"/>
            <w:noWrap/>
            <w:vAlign w:val="center"/>
            <w:hideMark/>
          </w:tcPr>
          <w:p w14:paraId="50D8294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1.2520</w:t>
            </w:r>
          </w:p>
        </w:tc>
        <w:tc>
          <w:tcPr>
            <w:tcW w:w="0" w:type="auto"/>
            <w:noWrap/>
            <w:vAlign w:val="center"/>
            <w:hideMark/>
          </w:tcPr>
          <w:p w14:paraId="0FB507E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1.4141</w:t>
            </w:r>
          </w:p>
        </w:tc>
        <w:tc>
          <w:tcPr>
            <w:tcW w:w="0" w:type="auto"/>
            <w:noWrap/>
            <w:vAlign w:val="center"/>
            <w:hideMark/>
          </w:tcPr>
          <w:p w14:paraId="2EFDD53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0.7095</w:t>
            </w:r>
          </w:p>
        </w:tc>
        <w:tc>
          <w:tcPr>
            <w:tcW w:w="0" w:type="auto"/>
            <w:noWrap/>
            <w:vAlign w:val="center"/>
            <w:hideMark/>
          </w:tcPr>
          <w:p w14:paraId="5AEA12D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3.7781</w:t>
            </w:r>
            <w:r w:rsidRPr="00DF5B90">
              <w:rPr>
                <w:rFonts w:asciiTheme="minorHAnsi" w:eastAsia="Times New Roman" w:hAnsiTheme="minorHAnsi" w:cstheme="minorHAnsi"/>
                <w:color w:val="000000"/>
                <w:vertAlign w:val="superscript"/>
                <w:lang w:val="id-ID"/>
              </w:rPr>
              <w:t>***</w:t>
            </w:r>
          </w:p>
        </w:tc>
        <w:tc>
          <w:tcPr>
            <w:tcW w:w="1524" w:type="dxa"/>
            <w:noWrap/>
            <w:vAlign w:val="center"/>
            <w:hideMark/>
          </w:tcPr>
          <w:p w14:paraId="60E2D81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12.5260</w:t>
            </w:r>
            <w:r w:rsidRPr="00DF5B90">
              <w:rPr>
                <w:rFonts w:asciiTheme="minorHAnsi" w:eastAsia="Times New Roman" w:hAnsiTheme="minorHAnsi" w:cstheme="minorHAnsi"/>
                <w:color w:val="000000"/>
                <w:vertAlign w:val="superscript"/>
                <w:lang w:val="id-ID"/>
              </w:rPr>
              <w:t>***</w:t>
            </w:r>
          </w:p>
        </w:tc>
      </w:tr>
      <w:tr w:rsidR="00DF5B90" w:rsidRPr="00DF5B90" w14:paraId="5C339429"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6D1AC896"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378E1ECD"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62405F2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0.1360</w:t>
            </w:r>
          </w:p>
        </w:tc>
        <w:tc>
          <w:tcPr>
            <w:tcW w:w="0" w:type="auto"/>
            <w:tcBorders>
              <w:top w:val="nil"/>
              <w:left w:val="nil"/>
              <w:bottom w:val="single" w:sz="4" w:space="0" w:color="auto"/>
              <w:right w:val="nil"/>
            </w:tcBorders>
            <w:noWrap/>
            <w:vAlign w:val="center"/>
            <w:hideMark/>
          </w:tcPr>
          <w:p w14:paraId="5A8E923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0.2106</w:t>
            </w:r>
          </w:p>
        </w:tc>
        <w:tc>
          <w:tcPr>
            <w:tcW w:w="0" w:type="auto"/>
            <w:tcBorders>
              <w:top w:val="nil"/>
              <w:left w:val="nil"/>
              <w:bottom w:val="single" w:sz="4" w:space="0" w:color="auto"/>
              <w:right w:val="nil"/>
            </w:tcBorders>
            <w:noWrap/>
            <w:vAlign w:val="center"/>
            <w:hideMark/>
          </w:tcPr>
          <w:p w14:paraId="2A8B186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0.1573</w:t>
            </w:r>
          </w:p>
        </w:tc>
        <w:tc>
          <w:tcPr>
            <w:tcW w:w="0" w:type="auto"/>
            <w:tcBorders>
              <w:top w:val="nil"/>
              <w:left w:val="nil"/>
              <w:bottom w:val="single" w:sz="4" w:space="0" w:color="auto"/>
              <w:right w:val="nil"/>
            </w:tcBorders>
            <w:noWrap/>
            <w:vAlign w:val="center"/>
            <w:hideMark/>
          </w:tcPr>
          <w:p w14:paraId="3534D10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0.4780</w:t>
            </w:r>
          </w:p>
        </w:tc>
        <w:tc>
          <w:tcPr>
            <w:tcW w:w="0" w:type="auto"/>
            <w:tcBorders>
              <w:top w:val="nil"/>
              <w:left w:val="nil"/>
              <w:bottom w:val="single" w:sz="4" w:space="0" w:color="auto"/>
              <w:right w:val="nil"/>
            </w:tcBorders>
            <w:noWrap/>
            <w:vAlign w:val="center"/>
            <w:hideMark/>
          </w:tcPr>
          <w:p w14:paraId="46440C0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0.0002</w:t>
            </w:r>
          </w:p>
        </w:tc>
        <w:tc>
          <w:tcPr>
            <w:tcW w:w="1524" w:type="dxa"/>
            <w:tcBorders>
              <w:top w:val="nil"/>
              <w:left w:val="nil"/>
              <w:bottom w:val="single" w:sz="4" w:space="0" w:color="auto"/>
              <w:right w:val="nil"/>
            </w:tcBorders>
            <w:noWrap/>
            <w:vAlign w:val="center"/>
            <w:hideMark/>
          </w:tcPr>
          <w:p w14:paraId="3B8E468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3737AA5F" w14:textId="77777777" w:rsidTr="00DF5B90">
        <w:trPr>
          <w:trHeight w:val="300"/>
          <w:jc w:val="center"/>
        </w:trPr>
        <w:tc>
          <w:tcPr>
            <w:tcW w:w="0" w:type="auto"/>
            <w:vMerge w:val="restart"/>
            <w:tcBorders>
              <w:top w:val="single" w:sz="4" w:space="0" w:color="auto"/>
              <w:left w:val="nil"/>
              <w:bottom w:val="single" w:sz="4" w:space="0" w:color="auto"/>
              <w:right w:val="nil"/>
            </w:tcBorders>
            <w:noWrap/>
            <w:vAlign w:val="center"/>
            <w:hideMark/>
          </w:tcPr>
          <w:p w14:paraId="41C7C5CE"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SSEC</w:t>
            </w:r>
          </w:p>
        </w:tc>
        <w:tc>
          <w:tcPr>
            <w:tcW w:w="0" w:type="auto"/>
            <w:tcBorders>
              <w:top w:val="single" w:sz="4" w:space="0" w:color="auto"/>
              <w:left w:val="nil"/>
              <w:bottom w:val="nil"/>
              <w:right w:val="nil"/>
            </w:tcBorders>
            <w:noWrap/>
            <w:vAlign w:val="center"/>
            <w:hideMark/>
          </w:tcPr>
          <w:p w14:paraId="27FC52AB"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15FC340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0.0005</w:t>
            </w:r>
          </w:p>
        </w:tc>
        <w:tc>
          <w:tcPr>
            <w:tcW w:w="0" w:type="auto"/>
            <w:tcBorders>
              <w:top w:val="single" w:sz="4" w:space="0" w:color="auto"/>
              <w:left w:val="nil"/>
              <w:bottom w:val="nil"/>
              <w:right w:val="nil"/>
            </w:tcBorders>
            <w:noWrap/>
            <w:vAlign w:val="center"/>
            <w:hideMark/>
          </w:tcPr>
          <w:p w14:paraId="0763C19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0.0005</w:t>
            </w:r>
          </w:p>
        </w:tc>
        <w:tc>
          <w:tcPr>
            <w:tcW w:w="0" w:type="auto"/>
            <w:tcBorders>
              <w:top w:val="single" w:sz="4" w:space="0" w:color="auto"/>
              <w:left w:val="nil"/>
              <w:bottom w:val="nil"/>
              <w:right w:val="nil"/>
            </w:tcBorders>
            <w:noWrap/>
            <w:vAlign w:val="center"/>
            <w:hideMark/>
          </w:tcPr>
          <w:p w14:paraId="19066C5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single" w:sz="4" w:space="0" w:color="auto"/>
              <w:left w:val="nil"/>
              <w:bottom w:val="nil"/>
              <w:right w:val="nil"/>
            </w:tcBorders>
            <w:noWrap/>
            <w:vAlign w:val="center"/>
            <w:hideMark/>
          </w:tcPr>
          <w:p w14:paraId="2676043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0.0259</w:t>
            </w:r>
          </w:p>
        </w:tc>
        <w:tc>
          <w:tcPr>
            <w:tcW w:w="0" w:type="auto"/>
            <w:tcBorders>
              <w:top w:val="single" w:sz="4" w:space="0" w:color="auto"/>
              <w:left w:val="nil"/>
              <w:bottom w:val="nil"/>
              <w:right w:val="nil"/>
            </w:tcBorders>
            <w:noWrap/>
            <w:vAlign w:val="center"/>
            <w:hideMark/>
          </w:tcPr>
          <w:p w14:paraId="188C92F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0.7234</w:t>
            </w:r>
          </w:p>
        </w:tc>
        <w:tc>
          <w:tcPr>
            <w:tcW w:w="1524" w:type="dxa"/>
            <w:tcBorders>
              <w:top w:val="single" w:sz="4" w:space="0" w:color="auto"/>
              <w:left w:val="nil"/>
              <w:bottom w:val="nil"/>
              <w:right w:val="nil"/>
            </w:tcBorders>
            <w:vAlign w:val="center"/>
            <w:hideMark/>
          </w:tcPr>
          <w:p w14:paraId="63EDDCA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1.1099</w:t>
            </w:r>
          </w:p>
        </w:tc>
      </w:tr>
      <w:tr w:rsidR="00DF5B90" w:rsidRPr="00DF5B90" w14:paraId="7367A63E"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6D8FC9F6"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4043DF33"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06D672A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1.4516</w:t>
            </w:r>
          </w:p>
        </w:tc>
        <w:tc>
          <w:tcPr>
            <w:tcW w:w="0" w:type="auto"/>
            <w:noWrap/>
            <w:vAlign w:val="center"/>
            <w:hideMark/>
          </w:tcPr>
          <w:p w14:paraId="6BFA5E2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1.4834</w:t>
            </w:r>
          </w:p>
        </w:tc>
        <w:tc>
          <w:tcPr>
            <w:tcW w:w="0" w:type="auto"/>
            <w:noWrap/>
            <w:vAlign w:val="center"/>
            <w:hideMark/>
          </w:tcPr>
          <w:p w14:paraId="7EFB731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1.3735</w:t>
            </w:r>
          </w:p>
        </w:tc>
        <w:tc>
          <w:tcPr>
            <w:tcW w:w="0" w:type="auto"/>
            <w:noWrap/>
            <w:vAlign w:val="center"/>
            <w:hideMark/>
          </w:tcPr>
          <w:p w14:paraId="0F7BCAC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0.7132</w:t>
            </w:r>
          </w:p>
        </w:tc>
        <w:tc>
          <w:tcPr>
            <w:tcW w:w="0" w:type="auto"/>
            <w:noWrap/>
            <w:vAlign w:val="center"/>
            <w:hideMark/>
          </w:tcPr>
          <w:p w14:paraId="1B1EBA1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3.7280</w:t>
            </w:r>
            <w:r w:rsidRPr="00DF5B90">
              <w:rPr>
                <w:rFonts w:asciiTheme="minorHAnsi" w:eastAsia="Times New Roman" w:hAnsiTheme="minorHAnsi" w:cstheme="minorHAnsi"/>
                <w:color w:val="000000"/>
                <w:vertAlign w:val="superscript"/>
                <w:lang w:val="id-ID"/>
              </w:rPr>
              <w:t>***</w:t>
            </w:r>
          </w:p>
        </w:tc>
        <w:tc>
          <w:tcPr>
            <w:tcW w:w="1524" w:type="dxa"/>
            <w:noWrap/>
            <w:vAlign w:val="center"/>
            <w:hideMark/>
          </w:tcPr>
          <w:p w14:paraId="04D4D12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12.5769</w:t>
            </w:r>
            <w:r w:rsidRPr="00DF5B90">
              <w:rPr>
                <w:rFonts w:asciiTheme="minorHAnsi" w:eastAsia="Times New Roman" w:hAnsiTheme="minorHAnsi" w:cstheme="minorHAnsi"/>
                <w:color w:val="000000"/>
                <w:vertAlign w:val="superscript"/>
                <w:lang w:val="id-ID"/>
              </w:rPr>
              <w:t>***</w:t>
            </w:r>
          </w:p>
        </w:tc>
      </w:tr>
      <w:tr w:rsidR="00DF5B90" w:rsidRPr="00DF5B90" w14:paraId="3AD477E1" w14:textId="77777777" w:rsidTr="00DF5B90">
        <w:trPr>
          <w:trHeight w:val="315"/>
          <w:jc w:val="center"/>
        </w:trPr>
        <w:tc>
          <w:tcPr>
            <w:tcW w:w="0" w:type="auto"/>
            <w:vMerge/>
            <w:tcBorders>
              <w:top w:val="single" w:sz="4" w:space="0" w:color="auto"/>
              <w:left w:val="nil"/>
              <w:bottom w:val="single" w:sz="4" w:space="0" w:color="auto"/>
              <w:right w:val="nil"/>
            </w:tcBorders>
            <w:vAlign w:val="center"/>
            <w:hideMark/>
          </w:tcPr>
          <w:p w14:paraId="6A618EC2"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3BAE9A98"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346D853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0.1466</w:t>
            </w:r>
          </w:p>
        </w:tc>
        <w:tc>
          <w:tcPr>
            <w:tcW w:w="0" w:type="auto"/>
            <w:tcBorders>
              <w:top w:val="nil"/>
              <w:left w:val="nil"/>
              <w:bottom w:val="single" w:sz="4" w:space="0" w:color="auto"/>
              <w:right w:val="nil"/>
            </w:tcBorders>
            <w:noWrap/>
            <w:vAlign w:val="center"/>
            <w:hideMark/>
          </w:tcPr>
          <w:p w14:paraId="689BB00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0.1380</w:t>
            </w:r>
          </w:p>
        </w:tc>
        <w:tc>
          <w:tcPr>
            <w:tcW w:w="0" w:type="auto"/>
            <w:tcBorders>
              <w:top w:val="nil"/>
              <w:left w:val="nil"/>
              <w:bottom w:val="single" w:sz="4" w:space="0" w:color="auto"/>
              <w:right w:val="nil"/>
            </w:tcBorders>
            <w:noWrap/>
            <w:vAlign w:val="center"/>
            <w:hideMark/>
          </w:tcPr>
          <w:p w14:paraId="37BD90E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0.1696</w:t>
            </w:r>
          </w:p>
        </w:tc>
        <w:tc>
          <w:tcPr>
            <w:tcW w:w="0" w:type="auto"/>
            <w:tcBorders>
              <w:top w:val="nil"/>
              <w:left w:val="nil"/>
              <w:bottom w:val="single" w:sz="4" w:space="0" w:color="auto"/>
              <w:right w:val="nil"/>
            </w:tcBorders>
            <w:noWrap/>
            <w:vAlign w:val="center"/>
            <w:hideMark/>
          </w:tcPr>
          <w:p w14:paraId="7E6BDD6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0.4757</w:t>
            </w:r>
          </w:p>
        </w:tc>
        <w:tc>
          <w:tcPr>
            <w:tcW w:w="0" w:type="auto"/>
            <w:tcBorders>
              <w:top w:val="nil"/>
              <w:left w:val="nil"/>
              <w:bottom w:val="single" w:sz="4" w:space="0" w:color="auto"/>
              <w:right w:val="nil"/>
            </w:tcBorders>
            <w:noWrap/>
            <w:vAlign w:val="center"/>
            <w:hideMark/>
          </w:tcPr>
          <w:p w14:paraId="0B18C3A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0.0002</w:t>
            </w:r>
          </w:p>
        </w:tc>
        <w:tc>
          <w:tcPr>
            <w:tcW w:w="1524" w:type="dxa"/>
            <w:tcBorders>
              <w:top w:val="nil"/>
              <w:left w:val="nil"/>
              <w:bottom w:val="single" w:sz="4" w:space="0" w:color="auto"/>
              <w:right w:val="nil"/>
            </w:tcBorders>
            <w:noWrap/>
            <w:vAlign w:val="center"/>
            <w:hideMark/>
          </w:tcPr>
          <w:p w14:paraId="5017C45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bl>
    <w:p w14:paraId="0407BBA6" w14:textId="77777777" w:rsidR="00DF5B90" w:rsidRPr="00DF5B90" w:rsidRDefault="00DF5B90" w:rsidP="00DF5B90">
      <w:pPr>
        <w:spacing w:after="0" w:line="240" w:lineRule="auto"/>
        <w:jc w:val="both"/>
        <w:rPr>
          <w:rFonts w:asciiTheme="minorHAnsi" w:eastAsiaTheme="minorEastAsia" w:hAnsiTheme="minorHAnsi" w:cstheme="minorHAnsi"/>
          <w:noProof/>
          <w:lang w:val="en-US" w:eastAsia="en-US"/>
        </w:rPr>
      </w:pPr>
      <w:r w:rsidRPr="00DF5B90">
        <w:rPr>
          <w:rFonts w:asciiTheme="minorHAnsi" w:eastAsiaTheme="minorEastAsia" w:hAnsiTheme="minorHAnsi" w:cstheme="minorHAnsi"/>
          <w:lang w:val="id-ID"/>
        </w:rPr>
        <w:t>***</w:t>
      </w:r>
      <w:r w:rsidRPr="00DF5B90">
        <w:rPr>
          <w:rFonts w:asciiTheme="minorHAnsi" w:hAnsiTheme="minorHAnsi" w:cstheme="minorHAnsi"/>
          <w:lang w:val="id-ID"/>
        </w:rPr>
        <w:t xml:space="preserve"> </w:t>
      </w:r>
      <w:r w:rsidRPr="00DF5B90">
        <w:rPr>
          <w:rFonts w:asciiTheme="minorHAnsi" w:eastAsiaTheme="minorEastAsia" w:hAnsiTheme="minorHAnsi" w:cstheme="minorHAnsi"/>
        </w:rPr>
        <w:t>Significant at 1% level</w:t>
      </w:r>
    </w:p>
    <w:p w14:paraId="37B678AA" w14:textId="77777777" w:rsidR="00DF5B90" w:rsidRPr="00DF5B90" w:rsidRDefault="00DF5B90" w:rsidP="00DF5B90">
      <w:pPr>
        <w:spacing w:after="0" w:line="240" w:lineRule="auto"/>
        <w:jc w:val="both"/>
        <w:rPr>
          <w:rFonts w:asciiTheme="minorHAnsi" w:eastAsiaTheme="minorEastAsia" w:hAnsiTheme="minorHAnsi" w:cstheme="minorHAnsi"/>
        </w:rPr>
      </w:pPr>
      <w:r w:rsidRPr="00DF5B90">
        <w:rPr>
          <w:rFonts w:asciiTheme="minorHAnsi" w:eastAsiaTheme="minorEastAsia" w:hAnsiTheme="minorHAnsi" w:cstheme="minorHAnsi"/>
          <w:lang w:val="id-ID"/>
        </w:rPr>
        <w:t>**</w:t>
      </w:r>
      <w:r w:rsidRPr="00DF5B90">
        <w:rPr>
          <w:rFonts w:asciiTheme="minorHAnsi" w:eastAsiaTheme="minorEastAsia" w:hAnsiTheme="minorHAnsi" w:cstheme="minorHAnsi"/>
        </w:rPr>
        <w:t xml:space="preserve"> Significant at 5% level</w:t>
      </w:r>
    </w:p>
    <w:p w14:paraId="6E3FF5C9" w14:textId="77777777" w:rsidR="00DF5B90" w:rsidRPr="00DF5B90" w:rsidRDefault="00DF5B90" w:rsidP="00DF5B90">
      <w:pPr>
        <w:spacing w:line="240" w:lineRule="auto"/>
        <w:jc w:val="both"/>
        <w:rPr>
          <w:rFonts w:asciiTheme="minorHAnsi" w:eastAsiaTheme="minorEastAsia" w:hAnsiTheme="minorHAnsi" w:cstheme="minorHAnsi"/>
          <w:lang w:val="id-ID"/>
        </w:rPr>
      </w:pPr>
      <w:r w:rsidRPr="00DF5B90">
        <w:rPr>
          <w:rFonts w:asciiTheme="minorHAnsi" w:eastAsiaTheme="minorEastAsia" w:hAnsiTheme="minorHAnsi" w:cstheme="minorHAnsi"/>
          <w:lang w:val="id-ID"/>
        </w:rPr>
        <w:t>*</w:t>
      </w:r>
      <w:r w:rsidRPr="00DF5B90">
        <w:rPr>
          <w:rFonts w:asciiTheme="minorHAnsi" w:eastAsiaTheme="minorEastAsia" w:hAnsiTheme="minorHAnsi" w:cstheme="minorHAnsi"/>
        </w:rPr>
        <w:t xml:space="preserve"> Significant at 10% level</w:t>
      </w:r>
    </w:p>
    <w:p w14:paraId="26C50CAB" w14:textId="77777777" w:rsidR="00DF5B90" w:rsidRPr="00DF5B90" w:rsidRDefault="00DF5B90" w:rsidP="00BA7D9E">
      <w:pPr>
        <w:spacing w:line="240" w:lineRule="auto"/>
        <w:ind w:firstLine="284"/>
        <w:jc w:val="both"/>
        <w:rPr>
          <w:rFonts w:asciiTheme="minorHAnsi" w:eastAsiaTheme="minorEastAsia" w:hAnsiTheme="minorHAnsi" w:cstheme="minorHAnsi"/>
          <w:lang w:val="en-US"/>
        </w:rPr>
      </w:pPr>
      <w:r w:rsidRPr="00DF5B90">
        <w:rPr>
          <w:rFonts w:asciiTheme="minorHAnsi" w:eastAsiaTheme="minorEastAsia" w:hAnsiTheme="minorHAnsi" w:cstheme="minorHAnsi"/>
          <w:lang w:val="id-ID"/>
        </w:rPr>
        <w:t xml:space="preserve">Table 7 shows the results of the GARCH (1,1) test, which analyzes the effect of stock market volatility on the US Dollar Index in the period before the Russia-Ukraine war. The test results show that each variable follows the GARCH pattern. In addition, only the Nikkei variable influences the US Dollar Index because its probability value is lower than the significance level of 5%. Nikkei itself has a negative effect on the US Dollar Index. </w:t>
      </w:r>
    </w:p>
    <w:p w14:paraId="7083BE48" w14:textId="77777777" w:rsidR="00DF5B90" w:rsidRPr="00BA7D9E" w:rsidRDefault="00DF5B90" w:rsidP="00DF5B90">
      <w:pPr>
        <w:pStyle w:val="Keterangan"/>
        <w:keepNext/>
        <w:jc w:val="center"/>
        <w:rPr>
          <w:rFonts w:asciiTheme="minorHAnsi" w:eastAsiaTheme="minorHAnsi" w:hAnsiTheme="minorHAnsi" w:cstheme="minorHAnsi"/>
          <w:sz w:val="24"/>
          <w:szCs w:val="24"/>
          <w:lang w:val="id-ID"/>
        </w:rPr>
      </w:pPr>
      <w:bookmarkStart w:id="27" w:name="_Toc168426048"/>
      <w:bookmarkStart w:id="28" w:name="_Toc170310509"/>
      <w:bookmarkStart w:id="29" w:name="_Toc171071276"/>
      <w:bookmarkStart w:id="30" w:name="_Toc171072601"/>
      <w:r w:rsidRPr="00BA7D9E">
        <w:rPr>
          <w:rFonts w:asciiTheme="minorHAnsi" w:hAnsiTheme="minorHAnsi" w:cstheme="minorHAnsi"/>
          <w:sz w:val="24"/>
          <w:szCs w:val="24"/>
          <w:lang w:val="id-ID"/>
        </w:rPr>
        <w:t>Tab</w:t>
      </w:r>
      <w:r w:rsidRPr="00BA7D9E">
        <w:rPr>
          <w:rFonts w:asciiTheme="minorHAnsi" w:hAnsiTheme="minorHAnsi" w:cstheme="minorHAnsi"/>
          <w:sz w:val="24"/>
          <w:szCs w:val="24"/>
        </w:rPr>
        <w:t>le</w:t>
      </w:r>
      <w:r w:rsidRPr="00BA7D9E">
        <w:rPr>
          <w:rFonts w:asciiTheme="minorHAnsi" w:hAnsiTheme="minorHAnsi" w:cstheme="minorHAnsi"/>
          <w:sz w:val="24"/>
          <w:szCs w:val="24"/>
          <w:lang w:val="id-ID"/>
        </w:rPr>
        <w:t xml:space="preserve"> </w:t>
      </w:r>
      <w:r w:rsidRPr="00BA7D9E">
        <w:rPr>
          <w:rFonts w:asciiTheme="minorHAnsi" w:hAnsiTheme="minorHAnsi" w:cstheme="minorHAnsi"/>
          <w:sz w:val="24"/>
          <w:szCs w:val="24"/>
        </w:rPr>
        <w:fldChar w:fldCharType="begin"/>
      </w:r>
      <w:r w:rsidRPr="00BA7D9E">
        <w:rPr>
          <w:rFonts w:asciiTheme="minorHAnsi" w:hAnsiTheme="minorHAnsi" w:cstheme="minorHAnsi"/>
          <w:sz w:val="24"/>
          <w:szCs w:val="24"/>
          <w:lang w:val="id-ID"/>
        </w:rPr>
        <w:instrText xml:space="preserve"> SEQ Table \* ARABIC </w:instrText>
      </w:r>
      <w:r w:rsidRPr="00BA7D9E">
        <w:rPr>
          <w:rFonts w:asciiTheme="minorHAnsi" w:hAnsiTheme="minorHAnsi" w:cstheme="minorHAnsi"/>
          <w:sz w:val="24"/>
          <w:szCs w:val="24"/>
        </w:rPr>
        <w:fldChar w:fldCharType="separate"/>
      </w:r>
      <w:r w:rsidRPr="00BA7D9E">
        <w:rPr>
          <w:rFonts w:asciiTheme="minorHAnsi" w:hAnsiTheme="minorHAnsi" w:cstheme="minorHAnsi"/>
          <w:sz w:val="24"/>
          <w:szCs w:val="24"/>
          <w:lang w:val="id-ID"/>
        </w:rPr>
        <w:t>7</w:t>
      </w:r>
      <w:bookmarkEnd w:id="27"/>
      <w:bookmarkEnd w:id="28"/>
      <w:bookmarkEnd w:id="29"/>
      <w:bookmarkEnd w:id="30"/>
      <w:r w:rsidRPr="00BA7D9E">
        <w:rPr>
          <w:rFonts w:asciiTheme="minorHAnsi" w:hAnsiTheme="minorHAnsi" w:cstheme="minorHAnsi"/>
          <w:sz w:val="24"/>
          <w:szCs w:val="24"/>
          <w:lang w:val="id-ID"/>
        </w:rPr>
        <w:fldChar w:fldCharType="end"/>
      </w:r>
      <w:r w:rsidRPr="00BA7D9E">
        <w:rPr>
          <w:rFonts w:asciiTheme="minorHAnsi" w:hAnsiTheme="minorHAnsi" w:cstheme="minorHAnsi"/>
          <w:sz w:val="24"/>
          <w:szCs w:val="24"/>
          <w:lang w:val="id-ID"/>
        </w:rPr>
        <w:t xml:space="preserve"> </w:t>
      </w:r>
    </w:p>
    <w:p w14:paraId="0927B8E9" w14:textId="77777777" w:rsidR="00DF5B90" w:rsidRPr="00BA7D9E" w:rsidRDefault="00DF5B90" w:rsidP="00DF5B90">
      <w:pPr>
        <w:pStyle w:val="Keterangan"/>
        <w:keepNext/>
        <w:jc w:val="center"/>
        <w:rPr>
          <w:rFonts w:asciiTheme="minorHAnsi" w:hAnsiTheme="minorHAnsi" w:cstheme="minorHAnsi"/>
          <w:sz w:val="24"/>
          <w:szCs w:val="24"/>
          <w:lang w:val="id-ID"/>
        </w:rPr>
      </w:pPr>
      <w:r w:rsidRPr="00BA7D9E">
        <w:rPr>
          <w:rFonts w:asciiTheme="minorHAnsi" w:hAnsiTheme="minorHAnsi" w:cstheme="minorHAnsi"/>
          <w:sz w:val="24"/>
          <w:szCs w:val="24"/>
          <w:lang w:val="id-ID"/>
        </w:rPr>
        <w:t xml:space="preserve">The Impact of Stock Market Volatility on the US Dollar Index </w:t>
      </w:r>
    </w:p>
    <w:p w14:paraId="53ED73B9" w14:textId="77777777" w:rsidR="00DF5B90" w:rsidRPr="00BA7D9E" w:rsidRDefault="00DF5B90" w:rsidP="00DF5B90">
      <w:pPr>
        <w:pStyle w:val="Keterangan"/>
        <w:keepNext/>
        <w:jc w:val="center"/>
        <w:rPr>
          <w:rFonts w:asciiTheme="minorHAnsi" w:hAnsiTheme="minorHAnsi" w:cstheme="minorHAnsi"/>
          <w:sz w:val="24"/>
          <w:szCs w:val="24"/>
          <w:lang w:val="id-ID"/>
        </w:rPr>
      </w:pPr>
      <w:r w:rsidRPr="00BA7D9E">
        <w:rPr>
          <w:rFonts w:asciiTheme="minorHAnsi" w:hAnsiTheme="minorHAnsi" w:cstheme="minorHAnsi"/>
          <w:sz w:val="24"/>
          <w:szCs w:val="24"/>
          <w:lang w:val="id-ID"/>
        </w:rPr>
        <w:t>In the Period Before the Russia-Ukraine War</w:t>
      </w:r>
    </w:p>
    <w:tbl>
      <w:tblPr>
        <w:tblW w:w="9409" w:type="dxa"/>
        <w:jc w:val="center"/>
        <w:tblLook w:val="04A0" w:firstRow="1" w:lastRow="0" w:firstColumn="1" w:lastColumn="0" w:noHBand="0" w:noVBand="1"/>
      </w:tblPr>
      <w:tblGrid>
        <w:gridCol w:w="819"/>
        <w:gridCol w:w="1274"/>
        <w:gridCol w:w="885"/>
        <w:gridCol w:w="1499"/>
        <w:gridCol w:w="1124"/>
        <w:gridCol w:w="1198"/>
        <w:gridCol w:w="1319"/>
        <w:gridCol w:w="1309"/>
      </w:tblGrid>
      <w:tr w:rsidR="00DF5B90" w:rsidRPr="00DF5B90" w14:paraId="7ECEF1B5" w14:textId="77777777" w:rsidTr="00DF5B90">
        <w:trPr>
          <w:trHeight w:val="300"/>
          <w:jc w:val="center"/>
        </w:trPr>
        <w:tc>
          <w:tcPr>
            <w:tcW w:w="9409" w:type="dxa"/>
            <w:gridSpan w:val="8"/>
            <w:tcBorders>
              <w:top w:val="single" w:sz="8" w:space="0" w:color="auto"/>
              <w:left w:val="nil"/>
              <w:bottom w:val="nil"/>
              <w:right w:val="nil"/>
            </w:tcBorders>
            <w:noWrap/>
            <w:vAlign w:val="center"/>
            <w:hideMark/>
          </w:tcPr>
          <w:p w14:paraId="577D5912" w14:textId="1B42B409"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Pre Rus</w:t>
            </w:r>
            <w:r w:rsidR="006E23DC">
              <w:rPr>
                <w:rFonts w:asciiTheme="minorHAnsi" w:eastAsia="Times New Roman" w:hAnsiTheme="minorHAnsi" w:cstheme="minorHAnsi"/>
                <w:b/>
                <w:bCs/>
                <w:color w:val="000000"/>
                <w:lang w:val="id-ID"/>
              </w:rPr>
              <w:t>s</w:t>
            </w:r>
            <w:r w:rsidRPr="00DF5B90">
              <w:rPr>
                <w:rFonts w:asciiTheme="minorHAnsi" w:eastAsia="Times New Roman" w:hAnsiTheme="minorHAnsi" w:cstheme="minorHAnsi"/>
                <w:b/>
                <w:bCs/>
                <w:color w:val="000000"/>
                <w:lang w:val="id-ID"/>
              </w:rPr>
              <w:t>ia-Ukrain</w:t>
            </w:r>
            <w:r w:rsidR="006E23DC">
              <w:rPr>
                <w:rFonts w:asciiTheme="minorHAnsi" w:eastAsia="Times New Roman" w:hAnsiTheme="minorHAnsi" w:cstheme="minorHAnsi"/>
                <w:b/>
                <w:bCs/>
                <w:color w:val="000000"/>
                <w:lang w:val="id-ID"/>
              </w:rPr>
              <w:t>e War</w:t>
            </w:r>
          </w:p>
        </w:tc>
      </w:tr>
      <w:tr w:rsidR="00DF5B90" w:rsidRPr="00DF5B90" w14:paraId="58367C64" w14:textId="77777777" w:rsidTr="00DF5B90">
        <w:trPr>
          <w:trHeight w:val="300"/>
          <w:jc w:val="center"/>
        </w:trPr>
        <w:tc>
          <w:tcPr>
            <w:tcW w:w="0" w:type="auto"/>
            <w:gridSpan w:val="2"/>
            <w:vMerge w:val="restart"/>
            <w:tcBorders>
              <w:top w:val="single" w:sz="4" w:space="0" w:color="auto"/>
              <w:left w:val="nil"/>
              <w:bottom w:val="single" w:sz="4" w:space="0" w:color="auto"/>
              <w:right w:val="nil"/>
            </w:tcBorders>
            <w:noWrap/>
            <w:vAlign w:val="center"/>
            <w:hideMark/>
          </w:tcPr>
          <w:p w14:paraId="641BBBB7"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en-US"/>
              </w:rPr>
            </w:pPr>
            <w:r w:rsidRPr="00DF5B90">
              <w:rPr>
                <w:rFonts w:asciiTheme="minorHAnsi" w:eastAsia="Times New Roman" w:hAnsiTheme="minorHAnsi" w:cstheme="minorHAnsi"/>
                <w:b/>
                <w:bCs/>
                <w:color w:val="000000"/>
              </w:rPr>
              <w:t>Independent</w:t>
            </w:r>
          </w:p>
          <w:p w14:paraId="16FD4B34" w14:textId="77777777" w:rsidR="00DF5B90" w:rsidRPr="00DF5B90" w:rsidRDefault="00DF5B90" w:rsidP="00DF5B90">
            <w:pPr>
              <w:spacing w:after="0" w:line="240" w:lineRule="auto"/>
              <w:jc w:val="center"/>
              <w:rPr>
                <w:rFonts w:asciiTheme="minorHAnsi" w:eastAsia="Times New Roman" w:hAnsiTheme="minorHAnsi" w:cstheme="minorHAnsi"/>
                <w:b/>
                <w:bCs/>
                <w:color w:val="000000"/>
              </w:rPr>
            </w:pPr>
            <w:r w:rsidRPr="00DF5B90">
              <w:rPr>
                <w:rFonts w:asciiTheme="minorHAnsi" w:eastAsia="Times New Roman" w:hAnsiTheme="minorHAnsi" w:cstheme="minorHAnsi"/>
                <w:b/>
                <w:bCs/>
                <w:color w:val="000000"/>
              </w:rPr>
              <w:t>Variable</w:t>
            </w:r>
          </w:p>
        </w:tc>
        <w:tc>
          <w:tcPr>
            <w:tcW w:w="0" w:type="auto"/>
            <w:gridSpan w:val="2"/>
            <w:tcBorders>
              <w:top w:val="single" w:sz="4" w:space="0" w:color="auto"/>
              <w:left w:val="nil"/>
              <w:bottom w:val="single" w:sz="4" w:space="0" w:color="auto"/>
              <w:right w:val="nil"/>
            </w:tcBorders>
            <w:vAlign w:val="center"/>
            <w:hideMark/>
          </w:tcPr>
          <w:p w14:paraId="0E3AB6B3"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Mean Equation</w:t>
            </w:r>
          </w:p>
        </w:tc>
        <w:tc>
          <w:tcPr>
            <w:tcW w:w="0" w:type="auto"/>
            <w:gridSpan w:val="3"/>
            <w:tcBorders>
              <w:top w:val="single" w:sz="4" w:space="0" w:color="auto"/>
              <w:left w:val="nil"/>
              <w:bottom w:val="single" w:sz="4" w:space="0" w:color="auto"/>
              <w:right w:val="nil"/>
            </w:tcBorders>
            <w:noWrap/>
            <w:vAlign w:val="center"/>
            <w:hideMark/>
          </w:tcPr>
          <w:p w14:paraId="7D7FBC54"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Variance Equation</w:t>
            </w:r>
          </w:p>
        </w:tc>
        <w:tc>
          <w:tcPr>
            <w:tcW w:w="1309" w:type="dxa"/>
            <w:vMerge w:val="restart"/>
            <w:tcBorders>
              <w:top w:val="single" w:sz="4" w:space="0" w:color="auto"/>
              <w:left w:val="nil"/>
              <w:bottom w:val="single" w:sz="4" w:space="0" w:color="auto"/>
              <w:right w:val="nil"/>
            </w:tcBorders>
            <w:vAlign w:val="center"/>
            <w:hideMark/>
          </w:tcPr>
          <w:p w14:paraId="2868D169"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GED Parameter</w:t>
            </w:r>
          </w:p>
        </w:tc>
      </w:tr>
      <w:tr w:rsidR="00DF5B90" w:rsidRPr="00DF5B90" w14:paraId="44C79FF6" w14:textId="77777777" w:rsidTr="00DF5B90">
        <w:trPr>
          <w:trHeight w:val="315"/>
          <w:jc w:val="center"/>
        </w:trPr>
        <w:tc>
          <w:tcPr>
            <w:tcW w:w="0" w:type="auto"/>
            <w:gridSpan w:val="2"/>
            <w:vMerge/>
            <w:tcBorders>
              <w:top w:val="single" w:sz="4" w:space="0" w:color="auto"/>
              <w:left w:val="nil"/>
              <w:bottom w:val="single" w:sz="4" w:space="0" w:color="auto"/>
              <w:right w:val="nil"/>
            </w:tcBorders>
            <w:vAlign w:val="center"/>
            <w:hideMark/>
          </w:tcPr>
          <w:p w14:paraId="3D4EDA9A" w14:textId="77777777" w:rsidR="00DF5B90" w:rsidRPr="00DF5B90" w:rsidRDefault="00DF5B90" w:rsidP="00DF5B90">
            <w:pPr>
              <w:spacing w:after="0" w:line="240" w:lineRule="auto"/>
              <w:rPr>
                <w:rFonts w:asciiTheme="minorHAnsi" w:eastAsia="Times New Roman" w:hAnsiTheme="minorHAnsi" w:cstheme="minorHAnsi"/>
                <w:b/>
                <w:bCs/>
                <w:color w:val="000000"/>
                <w:lang w:val="en-US"/>
              </w:rPr>
            </w:pPr>
          </w:p>
        </w:tc>
        <w:tc>
          <w:tcPr>
            <w:tcW w:w="0" w:type="auto"/>
            <w:tcBorders>
              <w:top w:val="nil"/>
              <w:left w:val="nil"/>
              <w:bottom w:val="single" w:sz="4" w:space="0" w:color="auto"/>
              <w:right w:val="nil"/>
            </w:tcBorders>
            <w:vAlign w:val="center"/>
            <w:hideMark/>
          </w:tcPr>
          <w:p w14:paraId="15250A5C"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C</w:t>
            </w:r>
          </w:p>
        </w:tc>
        <w:tc>
          <w:tcPr>
            <w:tcW w:w="0" w:type="auto"/>
            <w:tcBorders>
              <w:top w:val="nil"/>
              <w:left w:val="nil"/>
              <w:bottom w:val="single" w:sz="4" w:space="0" w:color="auto"/>
              <w:right w:val="nil"/>
            </w:tcBorders>
            <w:vAlign w:val="center"/>
            <w:hideMark/>
          </w:tcPr>
          <w:p w14:paraId="490B18AE"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Independent</w:t>
            </w:r>
          </w:p>
          <w:p w14:paraId="49BE99F6"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Variable (Volatilit</w:t>
            </w:r>
            <w:r w:rsidRPr="00DF5B90">
              <w:rPr>
                <w:rFonts w:asciiTheme="minorHAnsi" w:eastAsia="Times New Roman" w:hAnsiTheme="minorHAnsi" w:cstheme="minorHAnsi"/>
                <w:b/>
                <w:bCs/>
                <w:color w:val="000000"/>
              </w:rPr>
              <w:t>y</w:t>
            </w:r>
            <w:r w:rsidRPr="00DF5B90">
              <w:rPr>
                <w:rFonts w:asciiTheme="minorHAnsi" w:eastAsia="Times New Roman" w:hAnsiTheme="minorHAnsi" w:cstheme="minorHAnsi"/>
                <w:b/>
                <w:bCs/>
                <w:color w:val="000000"/>
                <w:lang w:val="id-ID"/>
              </w:rPr>
              <w:t>)</w:t>
            </w:r>
          </w:p>
        </w:tc>
        <w:tc>
          <w:tcPr>
            <w:tcW w:w="0" w:type="auto"/>
            <w:tcBorders>
              <w:top w:val="nil"/>
              <w:left w:val="nil"/>
              <w:bottom w:val="single" w:sz="4" w:space="0" w:color="auto"/>
              <w:right w:val="nil"/>
            </w:tcBorders>
            <w:noWrap/>
            <w:vAlign w:val="center"/>
            <w:hideMark/>
          </w:tcPr>
          <w:p w14:paraId="30254889"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C</w:t>
            </w:r>
          </w:p>
        </w:tc>
        <w:tc>
          <w:tcPr>
            <w:tcW w:w="0" w:type="auto"/>
            <w:tcBorders>
              <w:top w:val="nil"/>
              <w:left w:val="nil"/>
              <w:bottom w:val="single" w:sz="4" w:space="0" w:color="auto"/>
              <w:right w:val="nil"/>
            </w:tcBorders>
            <w:noWrap/>
            <w:vAlign w:val="center"/>
            <w:hideMark/>
          </w:tcPr>
          <w:p w14:paraId="215C8544"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Resid</w:t>
            </w:r>
          </w:p>
        </w:tc>
        <w:tc>
          <w:tcPr>
            <w:tcW w:w="0" w:type="auto"/>
            <w:tcBorders>
              <w:top w:val="nil"/>
              <w:left w:val="nil"/>
              <w:bottom w:val="single" w:sz="4" w:space="0" w:color="auto"/>
              <w:right w:val="nil"/>
            </w:tcBorders>
            <w:noWrap/>
            <w:vAlign w:val="center"/>
            <w:hideMark/>
          </w:tcPr>
          <w:p w14:paraId="75713ED7" w14:textId="31FF1693"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G</w:t>
            </w:r>
            <w:r w:rsidR="006E23DC">
              <w:rPr>
                <w:rFonts w:asciiTheme="minorHAnsi" w:eastAsia="Times New Roman" w:hAnsiTheme="minorHAnsi" w:cstheme="minorHAnsi"/>
                <w:b/>
                <w:bCs/>
                <w:color w:val="000000"/>
                <w:lang w:val="id-ID"/>
              </w:rPr>
              <w:t>ARCH</w:t>
            </w:r>
          </w:p>
        </w:tc>
        <w:tc>
          <w:tcPr>
            <w:tcW w:w="0" w:type="auto"/>
            <w:vMerge/>
            <w:tcBorders>
              <w:top w:val="single" w:sz="4" w:space="0" w:color="auto"/>
              <w:left w:val="nil"/>
              <w:bottom w:val="single" w:sz="4" w:space="0" w:color="auto"/>
              <w:right w:val="nil"/>
            </w:tcBorders>
            <w:vAlign w:val="center"/>
            <w:hideMark/>
          </w:tcPr>
          <w:p w14:paraId="1484C6B4" w14:textId="77777777" w:rsidR="00DF5B90" w:rsidRPr="00DF5B90" w:rsidRDefault="00DF5B90" w:rsidP="00DF5B90">
            <w:pPr>
              <w:spacing w:after="0" w:line="240" w:lineRule="auto"/>
              <w:rPr>
                <w:rFonts w:asciiTheme="minorHAnsi" w:eastAsia="Times New Roman" w:hAnsiTheme="minorHAnsi" w:cstheme="minorHAnsi"/>
                <w:b/>
                <w:bCs/>
                <w:color w:val="000000"/>
                <w:lang w:val="id-ID"/>
              </w:rPr>
            </w:pPr>
          </w:p>
        </w:tc>
      </w:tr>
      <w:tr w:rsidR="00DF5B90" w:rsidRPr="00DF5B90" w14:paraId="7ED41DB2" w14:textId="77777777" w:rsidTr="00DF5B90">
        <w:trPr>
          <w:trHeight w:val="300"/>
          <w:jc w:val="center"/>
        </w:trPr>
        <w:tc>
          <w:tcPr>
            <w:tcW w:w="0" w:type="auto"/>
            <w:vMerge w:val="restart"/>
            <w:tcBorders>
              <w:top w:val="single" w:sz="4" w:space="0" w:color="auto"/>
              <w:left w:val="nil"/>
              <w:bottom w:val="single" w:sz="4" w:space="0" w:color="auto"/>
              <w:right w:val="nil"/>
            </w:tcBorders>
            <w:noWrap/>
            <w:vAlign w:val="center"/>
            <w:hideMark/>
          </w:tcPr>
          <w:p w14:paraId="39507F87"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JKSE</w:t>
            </w:r>
          </w:p>
        </w:tc>
        <w:tc>
          <w:tcPr>
            <w:tcW w:w="0" w:type="auto"/>
            <w:tcBorders>
              <w:top w:val="single" w:sz="4" w:space="0" w:color="auto"/>
              <w:left w:val="nil"/>
              <w:bottom w:val="nil"/>
              <w:right w:val="nil"/>
            </w:tcBorders>
            <w:noWrap/>
            <w:vAlign w:val="center"/>
            <w:hideMark/>
          </w:tcPr>
          <w:p w14:paraId="60392BBE"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0C4FFFB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0.0003</w:t>
            </w:r>
          </w:p>
        </w:tc>
        <w:tc>
          <w:tcPr>
            <w:tcW w:w="0" w:type="auto"/>
            <w:tcBorders>
              <w:top w:val="single" w:sz="4" w:space="0" w:color="auto"/>
              <w:left w:val="nil"/>
              <w:bottom w:val="nil"/>
              <w:right w:val="nil"/>
            </w:tcBorders>
            <w:noWrap/>
            <w:vAlign w:val="center"/>
            <w:hideMark/>
          </w:tcPr>
          <w:p w14:paraId="7412450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-0.0003</w:t>
            </w:r>
          </w:p>
        </w:tc>
        <w:tc>
          <w:tcPr>
            <w:tcW w:w="0" w:type="auto"/>
            <w:tcBorders>
              <w:top w:val="single" w:sz="4" w:space="0" w:color="auto"/>
              <w:left w:val="nil"/>
              <w:bottom w:val="nil"/>
              <w:right w:val="nil"/>
            </w:tcBorders>
            <w:noWrap/>
            <w:vAlign w:val="center"/>
            <w:hideMark/>
          </w:tcPr>
          <w:p w14:paraId="7BEF222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single" w:sz="4" w:space="0" w:color="auto"/>
              <w:left w:val="nil"/>
              <w:bottom w:val="nil"/>
              <w:right w:val="nil"/>
            </w:tcBorders>
            <w:noWrap/>
            <w:vAlign w:val="center"/>
            <w:hideMark/>
          </w:tcPr>
          <w:p w14:paraId="1FFE929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-0.0503</w:t>
            </w:r>
          </w:p>
        </w:tc>
        <w:tc>
          <w:tcPr>
            <w:tcW w:w="0" w:type="auto"/>
            <w:tcBorders>
              <w:top w:val="single" w:sz="4" w:space="0" w:color="auto"/>
              <w:left w:val="nil"/>
              <w:bottom w:val="nil"/>
              <w:right w:val="nil"/>
            </w:tcBorders>
            <w:noWrap/>
            <w:vAlign w:val="center"/>
            <w:hideMark/>
          </w:tcPr>
          <w:p w14:paraId="044A123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1.0310</w:t>
            </w:r>
          </w:p>
        </w:tc>
        <w:tc>
          <w:tcPr>
            <w:tcW w:w="1309" w:type="dxa"/>
            <w:tcBorders>
              <w:top w:val="single" w:sz="4" w:space="0" w:color="auto"/>
              <w:left w:val="nil"/>
              <w:bottom w:val="nil"/>
              <w:right w:val="nil"/>
            </w:tcBorders>
            <w:vAlign w:val="center"/>
            <w:hideMark/>
          </w:tcPr>
          <w:p w14:paraId="28A937F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1.4427</w:t>
            </w:r>
          </w:p>
        </w:tc>
      </w:tr>
      <w:tr w:rsidR="00DF5B90" w:rsidRPr="00DF5B90" w14:paraId="6316BA4A"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2A842D40"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2BC8C632"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50682CC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1.4153</w:t>
            </w:r>
          </w:p>
        </w:tc>
        <w:tc>
          <w:tcPr>
            <w:tcW w:w="0" w:type="auto"/>
            <w:noWrap/>
            <w:vAlign w:val="center"/>
            <w:hideMark/>
          </w:tcPr>
          <w:p w14:paraId="4789B19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-1.1921</w:t>
            </w:r>
          </w:p>
        </w:tc>
        <w:tc>
          <w:tcPr>
            <w:tcW w:w="0" w:type="auto"/>
            <w:noWrap/>
            <w:vAlign w:val="center"/>
            <w:hideMark/>
          </w:tcPr>
          <w:p w14:paraId="086FDB8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1.3451</w:t>
            </w:r>
          </w:p>
        </w:tc>
        <w:tc>
          <w:tcPr>
            <w:tcW w:w="0" w:type="auto"/>
            <w:noWrap/>
            <w:vAlign w:val="center"/>
            <w:hideMark/>
          </w:tcPr>
          <w:p w14:paraId="4644CD4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-2.5095</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5884592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5767.70</w:t>
            </w:r>
            <w:r w:rsidRPr="00DF5B90">
              <w:rPr>
                <w:rFonts w:asciiTheme="minorHAnsi" w:eastAsia="Times New Roman" w:hAnsiTheme="minorHAnsi" w:cstheme="minorHAnsi"/>
                <w:color w:val="000000"/>
                <w:vertAlign w:val="superscript"/>
                <w:lang w:val="id-ID"/>
              </w:rPr>
              <w:t>***</w:t>
            </w:r>
          </w:p>
        </w:tc>
        <w:tc>
          <w:tcPr>
            <w:tcW w:w="1309" w:type="dxa"/>
            <w:noWrap/>
            <w:vAlign w:val="center"/>
            <w:hideMark/>
          </w:tcPr>
          <w:p w14:paraId="685D6C7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7.2752</w:t>
            </w:r>
            <w:r w:rsidRPr="00DF5B90">
              <w:rPr>
                <w:rFonts w:asciiTheme="minorHAnsi" w:eastAsia="Times New Roman" w:hAnsiTheme="minorHAnsi" w:cstheme="minorHAnsi"/>
                <w:color w:val="000000"/>
                <w:vertAlign w:val="superscript"/>
                <w:lang w:val="id-ID"/>
              </w:rPr>
              <w:t>***</w:t>
            </w:r>
          </w:p>
        </w:tc>
      </w:tr>
      <w:tr w:rsidR="00DF5B90" w:rsidRPr="00DF5B90" w14:paraId="5EACA37C"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79F59766"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5DBE212F"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620BEF1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0.1570</w:t>
            </w:r>
          </w:p>
        </w:tc>
        <w:tc>
          <w:tcPr>
            <w:tcW w:w="0" w:type="auto"/>
            <w:tcBorders>
              <w:top w:val="nil"/>
              <w:left w:val="nil"/>
              <w:bottom w:val="single" w:sz="4" w:space="0" w:color="auto"/>
              <w:right w:val="nil"/>
            </w:tcBorders>
            <w:noWrap/>
            <w:vAlign w:val="center"/>
            <w:hideMark/>
          </w:tcPr>
          <w:p w14:paraId="7EE088E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0.2332</w:t>
            </w:r>
          </w:p>
        </w:tc>
        <w:tc>
          <w:tcPr>
            <w:tcW w:w="0" w:type="auto"/>
            <w:tcBorders>
              <w:top w:val="nil"/>
              <w:left w:val="nil"/>
              <w:bottom w:val="single" w:sz="4" w:space="0" w:color="auto"/>
              <w:right w:val="nil"/>
            </w:tcBorders>
            <w:noWrap/>
            <w:vAlign w:val="center"/>
            <w:hideMark/>
          </w:tcPr>
          <w:p w14:paraId="06F17C5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0.1786</w:t>
            </w:r>
          </w:p>
        </w:tc>
        <w:tc>
          <w:tcPr>
            <w:tcW w:w="0" w:type="auto"/>
            <w:tcBorders>
              <w:top w:val="nil"/>
              <w:left w:val="nil"/>
              <w:bottom w:val="single" w:sz="4" w:space="0" w:color="auto"/>
              <w:right w:val="nil"/>
            </w:tcBorders>
            <w:noWrap/>
            <w:vAlign w:val="center"/>
            <w:hideMark/>
          </w:tcPr>
          <w:p w14:paraId="793C98E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0.0121</w:t>
            </w:r>
          </w:p>
        </w:tc>
        <w:tc>
          <w:tcPr>
            <w:tcW w:w="0" w:type="auto"/>
            <w:tcBorders>
              <w:top w:val="nil"/>
              <w:left w:val="nil"/>
              <w:bottom w:val="single" w:sz="4" w:space="0" w:color="auto"/>
              <w:right w:val="nil"/>
            </w:tcBorders>
            <w:noWrap/>
            <w:vAlign w:val="center"/>
            <w:hideMark/>
          </w:tcPr>
          <w:p w14:paraId="24C3D58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309" w:type="dxa"/>
            <w:tcBorders>
              <w:top w:val="nil"/>
              <w:left w:val="nil"/>
              <w:bottom w:val="single" w:sz="4" w:space="0" w:color="auto"/>
              <w:right w:val="nil"/>
            </w:tcBorders>
            <w:noWrap/>
            <w:vAlign w:val="center"/>
            <w:hideMark/>
          </w:tcPr>
          <w:p w14:paraId="07E45C1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41E2E892" w14:textId="77777777" w:rsidTr="00DF5B90">
        <w:trPr>
          <w:trHeight w:val="300"/>
          <w:jc w:val="center"/>
        </w:trPr>
        <w:tc>
          <w:tcPr>
            <w:tcW w:w="0" w:type="auto"/>
            <w:vMerge w:val="restart"/>
            <w:tcBorders>
              <w:top w:val="single" w:sz="4" w:space="0" w:color="auto"/>
              <w:left w:val="nil"/>
              <w:bottom w:val="single" w:sz="4" w:space="0" w:color="auto"/>
              <w:right w:val="nil"/>
            </w:tcBorders>
            <w:noWrap/>
            <w:vAlign w:val="center"/>
            <w:hideMark/>
          </w:tcPr>
          <w:p w14:paraId="2008A570"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KLSE</w:t>
            </w:r>
          </w:p>
        </w:tc>
        <w:tc>
          <w:tcPr>
            <w:tcW w:w="0" w:type="auto"/>
            <w:tcBorders>
              <w:top w:val="single" w:sz="4" w:space="0" w:color="auto"/>
              <w:left w:val="nil"/>
              <w:bottom w:val="nil"/>
              <w:right w:val="nil"/>
            </w:tcBorders>
            <w:noWrap/>
            <w:vAlign w:val="center"/>
            <w:hideMark/>
          </w:tcPr>
          <w:p w14:paraId="06BF87EB"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7CCDE7C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0.0003</w:t>
            </w:r>
          </w:p>
        </w:tc>
        <w:tc>
          <w:tcPr>
            <w:tcW w:w="0" w:type="auto"/>
            <w:tcBorders>
              <w:top w:val="single" w:sz="4" w:space="0" w:color="auto"/>
              <w:left w:val="nil"/>
              <w:bottom w:val="nil"/>
              <w:right w:val="nil"/>
            </w:tcBorders>
            <w:noWrap/>
            <w:vAlign w:val="center"/>
            <w:hideMark/>
          </w:tcPr>
          <w:p w14:paraId="0240EFD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-0.0002</w:t>
            </w:r>
          </w:p>
        </w:tc>
        <w:tc>
          <w:tcPr>
            <w:tcW w:w="0" w:type="auto"/>
            <w:tcBorders>
              <w:top w:val="single" w:sz="4" w:space="0" w:color="auto"/>
              <w:left w:val="nil"/>
              <w:bottom w:val="nil"/>
              <w:right w:val="nil"/>
            </w:tcBorders>
            <w:noWrap/>
            <w:vAlign w:val="center"/>
            <w:hideMark/>
          </w:tcPr>
          <w:p w14:paraId="103D05F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single" w:sz="4" w:space="0" w:color="auto"/>
              <w:left w:val="nil"/>
              <w:bottom w:val="nil"/>
              <w:right w:val="nil"/>
            </w:tcBorders>
            <w:noWrap/>
            <w:vAlign w:val="center"/>
            <w:hideMark/>
          </w:tcPr>
          <w:p w14:paraId="101A6A7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-0.0515</w:t>
            </w:r>
          </w:p>
        </w:tc>
        <w:tc>
          <w:tcPr>
            <w:tcW w:w="0" w:type="auto"/>
            <w:tcBorders>
              <w:top w:val="single" w:sz="4" w:space="0" w:color="auto"/>
              <w:left w:val="nil"/>
              <w:bottom w:val="nil"/>
              <w:right w:val="nil"/>
            </w:tcBorders>
            <w:noWrap/>
            <w:vAlign w:val="center"/>
            <w:hideMark/>
          </w:tcPr>
          <w:p w14:paraId="6073154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1.0328</w:t>
            </w:r>
          </w:p>
        </w:tc>
        <w:tc>
          <w:tcPr>
            <w:tcW w:w="1309" w:type="dxa"/>
            <w:tcBorders>
              <w:top w:val="single" w:sz="4" w:space="0" w:color="auto"/>
              <w:left w:val="nil"/>
              <w:bottom w:val="nil"/>
              <w:right w:val="nil"/>
            </w:tcBorders>
            <w:vAlign w:val="center"/>
            <w:hideMark/>
          </w:tcPr>
          <w:p w14:paraId="3A03E13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1.4454</w:t>
            </w:r>
          </w:p>
        </w:tc>
      </w:tr>
      <w:tr w:rsidR="00DF5B90" w:rsidRPr="00DF5B90" w14:paraId="35CB350B"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390105BA"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77457E7E"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4012A46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1.2625</w:t>
            </w:r>
          </w:p>
        </w:tc>
        <w:tc>
          <w:tcPr>
            <w:tcW w:w="0" w:type="auto"/>
            <w:noWrap/>
            <w:vAlign w:val="center"/>
            <w:hideMark/>
          </w:tcPr>
          <w:p w14:paraId="2638F9C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-0.8196</w:t>
            </w:r>
          </w:p>
        </w:tc>
        <w:tc>
          <w:tcPr>
            <w:tcW w:w="0" w:type="auto"/>
            <w:noWrap/>
            <w:vAlign w:val="center"/>
            <w:hideMark/>
          </w:tcPr>
          <w:p w14:paraId="72D3074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1.9765</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24CB33A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-3.6881</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2288F65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8711.99</w:t>
            </w:r>
            <w:r w:rsidRPr="00DF5B90">
              <w:rPr>
                <w:rFonts w:asciiTheme="minorHAnsi" w:eastAsia="Times New Roman" w:hAnsiTheme="minorHAnsi" w:cstheme="minorHAnsi"/>
                <w:color w:val="000000"/>
                <w:vertAlign w:val="superscript"/>
                <w:lang w:val="id-ID"/>
              </w:rPr>
              <w:t>***</w:t>
            </w:r>
          </w:p>
        </w:tc>
        <w:tc>
          <w:tcPr>
            <w:tcW w:w="1309" w:type="dxa"/>
            <w:noWrap/>
            <w:vAlign w:val="center"/>
            <w:hideMark/>
          </w:tcPr>
          <w:p w14:paraId="7B603B2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7.1635</w:t>
            </w:r>
            <w:r w:rsidRPr="00DF5B90">
              <w:rPr>
                <w:rFonts w:asciiTheme="minorHAnsi" w:eastAsia="Times New Roman" w:hAnsiTheme="minorHAnsi" w:cstheme="minorHAnsi"/>
                <w:color w:val="000000"/>
                <w:vertAlign w:val="superscript"/>
                <w:lang w:val="id-ID"/>
              </w:rPr>
              <w:t>***</w:t>
            </w:r>
          </w:p>
        </w:tc>
      </w:tr>
      <w:tr w:rsidR="00DF5B90" w:rsidRPr="00DF5B90" w14:paraId="0FF3E3A6"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4FBEBF09"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63B3A684"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7E08058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0.2068</w:t>
            </w:r>
          </w:p>
        </w:tc>
        <w:tc>
          <w:tcPr>
            <w:tcW w:w="0" w:type="auto"/>
            <w:tcBorders>
              <w:top w:val="nil"/>
              <w:left w:val="nil"/>
              <w:bottom w:val="single" w:sz="4" w:space="0" w:color="auto"/>
              <w:right w:val="nil"/>
            </w:tcBorders>
            <w:noWrap/>
            <w:vAlign w:val="center"/>
            <w:hideMark/>
          </w:tcPr>
          <w:p w14:paraId="14C8AAE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0.4124</w:t>
            </w:r>
          </w:p>
        </w:tc>
        <w:tc>
          <w:tcPr>
            <w:tcW w:w="0" w:type="auto"/>
            <w:tcBorders>
              <w:top w:val="nil"/>
              <w:left w:val="nil"/>
              <w:bottom w:val="single" w:sz="4" w:space="0" w:color="auto"/>
              <w:right w:val="nil"/>
            </w:tcBorders>
            <w:noWrap/>
            <w:vAlign w:val="center"/>
            <w:hideMark/>
          </w:tcPr>
          <w:p w14:paraId="7151A68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0.0481</w:t>
            </w:r>
          </w:p>
        </w:tc>
        <w:tc>
          <w:tcPr>
            <w:tcW w:w="0" w:type="auto"/>
            <w:tcBorders>
              <w:top w:val="nil"/>
              <w:left w:val="nil"/>
              <w:bottom w:val="single" w:sz="4" w:space="0" w:color="auto"/>
              <w:right w:val="nil"/>
            </w:tcBorders>
            <w:noWrap/>
            <w:vAlign w:val="center"/>
            <w:hideMark/>
          </w:tcPr>
          <w:p w14:paraId="646F5D5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0.0002</w:t>
            </w:r>
          </w:p>
        </w:tc>
        <w:tc>
          <w:tcPr>
            <w:tcW w:w="0" w:type="auto"/>
            <w:tcBorders>
              <w:top w:val="nil"/>
              <w:left w:val="nil"/>
              <w:bottom w:val="single" w:sz="4" w:space="0" w:color="auto"/>
              <w:right w:val="nil"/>
            </w:tcBorders>
            <w:noWrap/>
            <w:vAlign w:val="center"/>
            <w:hideMark/>
          </w:tcPr>
          <w:p w14:paraId="1F5DB99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309" w:type="dxa"/>
            <w:tcBorders>
              <w:top w:val="nil"/>
              <w:left w:val="nil"/>
              <w:bottom w:val="single" w:sz="4" w:space="0" w:color="auto"/>
              <w:right w:val="nil"/>
            </w:tcBorders>
            <w:noWrap/>
            <w:vAlign w:val="center"/>
            <w:hideMark/>
          </w:tcPr>
          <w:p w14:paraId="69A5928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10C1BED8" w14:textId="77777777" w:rsidTr="00DF5B90">
        <w:trPr>
          <w:trHeight w:val="300"/>
          <w:jc w:val="center"/>
        </w:trPr>
        <w:tc>
          <w:tcPr>
            <w:tcW w:w="0" w:type="auto"/>
            <w:vMerge w:val="restart"/>
            <w:tcBorders>
              <w:top w:val="single" w:sz="4" w:space="0" w:color="auto"/>
              <w:left w:val="nil"/>
              <w:bottom w:val="single" w:sz="4" w:space="0" w:color="auto"/>
              <w:right w:val="nil"/>
            </w:tcBorders>
            <w:noWrap/>
            <w:vAlign w:val="center"/>
            <w:hideMark/>
          </w:tcPr>
          <w:p w14:paraId="1A71022B"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PSEi</w:t>
            </w:r>
          </w:p>
        </w:tc>
        <w:tc>
          <w:tcPr>
            <w:tcW w:w="0" w:type="auto"/>
            <w:tcBorders>
              <w:top w:val="single" w:sz="4" w:space="0" w:color="auto"/>
              <w:left w:val="nil"/>
              <w:bottom w:val="nil"/>
              <w:right w:val="nil"/>
            </w:tcBorders>
            <w:noWrap/>
            <w:vAlign w:val="center"/>
            <w:hideMark/>
          </w:tcPr>
          <w:p w14:paraId="7C6CDB32"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77221A7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0.0003</w:t>
            </w:r>
          </w:p>
        </w:tc>
        <w:tc>
          <w:tcPr>
            <w:tcW w:w="0" w:type="auto"/>
            <w:tcBorders>
              <w:top w:val="single" w:sz="4" w:space="0" w:color="auto"/>
              <w:left w:val="nil"/>
              <w:bottom w:val="nil"/>
              <w:right w:val="nil"/>
            </w:tcBorders>
            <w:noWrap/>
            <w:vAlign w:val="center"/>
            <w:hideMark/>
          </w:tcPr>
          <w:p w14:paraId="725EAA5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0.0002</w:t>
            </w:r>
          </w:p>
        </w:tc>
        <w:tc>
          <w:tcPr>
            <w:tcW w:w="0" w:type="auto"/>
            <w:tcBorders>
              <w:top w:val="single" w:sz="4" w:space="0" w:color="auto"/>
              <w:left w:val="nil"/>
              <w:bottom w:val="nil"/>
              <w:right w:val="nil"/>
            </w:tcBorders>
            <w:noWrap/>
            <w:vAlign w:val="center"/>
            <w:hideMark/>
          </w:tcPr>
          <w:p w14:paraId="34B9945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single" w:sz="4" w:space="0" w:color="auto"/>
              <w:left w:val="nil"/>
              <w:bottom w:val="nil"/>
              <w:right w:val="nil"/>
            </w:tcBorders>
            <w:noWrap/>
            <w:vAlign w:val="center"/>
            <w:hideMark/>
          </w:tcPr>
          <w:p w14:paraId="4E7D75A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-0.0489</w:t>
            </w:r>
          </w:p>
        </w:tc>
        <w:tc>
          <w:tcPr>
            <w:tcW w:w="0" w:type="auto"/>
            <w:tcBorders>
              <w:top w:val="single" w:sz="4" w:space="0" w:color="auto"/>
              <w:left w:val="nil"/>
              <w:bottom w:val="nil"/>
              <w:right w:val="nil"/>
            </w:tcBorders>
            <w:noWrap/>
            <w:vAlign w:val="center"/>
            <w:hideMark/>
          </w:tcPr>
          <w:p w14:paraId="3E172E2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1.0313</w:t>
            </w:r>
          </w:p>
        </w:tc>
        <w:tc>
          <w:tcPr>
            <w:tcW w:w="1309" w:type="dxa"/>
            <w:tcBorders>
              <w:top w:val="single" w:sz="4" w:space="0" w:color="auto"/>
              <w:left w:val="nil"/>
              <w:bottom w:val="nil"/>
              <w:right w:val="nil"/>
            </w:tcBorders>
            <w:vAlign w:val="center"/>
            <w:hideMark/>
          </w:tcPr>
          <w:p w14:paraId="1A53827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1.4794</w:t>
            </w:r>
          </w:p>
        </w:tc>
      </w:tr>
      <w:tr w:rsidR="00DF5B90" w:rsidRPr="00DF5B90" w14:paraId="50B01B1E"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73C3183E"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1E85F012"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1357AB9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1.3568</w:t>
            </w:r>
          </w:p>
        </w:tc>
        <w:tc>
          <w:tcPr>
            <w:tcW w:w="0" w:type="auto"/>
            <w:noWrap/>
            <w:vAlign w:val="center"/>
            <w:hideMark/>
          </w:tcPr>
          <w:p w14:paraId="255EC3E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0.8253</w:t>
            </w:r>
          </w:p>
        </w:tc>
        <w:tc>
          <w:tcPr>
            <w:tcW w:w="0" w:type="auto"/>
            <w:noWrap/>
            <w:vAlign w:val="center"/>
            <w:hideMark/>
          </w:tcPr>
          <w:p w14:paraId="3F8D6A8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1.3648</w:t>
            </w:r>
          </w:p>
        </w:tc>
        <w:tc>
          <w:tcPr>
            <w:tcW w:w="0" w:type="auto"/>
            <w:noWrap/>
            <w:vAlign w:val="center"/>
            <w:hideMark/>
          </w:tcPr>
          <w:p w14:paraId="2F3C841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-2.5484</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3FA3AE3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5568.68</w:t>
            </w:r>
            <w:r w:rsidRPr="00DF5B90">
              <w:rPr>
                <w:rFonts w:asciiTheme="minorHAnsi" w:eastAsia="Times New Roman" w:hAnsiTheme="minorHAnsi" w:cstheme="minorHAnsi"/>
                <w:color w:val="000000"/>
                <w:vertAlign w:val="superscript"/>
                <w:lang w:val="id-ID"/>
              </w:rPr>
              <w:t>***</w:t>
            </w:r>
          </w:p>
        </w:tc>
        <w:tc>
          <w:tcPr>
            <w:tcW w:w="1309" w:type="dxa"/>
            <w:noWrap/>
            <w:vAlign w:val="center"/>
            <w:hideMark/>
          </w:tcPr>
          <w:p w14:paraId="05600BC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7.2979</w:t>
            </w:r>
            <w:r w:rsidRPr="00DF5B90">
              <w:rPr>
                <w:rFonts w:asciiTheme="minorHAnsi" w:eastAsia="Times New Roman" w:hAnsiTheme="minorHAnsi" w:cstheme="minorHAnsi"/>
                <w:color w:val="000000"/>
                <w:vertAlign w:val="superscript"/>
                <w:lang w:val="id-ID"/>
              </w:rPr>
              <w:t>***</w:t>
            </w:r>
          </w:p>
        </w:tc>
      </w:tr>
      <w:tr w:rsidR="00DF5B90" w:rsidRPr="00DF5B90" w14:paraId="07BEEA9E"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0F0D4197"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0A9A02B8"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5166FD8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0.1748</w:t>
            </w:r>
          </w:p>
        </w:tc>
        <w:tc>
          <w:tcPr>
            <w:tcW w:w="0" w:type="auto"/>
            <w:tcBorders>
              <w:top w:val="nil"/>
              <w:left w:val="nil"/>
              <w:bottom w:val="single" w:sz="4" w:space="0" w:color="auto"/>
              <w:right w:val="nil"/>
            </w:tcBorders>
            <w:noWrap/>
            <w:vAlign w:val="center"/>
            <w:hideMark/>
          </w:tcPr>
          <w:p w14:paraId="7719C03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0.4092</w:t>
            </w:r>
          </w:p>
        </w:tc>
        <w:tc>
          <w:tcPr>
            <w:tcW w:w="0" w:type="auto"/>
            <w:tcBorders>
              <w:top w:val="nil"/>
              <w:left w:val="nil"/>
              <w:bottom w:val="single" w:sz="4" w:space="0" w:color="auto"/>
              <w:right w:val="nil"/>
            </w:tcBorders>
            <w:noWrap/>
            <w:vAlign w:val="center"/>
            <w:hideMark/>
          </w:tcPr>
          <w:p w14:paraId="31F1094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0.1723</w:t>
            </w:r>
          </w:p>
        </w:tc>
        <w:tc>
          <w:tcPr>
            <w:tcW w:w="0" w:type="auto"/>
            <w:tcBorders>
              <w:top w:val="nil"/>
              <w:left w:val="nil"/>
              <w:bottom w:val="single" w:sz="4" w:space="0" w:color="auto"/>
              <w:right w:val="nil"/>
            </w:tcBorders>
            <w:noWrap/>
            <w:vAlign w:val="center"/>
            <w:hideMark/>
          </w:tcPr>
          <w:p w14:paraId="06FEB5B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0.0108</w:t>
            </w:r>
          </w:p>
        </w:tc>
        <w:tc>
          <w:tcPr>
            <w:tcW w:w="0" w:type="auto"/>
            <w:tcBorders>
              <w:top w:val="nil"/>
              <w:left w:val="nil"/>
              <w:bottom w:val="single" w:sz="4" w:space="0" w:color="auto"/>
              <w:right w:val="nil"/>
            </w:tcBorders>
            <w:noWrap/>
            <w:vAlign w:val="center"/>
            <w:hideMark/>
          </w:tcPr>
          <w:p w14:paraId="748D6EF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309" w:type="dxa"/>
            <w:tcBorders>
              <w:top w:val="nil"/>
              <w:left w:val="nil"/>
              <w:bottom w:val="single" w:sz="4" w:space="0" w:color="auto"/>
              <w:right w:val="nil"/>
            </w:tcBorders>
            <w:noWrap/>
            <w:vAlign w:val="center"/>
            <w:hideMark/>
          </w:tcPr>
          <w:p w14:paraId="70E7CD6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4E2BC760" w14:textId="77777777" w:rsidTr="00DF5B90">
        <w:trPr>
          <w:trHeight w:val="300"/>
          <w:jc w:val="center"/>
        </w:trPr>
        <w:tc>
          <w:tcPr>
            <w:tcW w:w="0" w:type="auto"/>
            <w:vMerge w:val="restart"/>
            <w:tcBorders>
              <w:top w:val="single" w:sz="4" w:space="0" w:color="auto"/>
              <w:left w:val="nil"/>
              <w:bottom w:val="nil"/>
              <w:right w:val="nil"/>
            </w:tcBorders>
            <w:noWrap/>
            <w:vAlign w:val="center"/>
            <w:hideMark/>
          </w:tcPr>
          <w:p w14:paraId="423B63EC"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STI</w:t>
            </w:r>
          </w:p>
        </w:tc>
        <w:tc>
          <w:tcPr>
            <w:tcW w:w="0" w:type="auto"/>
            <w:tcBorders>
              <w:top w:val="single" w:sz="4" w:space="0" w:color="auto"/>
              <w:left w:val="nil"/>
              <w:bottom w:val="nil"/>
              <w:right w:val="nil"/>
            </w:tcBorders>
            <w:noWrap/>
            <w:vAlign w:val="center"/>
            <w:hideMark/>
          </w:tcPr>
          <w:p w14:paraId="7B753B3C"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5B6E593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0.0003</w:t>
            </w:r>
          </w:p>
        </w:tc>
        <w:tc>
          <w:tcPr>
            <w:tcW w:w="0" w:type="auto"/>
            <w:tcBorders>
              <w:top w:val="single" w:sz="4" w:space="0" w:color="auto"/>
              <w:left w:val="nil"/>
              <w:bottom w:val="nil"/>
              <w:right w:val="nil"/>
            </w:tcBorders>
            <w:noWrap/>
            <w:vAlign w:val="center"/>
            <w:hideMark/>
          </w:tcPr>
          <w:p w14:paraId="33618CE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-0.0001</w:t>
            </w:r>
          </w:p>
        </w:tc>
        <w:tc>
          <w:tcPr>
            <w:tcW w:w="0" w:type="auto"/>
            <w:tcBorders>
              <w:top w:val="single" w:sz="4" w:space="0" w:color="auto"/>
              <w:left w:val="nil"/>
              <w:bottom w:val="nil"/>
              <w:right w:val="nil"/>
            </w:tcBorders>
            <w:noWrap/>
            <w:vAlign w:val="center"/>
            <w:hideMark/>
          </w:tcPr>
          <w:p w14:paraId="4066CE9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single" w:sz="4" w:space="0" w:color="auto"/>
              <w:left w:val="nil"/>
              <w:bottom w:val="nil"/>
              <w:right w:val="nil"/>
            </w:tcBorders>
            <w:noWrap/>
            <w:vAlign w:val="center"/>
            <w:hideMark/>
          </w:tcPr>
          <w:p w14:paraId="431110F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-0.0498</w:t>
            </w:r>
          </w:p>
        </w:tc>
        <w:tc>
          <w:tcPr>
            <w:tcW w:w="0" w:type="auto"/>
            <w:tcBorders>
              <w:top w:val="single" w:sz="4" w:space="0" w:color="auto"/>
              <w:left w:val="nil"/>
              <w:bottom w:val="nil"/>
              <w:right w:val="nil"/>
            </w:tcBorders>
            <w:noWrap/>
            <w:vAlign w:val="center"/>
            <w:hideMark/>
          </w:tcPr>
          <w:p w14:paraId="00C4827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1.0300</w:t>
            </w:r>
          </w:p>
        </w:tc>
        <w:tc>
          <w:tcPr>
            <w:tcW w:w="1309" w:type="dxa"/>
            <w:tcBorders>
              <w:top w:val="single" w:sz="4" w:space="0" w:color="auto"/>
              <w:left w:val="nil"/>
              <w:bottom w:val="nil"/>
              <w:right w:val="nil"/>
            </w:tcBorders>
            <w:vAlign w:val="center"/>
            <w:hideMark/>
          </w:tcPr>
          <w:p w14:paraId="0DCEB61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1.4706</w:t>
            </w:r>
          </w:p>
        </w:tc>
      </w:tr>
      <w:tr w:rsidR="00DF5B90" w:rsidRPr="00DF5B90" w14:paraId="517B2D89" w14:textId="77777777" w:rsidTr="00DF5B90">
        <w:trPr>
          <w:trHeight w:val="300"/>
          <w:jc w:val="center"/>
        </w:trPr>
        <w:tc>
          <w:tcPr>
            <w:tcW w:w="0" w:type="auto"/>
            <w:vMerge/>
            <w:tcBorders>
              <w:top w:val="single" w:sz="4" w:space="0" w:color="auto"/>
              <w:left w:val="nil"/>
              <w:bottom w:val="nil"/>
              <w:right w:val="nil"/>
            </w:tcBorders>
            <w:vAlign w:val="center"/>
            <w:hideMark/>
          </w:tcPr>
          <w:p w14:paraId="008C965E"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2C713FE8"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0FAD841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1.3604</w:t>
            </w:r>
          </w:p>
        </w:tc>
        <w:tc>
          <w:tcPr>
            <w:tcW w:w="0" w:type="auto"/>
            <w:noWrap/>
            <w:vAlign w:val="center"/>
            <w:hideMark/>
          </w:tcPr>
          <w:p w14:paraId="0EB25A4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-0.6062</w:t>
            </w:r>
          </w:p>
        </w:tc>
        <w:tc>
          <w:tcPr>
            <w:tcW w:w="0" w:type="auto"/>
            <w:noWrap/>
            <w:vAlign w:val="center"/>
            <w:hideMark/>
          </w:tcPr>
          <w:p w14:paraId="6B3D98F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1.2308</w:t>
            </w:r>
          </w:p>
        </w:tc>
        <w:tc>
          <w:tcPr>
            <w:tcW w:w="0" w:type="auto"/>
            <w:noWrap/>
            <w:vAlign w:val="center"/>
            <w:hideMark/>
          </w:tcPr>
          <w:p w14:paraId="3522FF8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-2.3283</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1AB1EFE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4744.35</w:t>
            </w:r>
            <w:r w:rsidRPr="00DF5B90">
              <w:rPr>
                <w:rFonts w:asciiTheme="minorHAnsi" w:eastAsia="Times New Roman" w:hAnsiTheme="minorHAnsi" w:cstheme="minorHAnsi"/>
                <w:color w:val="000000"/>
                <w:vertAlign w:val="superscript"/>
                <w:lang w:val="id-ID"/>
              </w:rPr>
              <w:t>***</w:t>
            </w:r>
          </w:p>
        </w:tc>
        <w:tc>
          <w:tcPr>
            <w:tcW w:w="1309" w:type="dxa"/>
            <w:noWrap/>
            <w:vAlign w:val="center"/>
            <w:hideMark/>
          </w:tcPr>
          <w:p w14:paraId="374E4A0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7.1861</w:t>
            </w:r>
            <w:r w:rsidRPr="00DF5B90">
              <w:rPr>
                <w:rFonts w:asciiTheme="minorHAnsi" w:eastAsia="Times New Roman" w:hAnsiTheme="minorHAnsi" w:cstheme="minorHAnsi"/>
                <w:color w:val="000000"/>
                <w:vertAlign w:val="superscript"/>
                <w:lang w:val="id-ID"/>
              </w:rPr>
              <w:t>***</w:t>
            </w:r>
          </w:p>
        </w:tc>
      </w:tr>
      <w:tr w:rsidR="00DF5B90" w:rsidRPr="00DF5B90" w14:paraId="3A7D656D" w14:textId="77777777" w:rsidTr="00DF5B90">
        <w:trPr>
          <w:trHeight w:val="300"/>
          <w:jc w:val="center"/>
        </w:trPr>
        <w:tc>
          <w:tcPr>
            <w:tcW w:w="0" w:type="auto"/>
            <w:vMerge/>
            <w:tcBorders>
              <w:top w:val="single" w:sz="4" w:space="0" w:color="auto"/>
              <w:left w:val="nil"/>
              <w:bottom w:val="nil"/>
              <w:right w:val="nil"/>
            </w:tcBorders>
            <w:vAlign w:val="center"/>
            <w:hideMark/>
          </w:tcPr>
          <w:p w14:paraId="7D8EBAAE"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679CA436"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7F54A75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0.1737</w:t>
            </w:r>
          </w:p>
        </w:tc>
        <w:tc>
          <w:tcPr>
            <w:tcW w:w="0" w:type="auto"/>
            <w:tcBorders>
              <w:top w:val="nil"/>
              <w:left w:val="nil"/>
              <w:bottom w:val="single" w:sz="4" w:space="0" w:color="auto"/>
              <w:right w:val="nil"/>
            </w:tcBorders>
            <w:noWrap/>
            <w:vAlign w:val="center"/>
            <w:hideMark/>
          </w:tcPr>
          <w:p w14:paraId="6DA3F0B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0.5444</w:t>
            </w:r>
          </w:p>
        </w:tc>
        <w:tc>
          <w:tcPr>
            <w:tcW w:w="0" w:type="auto"/>
            <w:tcBorders>
              <w:top w:val="nil"/>
              <w:left w:val="nil"/>
              <w:bottom w:val="single" w:sz="4" w:space="0" w:color="auto"/>
              <w:right w:val="nil"/>
            </w:tcBorders>
            <w:noWrap/>
            <w:vAlign w:val="center"/>
            <w:hideMark/>
          </w:tcPr>
          <w:p w14:paraId="4556AD7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0.2184</w:t>
            </w:r>
          </w:p>
        </w:tc>
        <w:tc>
          <w:tcPr>
            <w:tcW w:w="0" w:type="auto"/>
            <w:tcBorders>
              <w:top w:val="nil"/>
              <w:left w:val="nil"/>
              <w:bottom w:val="single" w:sz="4" w:space="0" w:color="auto"/>
              <w:right w:val="nil"/>
            </w:tcBorders>
            <w:noWrap/>
            <w:vAlign w:val="center"/>
            <w:hideMark/>
          </w:tcPr>
          <w:p w14:paraId="29499A5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0.0199</w:t>
            </w:r>
          </w:p>
        </w:tc>
        <w:tc>
          <w:tcPr>
            <w:tcW w:w="0" w:type="auto"/>
            <w:tcBorders>
              <w:top w:val="nil"/>
              <w:left w:val="nil"/>
              <w:bottom w:val="single" w:sz="4" w:space="0" w:color="auto"/>
              <w:right w:val="nil"/>
            </w:tcBorders>
            <w:noWrap/>
            <w:vAlign w:val="center"/>
            <w:hideMark/>
          </w:tcPr>
          <w:p w14:paraId="07B34CA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309" w:type="dxa"/>
            <w:tcBorders>
              <w:top w:val="nil"/>
              <w:left w:val="nil"/>
              <w:bottom w:val="single" w:sz="4" w:space="0" w:color="auto"/>
              <w:right w:val="nil"/>
            </w:tcBorders>
            <w:noWrap/>
            <w:vAlign w:val="center"/>
            <w:hideMark/>
          </w:tcPr>
          <w:p w14:paraId="04909A5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26FCDF0F" w14:textId="77777777" w:rsidTr="00DF5B90">
        <w:trPr>
          <w:trHeight w:val="300"/>
          <w:jc w:val="center"/>
        </w:trPr>
        <w:tc>
          <w:tcPr>
            <w:tcW w:w="0" w:type="auto"/>
            <w:vMerge w:val="restart"/>
            <w:tcBorders>
              <w:top w:val="single" w:sz="4" w:space="0" w:color="auto"/>
              <w:left w:val="nil"/>
              <w:bottom w:val="single" w:sz="4" w:space="0" w:color="auto"/>
              <w:right w:val="nil"/>
            </w:tcBorders>
            <w:noWrap/>
            <w:vAlign w:val="center"/>
            <w:hideMark/>
          </w:tcPr>
          <w:p w14:paraId="77A8E96D"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SETI</w:t>
            </w:r>
          </w:p>
        </w:tc>
        <w:tc>
          <w:tcPr>
            <w:tcW w:w="0" w:type="auto"/>
            <w:tcBorders>
              <w:top w:val="single" w:sz="4" w:space="0" w:color="auto"/>
              <w:left w:val="nil"/>
              <w:bottom w:val="nil"/>
              <w:right w:val="nil"/>
            </w:tcBorders>
            <w:noWrap/>
            <w:vAlign w:val="center"/>
            <w:hideMark/>
          </w:tcPr>
          <w:p w14:paraId="260FEAD8"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noWrap/>
            <w:vAlign w:val="center"/>
            <w:hideMark/>
          </w:tcPr>
          <w:p w14:paraId="4BB117D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0.0003</w:t>
            </w:r>
          </w:p>
        </w:tc>
        <w:tc>
          <w:tcPr>
            <w:tcW w:w="0" w:type="auto"/>
            <w:noWrap/>
            <w:vAlign w:val="center"/>
            <w:hideMark/>
          </w:tcPr>
          <w:p w14:paraId="63EC75D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-0.0004</w:t>
            </w:r>
          </w:p>
        </w:tc>
        <w:tc>
          <w:tcPr>
            <w:tcW w:w="0" w:type="auto"/>
            <w:noWrap/>
            <w:vAlign w:val="center"/>
            <w:hideMark/>
          </w:tcPr>
          <w:p w14:paraId="0172623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noWrap/>
            <w:vAlign w:val="center"/>
            <w:hideMark/>
          </w:tcPr>
          <w:p w14:paraId="1C2DF9E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-0.0570</w:t>
            </w:r>
          </w:p>
        </w:tc>
        <w:tc>
          <w:tcPr>
            <w:tcW w:w="0" w:type="auto"/>
            <w:noWrap/>
            <w:vAlign w:val="center"/>
            <w:hideMark/>
          </w:tcPr>
          <w:p w14:paraId="2AD7B47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1.0303</w:t>
            </w:r>
          </w:p>
        </w:tc>
        <w:tc>
          <w:tcPr>
            <w:tcW w:w="1309" w:type="dxa"/>
            <w:vAlign w:val="center"/>
            <w:hideMark/>
          </w:tcPr>
          <w:p w14:paraId="3032C6A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1.4867</w:t>
            </w:r>
          </w:p>
        </w:tc>
      </w:tr>
      <w:tr w:rsidR="00DF5B90" w:rsidRPr="00DF5B90" w14:paraId="6DED9D88"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4E061C7A"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5B7F443B"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3C696DB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1.3181</w:t>
            </w:r>
          </w:p>
        </w:tc>
        <w:tc>
          <w:tcPr>
            <w:tcW w:w="0" w:type="auto"/>
            <w:noWrap/>
            <w:vAlign w:val="center"/>
            <w:hideMark/>
          </w:tcPr>
          <w:p w14:paraId="33A3D17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-1.6441</w:t>
            </w:r>
          </w:p>
        </w:tc>
        <w:tc>
          <w:tcPr>
            <w:tcW w:w="0" w:type="auto"/>
            <w:noWrap/>
            <w:vAlign w:val="center"/>
            <w:hideMark/>
          </w:tcPr>
          <w:p w14:paraId="2EA87C7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1.8871</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10BC4CE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-3.0339</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22DE378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6133.48</w:t>
            </w:r>
            <w:r w:rsidRPr="00DF5B90">
              <w:rPr>
                <w:rFonts w:asciiTheme="minorHAnsi" w:eastAsia="Times New Roman" w:hAnsiTheme="minorHAnsi" w:cstheme="minorHAnsi"/>
                <w:color w:val="000000"/>
                <w:vertAlign w:val="superscript"/>
                <w:lang w:val="id-ID"/>
              </w:rPr>
              <w:t>***</w:t>
            </w:r>
          </w:p>
        </w:tc>
        <w:tc>
          <w:tcPr>
            <w:tcW w:w="1309" w:type="dxa"/>
            <w:noWrap/>
            <w:vAlign w:val="center"/>
            <w:hideMark/>
          </w:tcPr>
          <w:p w14:paraId="4205A73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7.1193</w:t>
            </w:r>
            <w:r w:rsidRPr="00DF5B90">
              <w:rPr>
                <w:rFonts w:asciiTheme="minorHAnsi" w:eastAsia="Times New Roman" w:hAnsiTheme="minorHAnsi" w:cstheme="minorHAnsi"/>
                <w:color w:val="000000"/>
                <w:vertAlign w:val="superscript"/>
                <w:lang w:val="id-ID"/>
              </w:rPr>
              <w:t>***</w:t>
            </w:r>
          </w:p>
        </w:tc>
      </w:tr>
      <w:tr w:rsidR="00DF5B90" w:rsidRPr="00DF5B90" w14:paraId="5DD5293B"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4FC16A75"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4A1DF4AD"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7A40797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0.1875</w:t>
            </w:r>
          </w:p>
        </w:tc>
        <w:tc>
          <w:tcPr>
            <w:tcW w:w="0" w:type="auto"/>
            <w:tcBorders>
              <w:top w:val="nil"/>
              <w:left w:val="nil"/>
              <w:bottom w:val="single" w:sz="4" w:space="0" w:color="auto"/>
              <w:right w:val="nil"/>
            </w:tcBorders>
            <w:noWrap/>
            <w:vAlign w:val="center"/>
            <w:hideMark/>
          </w:tcPr>
          <w:p w14:paraId="167FFA2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0.1002</w:t>
            </w:r>
          </w:p>
        </w:tc>
        <w:tc>
          <w:tcPr>
            <w:tcW w:w="0" w:type="auto"/>
            <w:tcBorders>
              <w:top w:val="nil"/>
              <w:left w:val="nil"/>
              <w:bottom w:val="single" w:sz="4" w:space="0" w:color="auto"/>
              <w:right w:val="nil"/>
            </w:tcBorders>
            <w:noWrap/>
            <w:vAlign w:val="center"/>
            <w:hideMark/>
          </w:tcPr>
          <w:p w14:paraId="46ABBD9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0.0591</w:t>
            </w:r>
          </w:p>
        </w:tc>
        <w:tc>
          <w:tcPr>
            <w:tcW w:w="0" w:type="auto"/>
            <w:tcBorders>
              <w:top w:val="nil"/>
              <w:left w:val="nil"/>
              <w:bottom w:val="single" w:sz="4" w:space="0" w:color="auto"/>
              <w:right w:val="nil"/>
            </w:tcBorders>
            <w:noWrap/>
            <w:vAlign w:val="center"/>
            <w:hideMark/>
          </w:tcPr>
          <w:p w14:paraId="459568D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0.0024</w:t>
            </w:r>
          </w:p>
        </w:tc>
        <w:tc>
          <w:tcPr>
            <w:tcW w:w="0" w:type="auto"/>
            <w:tcBorders>
              <w:top w:val="nil"/>
              <w:left w:val="nil"/>
              <w:bottom w:val="single" w:sz="4" w:space="0" w:color="auto"/>
              <w:right w:val="nil"/>
            </w:tcBorders>
            <w:noWrap/>
            <w:vAlign w:val="center"/>
            <w:hideMark/>
          </w:tcPr>
          <w:p w14:paraId="0FE45DF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309" w:type="dxa"/>
            <w:tcBorders>
              <w:top w:val="nil"/>
              <w:left w:val="nil"/>
              <w:bottom w:val="single" w:sz="4" w:space="0" w:color="auto"/>
              <w:right w:val="nil"/>
            </w:tcBorders>
            <w:noWrap/>
            <w:vAlign w:val="center"/>
            <w:hideMark/>
          </w:tcPr>
          <w:p w14:paraId="46F5C6B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1A3D5A5B" w14:textId="77777777" w:rsidTr="00DF5B90">
        <w:trPr>
          <w:trHeight w:val="300"/>
          <w:jc w:val="center"/>
        </w:trPr>
        <w:tc>
          <w:tcPr>
            <w:tcW w:w="0" w:type="auto"/>
            <w:vMerge w:val="restart"/>
            <w:tcBorders>
              <w:top w:val="single" w:sz="4" w:space="0" w:color="auto"/>
              <w:left w:val="nil"/>
              <w:bottom w:val="single" w:sz="4" w:space="0" w:color="auto"/>
              <w:right w:val="nil"/>
            </w:tcBorders>
            <w:noWrap/>
            <w:vAlign w:val="center"/>
            <w:hideMark/>
          </w:tcPr>
          <w:p w14:paraId="559B929A"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VN 30</w:t>
            </w:r>
          </w:p>
        </w:tc>
        <w:tc>
          <w:tcPr>
            <w:tcW w:w="0" w:type="auto"/>
            <w:tcBorders>
              <w:top w:val="single" w:sz="4" w:space="0" w:color="auto"/>
              <w:left w:val="nil"/>
              <w:bottom w:val="nil"/>
              <w:right w:val="nil"/>
            </w:tcBorders>
            <w:noWrap/>
            <w:vAlign w:val="center"/>
            <w:hideMark/>
          </w:tcPr>
          <w:p w14:paraId="4C53F370"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4BAEF33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0.0003</w:t>
            </w:r>
          </w:p>
        </w:tc>
        <w:tc>
          <w:tcPr>
            <w:tcW w:w="0" w:type="auto"/>
            <w:tcBorders>
              <w:top w:val="single" w:sz="4" w:space="0" w:color="auto"/>
              <w:left w:val="nil"/>
              <w:bottom w:val="nil"/>
              <w:right w:val="nil"/>
            </w:tcBorders>
            <w:noWrap/>
            <w:vAlign w:val="center"/>
            <w:hideMark/>
          </w:tcPr>
          <w:p w14:paraId="11B4810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0.0002</w:t>
            </w:r>
          </w:p>
        </w:tc>
        <w:tc>
          <w:tcPr>
            <w:tcW w:w="0" w:type="auto"/>
            <w:tcBorders>
              <w:top w:val="single" w:sz="4" w:space="0" w:color="auto"/>
              <w:left w:val="nil"/>
              <w:bottom w:val="nil"/>
              <w:right w:val="nil"/>
            </w:tcBorders>
            <w:noWrap/>
            <w:vAlign w:val="center"/>
            <w:hideMark/>
          </w:tcPr>
          <w:p w14:paraId="54C6EEC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single" w:sz="4" w:space="0" w:color="auto"/>
              <w:left w:val="nil"/>
              <w:bottom w:val="nil"/>
              <w:right w:val="nil"/>
            </w:tcBorders>
            <w:noWrap/>
            <w:vAlign w:val="center"/>
            <w:hideMark/>
          </w:tcPr>
          <w:p w14:paraId="6EC2AD6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-0.0508</w:t>
            </w:r>
          </w:p>
        </w:tc>
        <w:tc>
          <w:tcPr>
            <w:tcW w:w="0" w:type="auto"/>
            <w:tcBorders>
              <w:top w:val="single" w:sz="4" w:space="0" w:color="auto"/>
              <w:left w:val="nil"/>
              <w:bottom w:val="nil"/>
              <w:right w:val="nil"/>
            </w:tcBorders>
            <w:noWrap/>
            <w:vAlign w:val="center"/>
            <w:hideMark/>
          </w:tcPr>
          <w:p w14:paraId="3D82CD8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1.0292</w:t>
            </w:r>
          </w:p>
        </w:tc>
        <w:tc>
          <w:tcPr>
            <w:tcW w:w="1309" w:type="dxa"/>
            <w:tcBorders>
              <w:top w:val="single" w:sz="4" w:space="0" w:color="auto"/>
              <w:left w:val="nil"/>
              <w:bottom w:val="nil"/>
              <w:right w:val="nil"/>
            </w:tcBorders>
            <w:vAlign w:val="center"/>
            <w:hideMark/>
          </w:tcPr>
          <w:p w14:paraId="5E1301E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1.4308</w:t>
            </w:r>
          </w:p>
        </w:tc>
      </w:tr>
      <w:tr w:rsidR="00DF5B90" w:rsidRPr="00DF5B90" w14:paraId="7A8817B9"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3EC02190"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6BD4563F"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4BFD8CE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1.3708</w:t>
            </w:r>
          </w:p>
        </w:tc>
        <w:tc>
          <w:tcPr>
            <w:tcW w:w="0" w:type="auto"/>
            <w:noWrap/>
            <w:vAlign w:val="center"/>
            <w:hideMark/>
          </w:tcPr>
          <w:p w14:paraId="5914121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0.8645</w:t>
            </w:r>
          </w:p>
        </w:tc>
        <w:tc>
          <w:tcPr>
            <w:tcW w:w="0" w:type="auto"/>
            <w:noWrap/>
            <w:vAlign w:val="center"/>
            <w:hideMark/>
          </w:tcPr>
          <w:p w14:paraId="720642A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1.4522</w:t>
            </w:r>
          </w:p>
        </w:tc>
        <w:tc>
          <w:tcPr>
            <w:tcW w:w="0" w:type="auto"/>
            <w:noWrap/>
            <w:vAlign w:val="center"/>
            <w:hideMark/>
          </w:tcPr>
          <w:p w14:paraId="75382C7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-2.5152</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070F317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4136.97</w:t>
            </w:r>
            <w:r w:rsidRPr="00DF5B90">
              <w:rPr>
                <w:rFonts w:asciiTheme="minorHAnsi" w:eastAsia="Times New Roman" w:hAnsiTheme="minorHAnsi" w:cstheme="minorHAnsi"/>
                <w:color w:val="000000"/>
                <w:vertAlign w:val="superscript"/>
                <w:lang w:val="id-ID"/>
              </w:rPr>
              <w:t>***</w:t>
            </w:r>
          </w:p>
        </w:tc>
        <w:tc>
          <w:tcPr>
            <w:tcW w:w="1309" w:type="dxa"/>
            <w:noWrap/>
            <w:vAlign w:val="center"/>
            <w:hideMark/>
          </w:tcPr>
          <w:p w14:paraId="6CEA7B4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7.3282</w:t>
            </w:r>
            <w:r w:rsidRPr="00DF5B90">
              <w:rPr>
                <w:rFonts w:asciiTheme="minorHAnsi" w:eastAsia="Times New Roman" w:hAnsiTheme="minorHAnsi" w:cstheme="minorHAnsi"/>
                <w:color w:val="000000"/>
                <w:vertAlign w:val="superscript"/>
                <w:lang w:val="id-ID"/>
              </w:rPr>
              <w:t>***</w:t>
            </w:r>
          </w:p>
        </w:tc>
      </w:tr>
      <w:tr w:rsidR="00DF5B90" w:rsidRPr="00DF5B90" w14:paraId="0A1BE3CE"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5203189B"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5BD3CAA6"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6712221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0.1704</w:t>
            </w:r>
          </w:p>
        </w:tc>
        <w:tc>
          <w:tcPr>
            <w:tcW w:w="0" w:type="auto"/>
            <w:tcBorders>
              <w:top w:val="nil"/>
              <w:left w:val="nil"/>
              <w:bottom w:val="single" w:sz="4" w:space="0" w:color="auto"/>
              <w:right w:val="nil"/>
            </w:tcBorders>
            <w:noWrap/>
            <w:vAlign w:val="center"/>
            <w:hideMark/>
          </w:tcPr>
          <w:p w14:paraId="3DB19EE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0.3873</w:t>
            </w:r>
          </w:p>
        </w:tc>
        <w:tc>
          <w:tcPr>
            <w:tcW w:w="0" w:type="auto"/>
            <w:tcBorders>
              <w:top w:val="nil"/>
              <w:left w:val="nil"/>
              <w:bottom w:val="single" w:sz="4" w:space="0" w:color="auto"/>
              <w:right w:val="nil"/>
            </w:tcBorders>
            <w:noWrap/>
            <w:vAlign w:val="center"/>
            <w:hideMark/>
          </w:tcPr>
          <w:p w14:paraId="6229A44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0.1464</w:t>
            </w:r>
          </w:p>
        </w:tc>
        <w:tc>
          <w:tcPr>
            <w:tcW w:w="0" w:type="auto"/>
            <w:tcBorders>
              <w:top w:val="nil"/>
              <w:left w:val="nil"/>
              <w:bottom w:val="single" w:sz="4" w:space="0" w:color="auto"/>
              <w:right w:val="nil"/>
            </w:tcBorders>
            <w:noWrap/>
            <w:vAlign w:val="center"/>
            <w:hideMark/>
          </w:tcPr>
          <w:p w14:paraId="7290705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0.0119</w:t>
            </w:r>
          </w:p>
        </w:tc>
        <w:tc>
          <w:tcPr>
            <w:tcW w:w="0" w:type="auto"/>
            <w:tcBorders>
              <w:top w:val="nil"/>
              <w:left w:val="nil"/>
              <w:bottom w:val="single" w:sz="4" w:space="0" w:color="auto"/>
              <w:right w:val="nil"/>
            </w:tcBorders>
            <w:noWrap/>
            <w:vAlign w:val="center"/>
            <w:hideMark/>
          </w:tcPr>
          <w:p w14:paraId="2A32A20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309" w:type="dxa"/>
            <w:tcBorders>
              <w:top w:val="nil"/>
              <w:left w:val="nil"/>
              <w:bottom w:val="single" w:sz="4" w:space="0" w:color="auto"/>
              <w:right w:val="nil"/>
            </w:tcBorders>
            <w:noWrap/>
            <w:vAlign w:val="center"/>
            <w:hideMark/>
          </w:tcPr>
          <w:p w14:paraId="737FD50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53DB077B" w14:textId="77777777" w:rsidTr="00DF5B90">
        <w:trPr>
          <w:trHeight w:val="300"/>
          <w:jc w:val="center"/>
        </w:trPr>
        <w:tc>
          <w:tcPr>
            <w:tcW w:w="0" w:type="auto"/>
            <w:vMerge w:val="restart"/>
            <w:tcBorders>
              <w:top w:val="single" w:sz="4" w:space="0" w:color="auto"/>
              <w:left w:val="nil"/>
              <w:bottom w:val="single" w:sz="4" w:space="0" w:color="000000"/>
              <w:right w:val="nil"/>
            </w:tcBorders>
            <w:noWrap/>
            <w:vAlign w:val="center"/>
            <w:hideMark/>
          </w:tcPr>
          <w:p w14:paraId="6AFF184C"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LSX</w:t>
            </w:r>
          </w:p>
        </w:tc>
        <w:tc>
          <w:tcPr>
            <w:tcW w:w="0" w:type="auto"/>
            <w:tcBorders>
              <w:top w:val="single" w:sz="4" w:space="0" w:color="auto"/>
              <w:left w:val="nil"/>
              <w:bottom w:val="nil"/>
              <w:right w:val="nil"/>
            </w:tcBorders>
            <w:noWrap/>
            <w:vAlign w:val="center"/>
            <w:hideMark/>
          </w:tcPr>
          <w:p w14:paraId="5753F9DE"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4BA5A6F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0.0003</w:t>
            </w:r>
          </w:p>
        </w:tc>
        <w:tc>
          <w:tcPr>
            <w:tcW w:w="0" w:type="auto"/>
            <w:tcBorders>
              <w:top w:val="single" w:sz="4" w:space="0" w:color="auto"/>
              <w:left w:val="nil"/>
              <w:bottom w:val="nil"/>
              <w:right w:val="nil"/>
            </w:tcBorders>
            <w:noWrap/>
            <w:vAlign w:val="center"/>
            <w:hideMark/>
          </w:tcPr>
          <w:p w14:paraId="2D03527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-0.0001</w:t>
            </w:r>
          </w:p>
        </w:tc>
        <w:tc>
          <w:tcPr>
            <w:tcW w:w="0" w:type="auto"/>
            <w:tcBorders>
              <w:top w:val="single" w:sz="4" w:space="0" w:color="auto"/>
              <w:left w:val="nil"/>
              <w:bottom w:val="nil"/>
              <w:right w:val="nil"/>
            </w:tcBorders>
            <w:noWrap/>
            <w:vAlign w:val="center"/>
            <w:hideMark/>
          </w:tcPr>
          <w:p w14:paraId="737F2E9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single" w:sz="4" w:space="0" w:color="auto"/>
              <w:left w:val="nil"/>
              <w:bottom w:val="nil"/>
              <w:right w:val="nil"/>
            </w:tcBorders>
            <w:noWrap/>
            <w:vAlign w:val="center"/>
            <w:hideMark/>
          </w:tcPr>
          <w:p w14:paraId="712B39C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-0.0186</w:t>
            </w:r>
          </w:p>
        </w:tc>
        <w:tc>
          <w:tcPr>
            <w:tcW w:w="0" w:type="auto"/>
            <w:tcBorders>
              <w:top w:val="single" w:sz="4" w:space="0" w:color="auto"/>
              <w:left w:val="nil"/>
              <w:bottom w:val="nil"/>
              <w:right w:val="nil"/>
            </w:tcBorders>
            <w:noWrap/>
            <w:vAlign w:val="center"/>
            <w:hideMark/>
          </w:tcPr>
          <w:p w14:paraId="2253BEB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-0.9593</w:t>
            </w:r>
          </w:p>
        </w:tc>
        <w:tc>
          <w:tcPr>
            <w:tcW w:w="1309" w:type="dxa"/>
            <w:tcBorders>
              <w:top w:val="single" w:sz="4" w:space="0" w:color="auto"/>
              <w:left w:val="nil"/>
              <w:bottom w:val="nil"/>
              <w:right w:val="nil"/>
            </w:tcBorders>
            <w:vAlign w:val="center"/>
            <w:hideMark/>
          </w:tcPr>
          <w:p w14:paraId="01C73F7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1.3130</w:t>
            </w:r>
          </w:p>
        </w:tc>
      </w:tr>
      <w:tr w:rsidR="00DF5B90" w:rsidRPr="00DF5B90" w14:paraId="2D53BDB8" w14:textId="77777777" w:rsidTr="00DF5B90">
        <w:trPr>
          <w:trHeight w:val="300"/>
          <w:jc w:val="center"/>
        </w:trPr>
        <w:tc>
          <w:tcPr>
            <w:tcW w:w="0" w:type="auto"/>
            <w:vMerge/>
            <w:tcBorders>
              <w:top w:val="single" w:sz="4" w:space="0" w:color="auto"/>
              <w:left w:val="nil"/>
              <w:bottom w:val="single" w:sz="4" w:space="0" w:color="000000"/>
              <w:right w:val="nil"/>
            </w:tcBorders>
            <w:vAlign w:val="center"/>
            <w:hideMark/>
          </w:tcPr>
          <w:p w14:paraId="14BAE390"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60B8C8AD"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2BF78BF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1.2503</w:t>
            </w:r>
          </w:p>
        </w:tc>
        <w:tc>
          <w:tcPr>
            <w:tcW w:w="0" w:type="auto"/>
            <w:noWrap/>
            <w:vAlign w:val="center"/>
            <w:hideMark/>
          </w:tcPr>
          <w:p w14:paraId="52C2150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-0.3730</w:t>
            </w:r>
          </w:p>
        </w:tc>
        <w:tc>
          <w:tcPr>
            <w:tcW w:w="0" w:type="auto"/>
            <w:noWrap/>
            <w:vAlign w:val="center"/>
            <w:hideMark/>
          </w:tcPr>
          <w:p w14:paraId="7AAE204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7.9281</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051A645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-1.4043</w:t>
            </w:r>
          </w:p>
        </w:tc>
        <w:tc>
          <w:tcPr>
            <w:tcW w:w="0" w:type="auto"/>
            <w:noWrap/>
            <w:vAlign w:val="center"/>
            <w:hideMark/>
          </w:tcPr>
          <w:p w14:paraId="60876DB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-15.4876</w:t>
            </w:r>
            <w:r w:rsidRPr="00DF5B90">
              <w:rPr>
                <w:rFonts w:asciiTheme="minorHAnsi" w:eastAsia="Times New Roman" w:hAnsiTheme="minorHAnsi" w:cstheme="minorHAnsi"/>
                <w:color w:val="000000"/>
                <w:vertAlign w:val="superscript"/>
                <w:lang w:val="id-ID"/>
              </w:rPr>
              <w:t>***</w:t>
            </w:r>
          </w:p>
        </w:tc>
        <w:tc>
          <w:tcPr>
            <w:tcW w:w="1309" w:type="dxa"/>
            <w:noWrap/>
            <w:vAlign w:val="center"/>
            <w:hideMark/>
          </w:tcPr>
          <w:p w14:paraId="4689BE3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7.9845</w:t>
            </w:r>
            <w:r w:rsidRPr="00DF5B90">
              <w:rPr>
                <w:rFonts w:asciiTheme="minorHAnsi" w:eastAsia="Times New Roman" w:hAnsiTheme="minorHAnsi" w:cstheme="minorHAnsi"/>
                <w:color w:val="000000"/>
                <w:vertAlign w:val="superscript"/>
                <w:lang w:val="id-ID"/>
              </w:rPr>
              <w:t>***</w:t>
            </w:r>
          </w:p>
        </w:tc>
      </w:tr>
      <w:tr w:rsidR="00DF5B90" w:rsidRPr="00DF5B90" w14:paraId="40470F94" w14:textId="77777777" w:rsidTr="00DF5B90">
        <w:trPr>
          <w:trHeight w:val="300"/>
          <w:jc w:val="center"/>
        </w:trPr>
        <w:tc>
          <w:tcPr>
            <w:tcW w:w="0" w:type="auto"/>
            <w:vMerge/>
            <w:tcBorders>
              <w:top w:val="single" w:sz="4" w:space="0" w:color="auto"/>
              <w:left w:val="nil"/>
              <w:bottom w:val="single" w:sz="4" w:space="0" w:color="000000"/>
              <w:right w:val="nil"/>
            </w:tcBorders>
            <w:vAlign w:val="center"/>
            <w:hideMark/>
          </w:tcPr>
          <w:p w14:paraId="00A1FEFC"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61BFB36E"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noWrap/>
            <w:vAlign w:val="center"/>
            <w:hideMark/>
          </w:tcPr>
          <w:p w14:paraId="1253716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0.2112</w:t>
            </w:r>
          </w:p>
        </w:tc>
        <w:tc>
          <w:tcPr>
            <w:tcW w:w="0" w:type="auto"/>
            <w:noWrap/>
            <w:vAlign w:val="center"/>
            <w:hideMark/>
          </w:tcPr>
          <w:p w14:paraId="26327E0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0.7091</w:t>
            </w:r>
          </w:p>
        </w:tc>
        <w:tc>
          <w:tcPr>
            <w:tcW w:w="0" w:type="auto"/>
            <w:noWrap/>
            <w:vAlign w:val="center"/>
            <w:hideMark/>
          </w:tcPr>
          <w:p w14:paraId="7A1A4EF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noWrap/>
            <w:vAlign w:val="center"/>
            <w:hideMark/>
          </w:tcPr>
          <w:p w14:paraId="5E54A4A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0.1602</w:t>
            </w:r>
          </w:p>
        </w:tc>
        <w:tc>
          <w:tcPr>
            <w:tcW w:w="0" w:type="auto"/>
            <w:noWrap/>
            <w:vAlign w:val="center"/>
            <w:hideMark/>
          </w:tcPr>
          <w:p w14:paraId="703CD68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309" w:type="dxa"/>
            <w:noWrap/>
            <w:vAlign w:val="center"/>
            <w:hideMark/>
          </w:tcPr>
          <w:p w14:paraId="6900018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1B7B2CFA" w14:textId="77777777" w:rsidTr="00DF5B90">
        <w:trPr>
          <w:trHeight w:val="300"/>
          <w:jc w:val="center"/>
        </w:trPr>
        <w:tc>
          <w:tcPr>
            <w:tcW w:w="0" w:type="auto"/>
            <w:vMerge w:val="restart"/>
            <w:noWrap/>
            <w:vAlign w:val="center"/>
            <w:hideMark/>
          </w:tcPr>
          <w:p w14:paraId="012D6674"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Nikkei</w:t>
            </w:r>
          </w:p>
        </w:tc>
        <w:tc>
          <w:tcPr>
            <w:tcW w:w="0" w:type="auto"/>
            <w:noWrap/>
            <w:vAlign w:val="center"/>
            <w:hideMark/>
          </w:tcPr>
          <w:p w14:paraId="45C020C5"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76B5FAF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0.0003</w:t>
            </w:r>
          </w:p>
        </w:tc>
        <w:tc>
          <w:tcPr>
            <w:tcW w:w="0" w:type="auto"/>
            <w:tcBorders>
              <w:top w:val="single" w:sz="4" w:space="0" w:color="auto"/>
              <w:left w:val="nil"/>
              <w:bottom w:val="nil"/>
              <w:right w:val="nil"/>
            </w:tcBorders>
            <w:noWrap/>
            <w:vAlign w:val="center"/>
            <w:hideMark/>
          </w:tcPr>
          <w:p w14:paraId="3E6A7D8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-0.0006</w:t>
            </w:r>
          </w:p>
        </w:tc>
        <w:tc>
          <w:tcPr>
            <w:tcW w:w="0" w:type="auto"/>
            <w:tcBorders>
              <w:top w:val="single" w:sz="4" w:space="0" w:color="auto"/>
              <w:left w:val="nil"/>
              <w:bottom w:val="nil"/>
              <w:right w:val="nil"/>
            </w:tcBorders>
            <w:noWrap/>
            <w:vAlign w:val="center"/>
            <w:hideMark/>
          </w:tcPr>
          <w:p w14:paraId="165F423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single" w:sz="4" w:space="0" w:color="auto"/>
              <w:left w:val="nil"/>
              <w:bottom w:val="nil"/>
              <w:right w:val="nil"/>
            </w:tcBorders>
            <w:noWrap/>
            <w:vAlign w:val="center"/>
            <w:hideMark/>
          </w:tcPr>
          <w:p w14:paraId="5F7B45F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-0.0538</w:t>
            </w:r>
          </w:p>
        </w:tc>
        <w:tc>
          <w:tcPr>
            <w:tcW w:w="0" w:type="auto"/>
            <w:tcBorders>
              <w:top w:val="single" w:sz="4" w:space="0" w:color="auto"/>
              <w:left w:val="nil"/>
              <w:bottom w:val="nil"/>
              <w:right w:val="nil"/>
            </w:tcBorders>
            <w:noWrap/>
            <w:vAlign w:val="center"/>
            <w:hideMark/>
          </w:tcPr>
          <w:p w14:paraId="1736F6D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1.0317</w:t>
            </w:r>
          </w:p>
        </w:tc>
        <w:tc>
          <w:tcPr>
            <w:tcW w:w="1309" w:type="dxa"/>
            <w:tcBorders>
              <w:top w:val="single" w:sz="4" w:space="0" w:color="auto"/>
              <w:left w:val="nil"/>
              <w:bottom w:val="nil"/>
              <w:right w:val="nil"/>
            </w:tcBorders>
            <w:vAlign w:val="center"/>
            <w:hideMark/>
          </w:tcPr>
          <w:p w14:paraId="32A9144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1.4635</w:t>
            </w:r>
          </w:p>
        </w:tc>
      </w:tr>
      <w:tr w:rsidR="00DF5B90" w:rsidRPr="00DF5B90" w14:paraId="4A896190" w14:textId="77777777" w:rsidTr="00DF5B90">
        <w:trPr>
          <w:trHeight w:val="300"/>
          <w:jc w:val="center"/>
        </w:trPr>
        <w:tc>
          <w:tcPr>
            <w:tcW w:w="0" w:type="auto"/>
            <w:vMerge/>
            <w:vAlign w:val="center"/>
            <w:hideMark/>
          </w:tcPr>
          <w:p w14:paraId="5F79361B"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481D87FE"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2FF7017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1.2175</w:t>
            </w:r>
          </w:p>
        </w:tc>
        <w:tc>
          <w:tcPr>
            <w:tcW w:w="0" w:type="auto"/>
            <w:noWrap/>
            <w:vAlign w:val="center"/>
            <w:hideMark/>
          </w:tcPr>
          <w:p w14:paraId="320075D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-2.4555</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56B6A99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1.4500</w:t>
            </w:r>
          </w:p>
        </w:tc>
        <w:tc>
          <w:tcPr>
            <w:tcW w:w="0" w:type="auto"/>
            <w:noWrap/>
            <w:vAlign w:val="center"/>
            <w:hideMark/>
          </w:tcPr>
          <w:p w14:paraId="38955EA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-3.1624</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555BE64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9497.62</w:t>
            </w:r>
            <w:r w:rsidRPr="00DF5B90">
              <w:rPr>
                <w:rFonts w:asciiTheme="minorHAnsi" w:eastAsia="Times New Roman" w:hAnsiTheme="minorHAnsi" w:cstheme="minorHAnsi"/>
                <w:color w:val="000000"/>
                <w:vertAlign w:val="superscript"/>
                <w:lang w:val="id-ID"/>
              </w:rPr>
              <w:t>***</w:t>
            </w:r>
          </w:p>
        </w:tc>
        <w:tc>
          <w:tcPr>
            <w:tcW w:w="1309" w:type="dxa"/>
            <w:noWrap/>
            <w:vAlign w:val="center"/>
            <w:hideMark/>
          </w:tcPr>
          <w:p w14:paraId="419D4C6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7.2138</w:t>
            </w:r>
            <w:r w:rsidRPr="00DF5B90">
              <w:rPr>
                <w:rFonts w:asciiTheme="minorHAnsi" w:eastAsia="Times New Roman" w:hAnsiTheme="minorHAnsi" w:cstheme="minorHAnsi"/>
                <w:color w:val="000000"/>
                <w:vertAlign w:val="superscript"/>
                <w:lang w:val="id-ID"/>
              </w:rPr>
              <w:t>***</w:t>
            </w:r>
          </w:p>
        </w:tc>
      </w:tr>
      <w:tr w:rsidR="00DF5B90" w:rsidRPr="00DF5B90" w14:paraId="3D1DED33" w14:textId="77777777" w:rsidTr="00DF5B90">
        <w:trPr>
          <w:trHeight w:val="300"/>
          <w:jc w:val="center"/>
        </w:trPr>
        <w:tc>
          <w:tcPr>
            <w:tcW w:w="0" w:type="auto"/>
            <w:vMerge/>
            <w:vAlign w:val="center"/>
            <w:hideMark/>
          </w:tcPr>
          <w:p w14:paraId="1370B01A"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6520804D"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2AE7064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0.2234</w:t>
            </w:r>
          </w:p>
        </w:tc>
        <w:tc>
          <w:tcPr>
            <w:tcW w:w="0" w:type="auto"/>
            <w:tcBorders>
              <w:top w:val="nil"/>
              <w:left w:val="nil"/>
              <w:bottom w:val="single" w:sz="4" w:space="0" w:color="auto"/>
              <w:right w:val="nil"/>
            </w:tcBorders>
            <w:noWrap/>
            <w:vAlign w:val="center"/>
            <w:hideMark/>
          </w:tcPr>
          <w:p w14:paraId="7BE8B8B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0.0141</w:t>
            </w:r>
          </w:p>
        </w:tc>
        <w:tc>
          <w:tcPr>
            <w:tcW w:w="0" w:type="auto"/>
            <w:tcBorders>
              <w:top w:val="nil"/>
              <w:left w:val="nil"/>
              <w:bottom w:val="single" w:sz="4" w:space="0" w:color="auto"/>
              <w:right w:val="nil"/>
            </w:tcBorders>
            <w:noWrap/>
            <w:vAlign w:val="center"/>
            <w:hideMark/>
          </w:tcPr>
          <w:p w14:paraId="2A0440E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0.1470</w:t>
            </w:r>
          </w:p>
        </w:tc>
        <w:tc>
          <w:tcPr>
            <w:tcW w:w="0" w:type="auto"/>
            <w:tcBorders>
              <w:top w:val="nil"/>
              <w:left w:val="nil"/>
              <w:bottom w:val="single" w:sz="4" w:space="0" w:color="auto"/>
              <w:right w:val="nil"/>
            </w:tcBorders>
            <w:noWrap/>
            <w:vAlign w:val="center"/>
            <w:hideMark/>
          </w:tcPr>
          <w:p w14:paraId="003A4C0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0.0016</w:t>
            </w:r>
          </w:p>
        </w:tc>
        <w:tc>
          <w:tcPr>
            <w:tcW w:w="0" w:type="auto"/>
            <w:tcBorders>
              <w:top w:val="nil"/>
              <w:left w:val="nil"/>
              <w:bottom w:val="single" w:sz="4" w:space="0" w:color="auto"/>
              <w:right w:val="nil"/>
            </w:tcBorders>
            <w:noWrap/>
            <w:vAlign w:val="center"/>
            <w:hideMark/>
          </w:tcPr>
          <w:p w14:paraId="5782D91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309" w:type="dxa"/>
            <w:tcBorders>
              <w:top w:val="nil"/>
              <w:left w:val="nil"/>
              <w:bottom w:val="single" w:sz="4" w:space="0" w:color="auto"/>
              <w:right w:val="nil"/>
            </w:tcBorders>
            <w:noWrap/>
            <w:vAlign w:val="center"/>
            <w:hideMark/>
          </w:tcPr>
          <w:p w14:paraId="51D03F6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51DABCF4" w14:textId="77777777" w:rsidTr="00DF5B90">
        <w:trPr>
          <w:trHeight w:val="300"/>
          <w:jc w:val="center"/>
        </w:trPr>
        <w:tc>
          <w:tcPr>
            <w:tcW w:w="0" w:type="auto"/>
            <w:vMerge w:val="restart"/>
            <w:tcBorders>
              <w:top w:val="single" w:sz="4" w:space="0" w:color="auto"/>
              <w:left w:val="nil"/>
              <w:bottom w:val="single" w:sz="4" w:space="0" w:color="000000"/>
              <w:right w:val="nil"/>
            </w:tcBorders>
            <w:noWrap/>
            <w:vAlign w:val="center"/>
            <w:hideMark/>
          </w:tcPr>
          <w:p w14:paraId="402184A2"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Kospi</w:t>
            </w:r>
          </w:p>
        </w:tc>
        <w:tc>
          <w:tcPr>
            <w:tcW w:w="0" w:type="auto"/>
            <w:tcBorders>
              <w:top w:val="single" w:sz="4" w:space="0" w:color="auto"/>
              <w:left w:val="nil"/>
              <w:bottom w:val="nil"/>
              <w:right w:val="nil"/>
            </w:tcBorders>
            <w:noWrap/>
            <w:vAlign w:val="center"/>
            <w:hideMark/>
          </w:tcPr>
          <w:p w14:paraId="60EA2326"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noWrap/>
            <w:vAlign w:val="center"/>
            <w:hideMark/>
          </w:tcPr>
          <w:p w14:paraId="1153630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0.0003</w:t>
            </w:r>
          </w:p>
        </w:tc>
        <w:tc>
          <w:tcPr>
            <w:tcW w:w="0" w:type="auto"/>
            <w:noWrap/>
            <w:vAlign w:val="center"/>
            <w:hideMark/>
          </w:tcPr>
          <w:p w14:paraId="470A4DB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-0.0004</w:t>
            </w:r>
          </w:p>
        </w:tc>
        <w:tc>
          <w:tcPr>
            <w:tcW w:w="0" w:type="auto"/>
            <w:noWrap/>
            <w:vAlign w:val="center"/>
            <w:hideMark/>
          </w:tcPr>
          <w:p w14:paraId="7155623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noWrap/>
            <w:vAlign w:val="center"/>
            <w:hideMark/>
          </w:tcPr>
          <w:p w14:paraId="73A4C86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-0.0565</w:t>
            </w:r>
          </w:p>
        </w:tc>
        <w:tc>
          <w:tcPr>
            <w:tcW w:w="0" w:type="auto"/>
            <w:noWrap/>
            <w:vAlign w:val="center"/>
            <w:hideMark/>
          </w:tcPr>
          <w:p w14:paraId="13A989D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1.0299</w:t>
            </w:r>
          </w:p>
        </w:tc>
        <w:tc>
          <w:tcPr>
            <w:tcW w:w="1309" w:type="dxa"/>
            <w:vAlign w:val="center"/>
            <w:hideMark/>
          </w:tcPr>
          <w:p w14:paraId="6A18BB6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1.5236</w:t>
            </w:r>
          </w:p>
        </w:tc>
      </w:tr>
      <w:tr w:rsidR="00DF5B90" w:rsidRPr="00DF5B90" w14:paraId="1A44DB0F" w14:textId="77777777" w:rsidTr="00DF5B90">
        <w:trPr>
          <w:trHeight w:val="300"/>
          <w:jc w:val="center"/>
        </w:trPr>
        <w:tc>
          <w:tcPr>
            <w:tcW w:w="0" w:type="auto"/>
            <w:vMerge/>
            <w:tcBorders>
              <w:top w:val="single" w:sz="4" w:space="0" w:color="auto"/>
              <w:left w:val="nil"/>
              <w:bottom w:val="single" w:sz="4" w:space="0" w:color="000000"/>
              <w:right w:val="nil"/>
            </w:tcBorders>
            <w:vAlign w:val="center"/>
            <w:hideMark/>
          </w:tcPr>
          <w:p w14:paraId="4F8FC89D"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5A0FFF0F"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32B8BBF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1.3567</w:t>
            </w:r>
          </w:p>
        </w:tc>
        <w:tc>
          <w:tcPr>
            <w:tcW w:w="0" w:type="auto"/>
            <w:noWrap/>
            <w:vAlign w:val="center"/>
            <w:hideMark/>
          </w:tcPr>
          <w:p w14:paraId="7410B51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-1.5315</w:t>
            </w:r>
          </w:p>
        </w:tc>
        <w:tc>
          <w:tcPr>
            <w:tcW w:w="0" w:type="auto"/>
            <w:noWrap/>
            <w:vAlign w:val="center"/>
            <w:hideMark/>
          </w:tcPr>
          <w:p w14:paraId="3FFF5D6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1.5921</w:t>
            </w:r>
          </w:p>
        </w:tc>
        <w:tc>
          <w:tcPr>
            <w:tcW w:w="0" w:type="auto"/>
            <w:noWrap/>
            <w:vAlign w:val="center"/>
            <w:hideMark/>
          </w:tcPr>
          <w:p w14:paraId="42AF784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-2.8221</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60A74F8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6830.81</w:t>
            </w:r>
            <w:r w:rsidRPr="00DF5B90">
              <w:rPr>
                <w:rFonts w:asciiTheme="minorHAnsi" w:eastAsia="Times New Roman" w:hAnsiTheme="minorHAnsi" w:cstheme="minorHAnsi"/>
                <w:color w:val="000000"/>
                <w:vertAlign w:val="superscript"/>
                <w:lang w:val="id-ID"/>
              </w:rPr>
              <w:t>***</w:t>
            </w:r>
          </w:p>
        </w:tc>
        <w:tc>
          <w:tcPr>
            <w:tcW w:w="1309" w:type="dxa"/>
            <w:noWrap/>
            <w:vAlign w:val="center"/>
            <w:hideMark/>
          </w:tcPr>
          <w:p w14:paraId="0DA1FBC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7.1663</w:t>
            </w:r>
            <w:r w:rsidRPr="00DF5B90">
              <w:rPr>
                <w:rFonts w:asciiTheme="minorHAnsi" w:eastAsia="Times New Roman" w:hAnsiTheme="minorHAnsi" w:cstheme="minorHAnsi"/>
                <w:color w:val="000000"/>
                <w:vertAlign w:val="superscript"/>
                <w:lang w:val="id-ID"/>
              </w:rPr>
              <w:t>***</w:t>
            </w:r>
          </w:p>
        </w:tc>
      </w:tr>
      <w:tr w:rsidR="00DF5B90" w:rsidRPr="00DF5B90" w14:paraId="15F3B7F4" w14:textId="77777777" w:rsidTr="00DF5B90">
        <w:trPr>
          <w:trHeight w:val="300"/>
          <w:jc w:val="center"/>
        </w:trPr>
        <w:tc>
          <w:tcPr>
            <w:tcW w:w="0" w:type="auto"/>
            <w:vMerge/>
            <w:tcBorders>
              <w:top w:val="single" w:sz="4" w:space="0" w:color="auto"/>
              <w:left w:val="nil"/>
              <w:bottom w:val="single" w:sz="4" w:space="0" w:color="000000"/>
              <w:right w:val="nil"/>
            </w:tcBorders>
            <w:vAlign w:val="center"/>
            <w:hideMark/>
          </w:tcPr>
          <w:p w14:paraId="5E949927"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05C44AAF"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noWrap/>
            <w:vAlign w:val="center"/>
            <w:hideMark/>
          </w:tcPr>
          <w:p w14:paraId="5671C30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0.1749</w:t>
            </w:r>
          </w:p>
        </w:tc>
        <w:tc>
          <w:tcPr>
            <w:tcW w:w="0" w:type="auto"/>
            <w:noWrap/>
            <w:vAlign w:val="center"/>
            <w:hideMark/>
          </w:tcPr>
          <w:p w14:paraId="65550C1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0.1256</w:t>
            </w:r>
          </w:p>
        </w:tc>
        <w:tc>
          <w:tcPr>
            <w:tcW w:w="0" w:type="auto"/>
            <w:noWrap/>
            <w:vAlign w:val="center"/>
            <w:hideMark/>
          </w:tcPr>
          <w:p w14:paraId="0ABD889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0.1114</w:t>
            </w:r>
          </w:p>
        </w:tc>
        <w:tc>
          <w:tcPr>
            <w:tcW w:w="0" w:type="auto"/>
            <w:noWrap/>
            <w:vAlign w:val="center"/>
            <w:hideMark/>
          </w:tcPr>
          <w:p w14:paraId="242D4E6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0.0048</w:t>
            </w:r>
          </w:p>
        </w:tc>
        <w:tc>
          <w:tcPr>
            <w:tcW w:w="0" w:type="auto"/>
            <w:noWrap/>
            <w:vAlign w:val="center"/>
            <w:hideMark/>
          </w:tcPr>
          <w:p w14:paraId="7925F84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309" w:type="dxa"/>
            <w:noWrap/>
            <w:vAlign w:val="center"/>
            <w:hideMark/>
          </w:tcPr>
          <w:p w14:paraId="40B25F0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297CDA0A" w14:textId="77777777" w:rsidTr="00DF5B90">
        <w:trPr>
          <w:trHeight w:val="300"/>
          <w:jc w:val="center"/>
        </w:trPr>
        <w:tc>
          <w:tcPr>
            <w:tcW w:w="0" w:type="auto"/>
            <w:vMerge w:val="restart"/>
            <w:tcBorders>
              <w:top w:val="nil"/>
              <w:left w:val="nil"/>
              <w:bottom w:val="single" w:sz="4" w:space="0" w:color="auto"/>
              <w:right w:val="nil"/>
            </w:tcBorders>
            <w:noWrap/>
            <w:vAlign w:val="center"/>
            <w:hideMark/>
          </w:tcPr>
          <w:p w14:paraId="41E4D884"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SSEC</w:t>
            </w:r>
          </w:p>
        </w:tc>
        <w:tc>
          <w:tcPr>
            <w:tcW w:w="0" w:type="auto"/>
            <w:noWrap/>
            <w:vAlign w:val="center"/>
            <w:hideMark/>
          </w:tcPr>
          <w:p w14:paraId="035327BC"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2827FA5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0.0004</w:t>
            </w:r>
          </w:p>
        </w:tc>
        <w:tc>
          <w:tcPr>
            <w:tcW w:w="0" w:type="auto"/>
            <w:tcBorders>
              <w:top w:val="single" w:sz="4" w:space="0" w:color="auto"/>
              <w:left w:val="nil"/>
              <w:bottom w:val="nil"/>
              <w:right w:val="nil"/>
            </w:tcBorders>
            <w:noWrap/>
            <w:vAlign w:val="center"/>
            <w:hideMark/>
          </w:tcPr>
          <w:p w14:paraId="20BC9BE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-0.0003</w:t>
            </w:r>
          </w:p>
        </w:tc>
        <w:tc>
          <w:tcPr>
            <w:tcW w:w="0" w:type="auto"/>
            <w:tcBorders>
              <w:top w:val="single" w:sz="4" w:space="0" w:color="auto"/>
              <w:left w:val="nil"/>
              <w:bottom w:val="nil"/>
              <w:right w:val="nil"/>
            </w:tcBorders>
            <w:noWrap/>
            <w:vAlign w:val="center"/>
            <w:hideMark/>
          </w:tcPr>
          <w:p w14:paraId="7EB6B14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single" w:sz="4" w:space="0" w:color="auto"/>
              <w:left w:val="nil"/>
              <w:bottom w:val="nil"/>
              <w:right w:val="nil"/>
            </w:tcBorders>
            <w:noWrap/>
            <w:vAlign w:val="center"/>
            <w:hideMark/>
          </w:tcPr>
          <w:p w14:paraId="41BBFD5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-0.0515</w:t>
            </w:r>
          </w:p>
        </w:tc>
        <w:tc>
          <w:tcPr>
            <w:tcW w:w="0" w:type="auto"/>
            <w:tcBorders>
              <w:top w:val="single" w:sz="4" w:space="0" w:color="auto"/>
              <w:left w:val="nil"/>
              <w:bottom w:val="nil"/>
              <w:right w:val="nil"/>
            </w:tcBorders>
            <w:noWrap/>
            <w:vAlign w:val="center"/>
            <w:hideMark/>
          </w:tcPr>
          <w:p w14:paraId="63F382F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1.0302</w:t>
            </w:r>
          </w:p>
        </w:tc>
        <w:tc>
          <w:tcPr>
            <w:tcW w:w="1309" w:type="dxa"/>
            <w:tcBorders>
              <w:top w:val="single" w:sz="4" w:space="0" w:color="auto"/>
              <w:left w:val="nil"/>
              <w:bottom w:val="nil"/>
              <w:right w:val="nil"/>
            </w:tcBorders>
            <w:vAlign w:val="center"/>
            <w:hideMark/>
          </w:tcPr>
          <w:p w14:paraId="0FF4480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1.5121</w:t>
            </w:r>
          </w:p>
        </w:tc>
      </w:tr>
      <w:tr w:rsidR="00DF5B90" w:rsidRPr="00DF5B90" w14:paraId="20FBA4EA" w14:textId="77777777" w:rsidTr="00DF5B90">
        <w:trPr>
          <w:trHeight w:val="300"/>
          <w:jc w:val="center"/>
        </w:trPr>
        <w:tc>
          <w:tcPr>
            <w:tcW w:w="0" w:type="auto"/>
            <w:vMerge/>
            <w:tcBorders>
              <w:top w:val="nil"/>
              <w:left w:val="nil"/>
              <w:bottom w:val="single" w:sz="4" w:space="0" w:color="auto"/>
              <w:right w:val="nil"/>
            </w:tcBorders>
            <w:vAlign w:val="center"/>
            <w:hideMark/>
          </w:tcPr>
          <w:p w14:paraId="35C577C4"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739074A4"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07D79AA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1.4983</w:t>
            </w:r>
          </w:p>
        </w:tc>
        <w:tc>
          <w:tcPr>
            <w:tcW w:w="0" w:type="auto"/>
            <w:noWrap/>
            <w:vAlign w:val="center"/>
            <w:hideMark/>
          </w:tcPr>
          <w:p w14:paraId="755417C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-1.1791</w:t>
            </w:r>
          </w:p>
        </w:tc>
        <w:tc>
          <w:tcPr>
            <w:tcW w:w="0" w:type="auto"/>
            <w:noWrap/>
            <w:vAlign w:val="center"/>
            <w:hideMark/>
          </w:tcPr>
          <w:p w14:paraId="3621592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1.2736</w:t>
            </w:r>
          </w:p>
        </w:tc>
        <w:tc>
          <w:tcPr>
            <w:tcW w:w="0" w:type="auto"/>
            <w:noWrap/>
            <w:vAlign w:val="center"/>
            <w:hideMark/>
          </w:tcPr>
          <w:p w14:paraId="3867079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-2.4286</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6399EE9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5583.33</w:t>
            </w:r>
            <w:r w:rsidRPr="00DF5B90">
              <w:rPr>
                <w:rFonts w:asciiTheme="minorHAnsi" w:eastAsia="Times New Roman" w:hAnsiTheme="minorHAnsi" w:cstheme="minorHAnsi"/>
                <w:color w:val="000000"/>
                <w:vertAlign w:val="superscript"/>
                <w:lang w:val="id-ID"/>
              </w:rPr>
              <w:t>***</w:t>
            </w:r>
          </w:p>
        </w:tc>
        <w:tc>
          <w:tcPr>
            <w:tcW w:w="1309" w:type="dxa"/>
            <w:noWrap/>
            <w:vAlign w:val="center"/>
            <w:hideMark/>
          </w:tcPr>
          <w:p w14:paraId="2362D11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7.1751</w:t>
            </w:r>
            <w:r w:rsidRPr="00DF5B90">
              <w:rPr>
                <w:rFonts w:asciiTheme="minorHAnsi" w:eastAsia="Times New Roman" w:hAnsiTheme="minorHAnsi" w:cstheme="minorHAnsi"/>
                <w:color w:val="000000"/>
                <w:vertAlign w:val="superscript"/>
                <w:lang w:val="id-ID"/>
              </w:rPr>
              <w:t>***</w:t>
            </w:r>
          </w:p>
        </w:tc>
      </w:tr>
      <w:tr w:rsidR="00DF5B90" w:rsidRPr="00DF5B90" w14:paraId="49E8A16F" w14:textId="77777777" w:rsidTr="00DF5B90">
        <w:trPr>
          <w:trHeight w:val="315"/>
          <w:jc w:val="center"/>
        </w:trPr>
        <w:tc>
          <w:tcPr>
            <w:tcW w:w="0" w:type="auto"/>
            <w:vMerge/>
            <w:tcBorders>
              <w:top w:val="nil"/>
              <w:left w:val="nil"/>
              <w:bottom w:val="single" w:sz="4" w:space="0" w:color="auto"/>
              <w:right w:val="nil"/>
            </w:tcBorders>
            <w:vAlign w:val="center"/>
            <w:hideMark/>
          </w:tcPr>
          <w:p w14:paraId="70F264C5"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1E10C983"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050F687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0.1341</w:t>
            </w:r>
          </w:p>
        </w:tc>
        <w:tc>
          <w:tcPr>
            <w:tcW w:w="0" w:type="auto"/>
            <w:tcBorders>
              <w:top w:val="nil"/>
              <w:left w:val="nil"/>
              <w:bottom w:val="single" w:sz="4" w:space="0" w:color="auto"/>
              <w:right w:val="nil"/>
            </w:tcBorders>
            <w:noWrap/>
            <w:vAlign w:val="center"/>
            <w:hideMark/>
          </w:tcPr>
          <w:p w14:paraId="3B26F70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0.2383</w:t>
            </w:r>
          </w:p>
        </w:tc>
        <w:tc>
          <w:tcPr>
            <w:tcW w:w="0" w:type="auto"/>
            <w:tcBorders>
              <w:top w:val="nil"/>
              <w:left w:val="nil"/>
              <w:bottom w:val="single" w:sz="4" w:space="0" w:color="auto"/>
              <w:right w:val="nil"/>
            </w:tcBorders>
            <w:noWrap/>
            <w:vAlign w:val="center"/>
            <w:hideMark/>
          </w:tcPr>
          <w:p w14:paraId="60DF3C3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0.2028</w:t>
            </w:r>
          </w:p>
        </w:tc>
        <w:tc>
          <w:tcPr>
            <w:tcW w:w="0" w:type="auto"/>
            <w:tcBorders>
              <w:top w:val="nil"/>
              <w:left w:val="nil"/>
              <w:bottom w:val="single" w:sz="4" w:space="0" w:color="auto"/>
              <w:right w:val="nil"/>
            </w:tcBorders>
            <w:noWrap/>
            <w:vAlign w:val="center"/>
            <w:hideMark/>
          </w:tcPr>
          <w:p w14:paraId="6F166CD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0.0152</w:t>
            </w:r>
          </w:p>
        </w:tc>
        <w:tc>
          <w:tcPr>
            <w:tcW w:w="0" w:type="auto"/>
            <w:tcBorders>
              <w:top w:val="nil"/>
              <w:left w:val="nil"/>
              <w:bottom w:val="single" w:sz="4" w:space="0" w:color="auto"/>
              <w:right w:val="nil"/>
            </w:tcBorders>
            <w:noWrap/>
            <w:vAlign w:val="center"/>
            <w:hideMark/>
          </w:tcPr>
          <w:p w14:paraId="4A5B346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309" w:type="dxa"/>
            <w:tcBorders>
              <w:top w:val="nil"/>
              <w:left w:val="nil"/>
              <w:bottom w:val="single" w:sz="4" w:space="0" w:color="auto"/>
              <w:right w:val="nil"/>
            </w:tcBorders>
            <w:noWrap/>
            <w:vAlign w:val="center"/>
            <w:hideMark/>
          </w:tcPr>
          <w:p w14:paraId="27F700D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bl>
    <w:p w14:paraId="7C85EAEC" w14:textId="77777777" w:rsidR="00DF5B90" w:rsidRPr="00DF5B90" w:rsidRDefault="00DF5B90" w:rsidP="00DF5B90">
      <w:pPr>
        <w:spacing w:after="0" w:line="240" w:lineRule="auto"/>
        <w:jc w:val="both"/>
        <w:rPr>
          <w:rFonts w:asciiTheme="minorHAnsi" w:eastAsiaTheme="minorEastAsia" w:hAnsiTheme="minorHAnsi" w:cstheme="minorHAnsi"/>
          <w:noProof/>
          <w:lang w:val="en-US" w:eastAsia="en-US"/>
        </w:rPr>
      </w:pPr>
      <w:r w:rsidRPr="00DF5B90">
        <w:rPr>
          <w:rFonts w:asciiTheme="minorHAnsi" w:eastAsiaTheme="minorEastAsia" w:hAnsiTheme="minorHAnsi" w:cstheme="minorHAnsi"/>
          <w:lang w:val="id-ID"/>
        </w:rPr>
        <w:t>***</w:t>
      </w:r>
      <w:r w:rsidRPr="00DF5B90">
        <w:rPr>
          <w:rFonts w:asciiTheme="minorHAnsi" w:hAnsiTheme="minorHAnsi" w:cstheme="minorHAnsi"/>
          <w:lang w:val="id-ID"/>
        </w:rPr>
        <w:t xml:space="preserve"> </w:t>
      </w:r>
      <w:r w:rsidRPr="00DF5B90">
        <w:rPr>
          <w:rFonts w:asciiTheme="minorHAnsi" w:eastAsiaTheme="minorEastAsia" w:hAnsiTheme="minorHAnsi" w:cstheme="minorHAnsi"/>
        </w:rPr>
        <w:t>Significant at 1% level</w:t>
      </w:r>
    </w:p>
    <w:p w14:paraId="38926A81" w14:textId="77777777" w:rsidR="00DF5B90" w:rsidRPr="00DF5B90" w:rsidRDefault="00DF5B90" w:rsidP="00DF5B90">
      <w:pPr>
        <w:spacing w:after="0" w:line="240" w:lineRule="auto"/>
        <w:jc w:val="both"/>
        <w:rPr>
          <w:rFonts w:asciiTheme="minorHAnsi" w:eastAsiaTheme="minorEastAsia" w:hAnsiTheme="minorHAnsi" w:cstheme="minorHAnsi"/>
        </w:rPr>
      </w:pPr>
      <w:r w:rsidRPr="00DF5B90">
        <w:rPr>
          <w:rFonts w:asciiTheme="minorHAnsi" w:eastAsiaTheme="minorEastAsia" w:hAnsiTheme="minorHAnsi" w:cstheme="minorHAnsi"/>
          <w:lang w:val="id-ID"/>
        </w:rPr>
        <w:t>**</w:t>
      </w:r>
      <w:r w:rsidRPr="00DF5B90">
        <w:rPr>
          <w:rFonts w:asciiTheme="minorHAnsi" w:eastAsiaTheme="minorEastAsia" w:hAnsiTheme="minorHAnsi" w:cstheme="minorHAnsi"/>
        </w:rPr>
        <w:t xml:space="preserve"> Significant at 5% level</w:t>
      </w:r>
    </w:p>
    <w:p w14:paraId="640C999F" w14:textId="77777777" w:rsidR="00DF5B90" w:rsidRPr="00DF5B90" w:rsidRDefault="00DF5B90" w:rsidP="00DF5B90">
      <w:pPr>
        <w:spacing w:line="240" w:lineRule="auto"/>
        <w:jc w:val="both"/>
        <w:rPr>
          <w:rFonts w:asciiTheme="minorHAnsi" w:eastAsiaTheme="minorEastAsia" w:hAnsiTheme="minorHAnsi" w:cstheme="minorHAnsi"/>
          <w:lang w:val="id-ID"/>
        </w:rPr>
      </w:pPr>
      <w:r w:rsidRPr="00DF5B90">
        <w:rPr>
          <w:rFonts w:asciiTheme="minorHAnsi" w:eastAsiaTheme="minorEastAsia" w:hAnsiTheme="minorHAnsi" w:cstheme="minorHAnsi"/>
          <w:lang w:val="id-ID"/>
        </w:rPr>
        <w:t>*</w:t>
      </w:r>
      <w:r w:rsidRPr="00DF5B90">
        <w:rPr>
          <w:rFonts w:asciiTheme="minorHAnsi" w:eastAsiaTheme="minorEastAsia" w:hAnsiTheme="minorHAnsi" w:cstheme="minorHAnsi"/>
        </w:rPr>
        <w:t xml:space="preserve"> Significant at 10% level</w:t>
      </w:r>
    </w:p>
    <w:p w14:paraId="526E62E5" w14:textId="77777777" w:rsidR="00DF5B90" w:rsidRPr="00DF5B90" w:rsidRDefault="00DF5B90" w:rsidP="00BA7D9E">
      <w:pPr>
        <w:spacing w:line="240" w:lineRule="auto"/>
        <w:ind w:firstLine="284"/>
        <w:jc w:val="both"/>
        <w:rPr>
          <w:rFonts w:asciiTheme="minorHAnsi" w:eastAsiaTheme="minorEastAsia" w:hAnsiTheme="minorHAnsi" w:cstheme="minorHAnsi"/>
          <w:lang w:val="en-US"/>
        </w:rPr>
      </w:pPr>
      <w:r w:rsidRPr="00DF5B90">
        <w:rPr>
          <w:rFonts w:asciiTheme="minorHAnsi" w:eastAsiaTheme="minorEastAsia" w:hAnsiTheme="minorHAnsi" w:cstheme="minorHAnsi"/>
          <w:lang w:val="id-ID"/>
        </w:rPr>
        <w:t xml:space="preserve">Furthermore, GARCH (1.1) testing was conducted in the Russia-Ukraine war period to determine the effect of stock market volatility on the US Dollar Index, presented in Table 8. The test results prove that all variables follow the GARCH. The test shows that KLSE, STI, SETI, Kospi, and SSEC negatively affect the US Dollar Index at a 1% significance level. In addition, Nikkei and JKSE also negatively affect the US Dollar Index with a significance level of 5% and 10% respectively. </w:t>
      </w:r>
    </w:p>
    <w:p w14:paraId="6FD4C7E0" w14:textId="77777777" w:rsidR="00DF5B90" w:rsidRPr="00BA7D9E" w:rsidRDefault="00DF5B90" w:rsidP="00DF5B90">
      <w:pPr>
        <w:pStyle w:val="Keterangan"/>
        <w:keepNext/>
        <w:jc w:val="center"/>
        <w:rPr>
          <w:rFonts w:asciiTheme="minorHAnsi" w:eastAsiaTheme="minorHAnsi" w:hAnsiTheme="minorHAnsi" w:cstheme="minorHAnsi"/>
          <w:sz w:val="24"/>
          <w:szCs w:val="24"/>
          <w:lang w:val="id-ID"/>
        </w:rPr>
      </w:pPr>
      <w:bookmarkStart w:id="31" w:name="_Toc168426049"/>
      <w:bookmarkStart w:id="32" w:name="_Toc170310510"/>
      <w:bookmarkStart w:id="33" w:name="_Toc171071277"/>
      <w:bookmarkStart w:id="34" w:name="_Toc171072602"/>
      <w:r w:rsidRPr="00BA7D9E">
        <w:rPr>
          <w:rFonts w:asciiTheme="minorHAnsi" w:hAnsiTheme="minorHAnsi" w:cstheme="minorHAnsi"/>
          <w:sz w:val="24"/>
          <w:szCs w:val="24"/>
          <w:lang w:val="id-ID"/>
        </w:rPr>
        <w:t>Tab</w:t>
      </w:r>
      <w:r w:rsidRPr="00BA7D9E">
        <w:rPr>
          <w:rFonts w:asciiTheme="minorHAnsi" w:hAnsiTheme="minorHAnsi" w:cstheme="minorHAnsi"/>
          <w:sz w:val="24"/>
          <w:szCs w:val="24"/>
        </w:rPr>
        <w:t>le</w:t>
      </w:r>
      <w:r w:rsidRPr="00BA7D9E">
        <w:rPr>
          <w:rFonts w:asciiTheme="minorHAnsi" w:hAnsiTheme="minorHAnsi" w:cstheme="minorHAnsi"/>
          <w:sz w:val="24"/>
          <w:szCs w:val="24"/>
          <w:lang w:val="id-ID"/>
        </w:rPr>
        <w:t xml:space="preserve"> </w:t>
      </w:r>
      <w:r w:rsidRPr="00BA7D9E">
        <w:rPr>
          <w:rFonts w:asciiTheme="minorHAnsi" w:hAnsiTheme="minorHAnsi" w:cstheme="minorHAnsi"/>
          <w:sz w:val="24"/>
          <w:szCs w:val="24"/>
        </w:rPr>
        <w:fldChar w:fldCharType="begin"/>
      </w:r>
      <w:r w:rsidRPr="00BA7D9E">
        <w:rPr>
          <w:rFonts w:asciiTheme="minorHAnsi" w:hAnsiTheme="minorHAnsi" w:cstheme="minorHAnsi"/>
          <w:sz w:val="24"/>
          <w:szCs w:val="24"/>
          <w:lang w:val="id-ID"/>
        </w:rPr>
        <w:instrText xml:space="preserve"> SEQ Table \* ARABIC </w:instrText>
      </w:r>
      <w:r w:rsidRPr="00BA7D9E">
        <w:rPr>
          <w:rFonts w:asciiTheme="minorHAnsi" w:hAnsiTheme="minorHAnsi" w:cstheme="minorHAnsi"/>
          <w:sz w:val="24"/>
          <w:szCs w:val="24"/>
        </w:rPr>
        <w:fldChar w:fldCharType="separate"/>
      </w:r>
      <w:r w:rsidRPr="00BA7D9E">
        <w:rPr>
          <w:rFonts w:asciiTheme="minorHAnsi" w:hAnsiTheme="minorHAnsi" w:cstheme="minorHAnsi"/>
          <w:sz w:val="24"/>
          <w:szCs w:val="24"/>
          <w:lang w:val="id-ID"/>
        </w:rPr>
        <w:t>8</w:t>
      </w:r>
      <w:bookmarkEnd w:id="31"/>
      <w:bookmarkEnd w:id="32"/>
      <w:bookmarkEnd w:id="33"/>
      <w:bookmarkEnd w:id="34"/>
      <w:r w:rsidRPr="00BA7D9E">
        <w:rPr>
          <w:rFonts w:asciiTheme="minorHAnsi" w:hAnsiTheme="minorHAnsi" w:cstheme="minorHAnsi"/>
          <w:sz w:val="24"/>
          <w:szCs w:val="24"/>
          <w:lang w:val="id-ID"/>
        </w:rPr>
        <w:fldChar w:fldCharType="end"/>
      </w:r>
      <w:r w:rsidRPr="00BA7D9E">
        <w:rPr>
          <w:rFonts w:asciiTheme="minorHAnsi" w:hAnsiTheme="minorHAnsi" w:cstheme="minorHAnsi"/>
          <w:sz w:val="24"/>
          <w:szCs w:val="24"/>
          <w:lang w:val="id-ID"/>
        </w:rPr>
        <w:t xml:space="preserve"> </w:t>
      </w:r>
    </w:p>
    <w:p w14:paraId="5104D0AA" w14:textId="77777777" w:rsidR="00DF5B90" w:rsidRPr="00BA7D9E" w:rsidRDefault="00DF5B90" w:rsidP="00DF5B90">
      <w:pPr>
        <w:pStyle w:val="Keterangan"/>
        <w:keepNext/>
        <w:jc w:val="center"/>
        <w:rPr>
          <w:rFonts w:asciiTheme="minorHAnsi" w:hAnsiTheme="minorHAnsi" w:cstheme="minorHAnsi"/>
          <w:sz w:val="24"/>
          <w:szCs w:val="24"/>
          <w:lang w:val="id-ID"/>
        </w:rPr>
      </w:pPr>
      <w:r w:rsidRPr="00BA7D9E">
        <w:rPr>
          <w:rFonts w:asciiTheme="minorHAnsi" w:hAnsiTheme="minorHAnsi" w:cstheme="minorHAnsi"/>
          <w:sz w:val="24"/>
          <w:szCs w:val="24"/>
          <w:lang w:val="id-ID"/>
        </w:rPr>
        <w:t xml:space="preserve">The Impact of Stock Market Volatility on the US Dollar Index </w:t>
      </w:r>
    </w:p>
    <w:p w14:paraId="40C5E000" w14:textId="77777777" w:rsidR="00DF5B90" w:rsidRPr="00BA7D9E" w:rsidRDefault="00DF5B90" w:rsidP="00DF5B90">
      <w:pPr>
        <w:pStyle w:val="Keterangan"/>
        <w:keepNext/>
        <w:jc w:val="center"/>
        <w:rPr>
          <w:rFonts w:asciiTheme="minorHAnsi" w:hAnsiTheme="minorHAnsi" w:cstheme="minorHAnsi"/>
          <w:sz w:val="24"/>
          <w:szCs w:val="24"/>
          <w:lang w:val="id-ID"/>
        </w:rPr>
      </w:pPr>
      <w:r w:rsidRPr="00BA7D9E">
        <w:rPr>
          <w:rFonts w:asciiTheme="minorHAnsi" w:hAnsiTheme="minorHAnsi" w:cstheme="minorHAnsi"/>
          <w:sz w:val="24"/>
          <w:szCs w:val="24"/>
          <w:lang w:val="id-ID"/>
        </w:rPr>
        <w:t>During the Russia-Ukraine War</w:t>
      </w:r>
    </w:p>
    <w:tbl>
      <w:tblPr>
        <w:tblW w:w="9032" w:type="dxa"/>
        <w:jc w:val="center"/>
        <w:tblLook w:val="04A0" w:firstRow="1" w:lastRow="0" w:firstColumn="1" w:lastColumn="0" w:noHBand="0" w:noVBand="1"/>
      </w:tblPr>
      <w:tblGrid>
        <w:gridCol w:w="819"/>
        <w:gridCol w:w="1274"/>
        <w:gridCol w:w="965"/>
        <w:gridCol w:w="1499"/>
        <w:gridCol w:w="965"/>
        <w:gridCol w:w="965"/>
        <w:gridCol w:w="1124"/>
        <w:gridCol w:w="1452"/>
      </w:tblGrid>
      <w:tr w:rsidR="00DF5B90" w:rsidRPr="00DF5B90" w14:paraId="692F5A40" w14:textId="77777777" w:rsidTr="00DF5B90">
        <w:trPr>
          <w:trHeight w:val="300"/>
          <w:jc w:val="center"/>
        </w:trPr>
        <w:tc>
          <w:tcPr>
            <w:tcW w:w="9032" w:type="dxa"/>
            <w:gridSpan w:val="8"/>
            <w:tcBorders>
              <w:top w:val="single" w:sz="8" w:space="0" w:color="auto"/>
              <w:left w:val="nil"/>
              <w:bottom w:val="nil"/>
              <w:right w:val="nil"/>
            </w:tcBorders>
            <w:noWrap/>
            <w:vAlign w:val="center"/>
            <w:hideMark/>
          </w:tcPr>
          <w:p w14:paraId="022F3C77" w14:textId="514470FA"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During Rus</w:t>
            </w:r>
            <w:r w:rsidR="006E23DC">
              <w:rPr>
                <w:rFonts w:asciiTheme="minorHAnsi" w:eastAsia="Times New Roman" w:hAnsiTheme="minorHAnsi" w:cstheme="minorHAnsi"/>
                <w:b/>
                <w:bCs/>
                <w:color w:val="000000"/>
                <w:lang w:val="id-ID"/>
              </w:rPr>
              <w:t>s</w:t>
            </w:r>
            <w:r w:rsidRPr="00DF5B90">
              <w:rPr>
                <w:rFonts w:asciiTheme="minorHAnsi" w:eastAsia="Times New Roman" w:hAnsiTheme="minorHAnsi" w:cstheme="minorHAnsi"/>
                <w:b/>
                <w:bCs/>
                <w:color w:val="000000"/>
                <w:lang w:val="id-ID"/>
              </w:rPr>
              <w:t>ia-Ukrain</w:t>
            </w:r>
            <w:r w:rsidR="006E23DC">
              <w:rPr>
                <w:rFonts w:asciiTheme="minorHAnsi" w:eastAsia="Times New Roman" w:hAnsiTheme="minorHAnsi" w:cstheme="minorHAnsi"/>
                <w:b/>
                <w:bCs/>
                <w:color w:val="000000"/>
                <w:lang w:val="id-ID"/>
              </w:rPr>
              <w:t>e War</w:t>
            </w:r>
          </w:p>
        </w:tc>
      </w:tr>
      <w:tr w:rsidR="00DF5B90" w:rsidRPr="00DF5B90" w14:paraId="19769987" w14:textId="77777777" w:rsidTr="00DF5B90">
        <w:trPr>
          <w:trHeight w:val="278"/>
          <w:jc w:val="center"/>
        </w:trPr>
        <w:tc>
          <w:tcPr>
            <w:tcW w:w="0" w:type="auto"/>
            <w:gridSpan w:val="2"/>
            <w:vMerge w:val="restart"/>
            <w:tcBorders>
              <w:top w:val="single" w:sz="4" w:space="0" w:color="auto"/>
              <w:left w:val="nil"/>
              <w:bottom w:val="single" w:sz="8" w:space="0" w:color="000000"/>
              <w:right w:val="nil"/>
            </w:tcBorders>
            <w:noWrap/>
            <w:vAlign w:val="center"/>
            <w:hideMark/>
          </w:tcPr>
          <w:p w14:paraId="58A62BDB"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en-US"/>
              </w:rPr>
            </w:pPr>
            <w:r w:rsidRPr="00DF5B90">
              <w:rPr>
                <w:rFonts w:asciiTheme="minorHAnsi" w:eastAsia="Times New Roman" w:hAnsiTheme="minorHAnsi" w:cstheme="minorHAnsi"/>
                <w:b/>
                <w:bCs/>
                <w:color w:val="000000"/>
              </w:rPr>
              <w:t>Independent</w:t>
            </w:r>
          </w:p>
          <w:p w14:paraId="79ED62E5" w14:textId="77777777" w:rsidR="00DF5B90" w:rsidRPr="00DF5B90" w:rsidRDefault="00DF5B90" w:rsidP="00DF5B90">
            <w:pPr>
              <w:spacing w:after="0" w:line="240" w:lineRule="auto"/>
              <w:jc w:val="center"/>
              <w:rPr>
                <w:rFonts w:asciiTheme="minorHAnsi" w:eastAsia="Times New Roman" w:hAnsiTheme="minorHAnsi" w:cstheme="minorHAnsi"/>
                <w:b/>
                <w:bCs/>
                <w:color w:val="000000"/>
              </w:rPr>
            </w:pPr>
            <w:r w:rsidRPr="00DF5B90">
              <w:rPr>
                <w:rFonts w:asciiTheme="minorHAnsi" w:eastAsia="Times New Roman" w:hAnsiTheme="minorHAnsi" w:cstheme="minorHAnsi"/>
                <w:b/>
                <w:bCs/>
                <w:color w:val="000000"/>
              </w:rPr>
              <w:t>Variable</w:t>
            </w:r>
          </w:p>
        </w:tc>
        <w:tc>
          <w:tcPr>
            <w:tcW w:w="0" w:type="auto"/>
            <w:gridSpan w:val="2"/>
            <w:tcBorders>
              <w:top w:val="single" w:sz="4" w:space="0" w:color="auto"/>
              <w:left w:val="nil"/>
              <w:bottom w:val="single" w:sz="4" w:space="0" w:color="auto"/>
              <w:right w:val="nil"/>
            </w:tcBorders>
            <w:vAlign w:val="center"/>
            <w:hideMark/>
          </w:tcPr>
          <w:p w14:paraId="22F7F270"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Mean Equation</w:t>
            </w:r>
          </w:p>
        </w:tc>
        <w:tc>
          <w:tcPr>
            <w:tcW w:w="0" w:type="auto"/>
            <w:gridSpan w:val="3"/>
            <w:tcBorders>
              <w:top w:val="single" w:sz="4" w:space="0" w:color="auto"/>
              <w:left w:val="nil"/>
              <w:bottom w:val="single" w:sz="4" w:space="0" w:color="auto"/>
              <w:right w:val="nil"/>
            </w:tcBorders>
            <w:noWrap/>
            <w:vAlign w:val="center"/>
            <w:hideMark/>
          </w:tcPr>
          <w:p w14:paraId="1D1C8749"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Variance Equation</w:t>
            </w:r>
          </w:p>
        </w:tc>
        <w:tc>
          <w:tcPr>
            <w:tcW w:w="1452" w:type="dxa"/>
            <w:vMerge w:val="restart"/>
            <w:tcBorders>
              <w:top w:val="single" w:sz="4" w:space="0" w:color="auto"/>
              <w:left w:val="nil"/>
              <w:bottom w:val="single" w:sz="8" w:space="0" w:color="000000"/>
              <w:right w:val="nil"/>
            </w:tcBorders>
            <w:vAlign w:val="center"/>
            <w:hideMark/>
          </w:tcPr>
          <w:p w14:paraId="6A7EB1C4"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GED Parameter</w:t>
            </w:r>
          </w:p>
        </w:tc>
      </w:tr>
      <w:tr w:rsidR="00DF5B90" w:rsidRPr="00DF5B90" w14:paraId="5E3AC8DE" w14:textId="77777777" w:rsidTr="00DF5B90">
        <w:trPr>
          <w:trHeight w:val="315"/>
          <w:jc w:val="center"/>
        </w:trPr>
        <w:tc>
          <w:tcPr>
            <w:tcW w:w="0" w:type="auto"/>
            <w:gridSpan w:val="2"/>
            <w:vMerge/>
            <w:tcBorders>
              <w:top w:val="single" w:sz="4" w:space="0" w:color="auto"/>
              <w:left w:val="nil"/>
              <w:bottom w:val="single" w:sz="8" w:space="0" w:color="000000"/>
              <w:right w:val="nil"/>
            </w:tcBorders>
            <w:vAlign w:val="center"/>
            <w:hideMark/>
          </w:tcPr>
          <w:p w14:paraId="75EC840A" w14:textId="77777777" w:rsidR="00DF5B90" w:rsidRPr="00DF5B90" w:rsidRDefault="00DF5B90" w:rsidP="00DF5B90">
            <w:pPr>
              <w:spacing w:after="0" w:line="240" w:lineRule="auto"/>
              <w:rPr>
                <w:rFonts w:asciiTheme="minorHAnsi" w:eastAsia="Times New Roman" w:hAnsiTheme="minorHAnsi" w:cstheme="minorHAnsi"/>
                <w:b/>
                <w:bCs/>
                <w:color w:val="000000"/>
                <w:lang w:val="en-US"/>
              </w:rPr>
            </w:pPr>
          </w:p>
        </w:tc>
        <w:tc>
          <w:tcPr>
            <w:tcW w:w="0" w:type="auto"/>
            <w:tcBorders>
              <w:top w:val="nil"/>
              <w:left w:val="nil"/>
              <w:bottom w:val="single" w:sz="8" w:space="0" w:color="auto"/>
              <w:right w:val="nil"/>
            </w:tcBorders>
            <w:vAlign w:val="center"/>
            <w:hideMark/>
          </w:tcPr>
          <w:p w14:paraId="0D927616"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C</w:t>
            </w:r>
          </w:p>
        </w:tc>
        <w:tc>
          <w:tcPr>
            <w:tcW w:w="0" w:type="auto"/>
            <w:tcBorders>
              <w:top w:val="nil"/>
              <w:left w:val="nil"/>
              <w:bottom w:val="single" w:sz="8" w:space="0" w:color="auto"/>
              <w:right w:val="nil"/>
            </w:tcBorders>
            <w:vAlign w:val="center"/>
            <w:hideMark/>
          </w:tcPr>
          <w:p w14:paraId="46C8E69C"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en-US"/>
              </w:rPr>
            </w:pPr>
            <w:r w:rsidRPr="00DF5B90">
              <w:rPr>
                <w:rFonts w:asciiTheme="minorHAnsi" w:eastAsia="Times New Roman" w:hAnsiTheme="minorHAnsi" w:cstheme="minorHAnsi"/>
                <w:b/>
                <w:bCs/>
                <w:color w:val="000000"/>
              </w:rPr>
              <w:t>Independent</w:t>
            </w:r>
          </w:p>
          <w:p w14:paraId="2443C67D" w14:textId="77777777" w:rsidR="00DF5B90" w:rsidRPr="00DF5B90" w:rsidRDefault="00DF5B90" w:rsidP="00DF5B90">
            <w:pPr>
              <w:spacing w:after="0" w:line="240" w:lineRule="auto"/>
              <w:jc w:val="center"/>
              <w:rPr>
                <w:rFonts w:asciiTheme="minorHAnsi" w:eastAsia="Times New Roman" w:hAnsiTheme="minorHAnsi" w:cstheme="minorHAnsi"/>
                <w:b/>
                <w:bCs/>
                <w:color w:val="000000"/>
              </w:rPr>
            </w:pPr>
            <w:r w:rsidRPr="00DF5B90">
              <w:rPr>
                <w:rFonts w:asciiTheme="minorHAnsi" w:eastAsia="Times New Roman" w:hAnsiTheme="minorHAnsi" w:cstheme="minorHAnsi"/>
                <w:b/>
                <w:bCs/>
                <w:color w:val="000000"/>
              </w:rPr>
              <w:t>Variable</w:t>
            </w:r>
          </w:p>
          <w:p w14:paraId="57227EC1" w14:textId="77777777" w:rsidR="00DF5B90" w:rsidRPr="00DF5B90" w:rsidRDefault="00DF5B90" w:rsidP="00DF5B90">
            <w:pPr>
              <w:spacing w:after="0" w:line="240" w:lineRule="auto"/>
              <w:jc w:val="center"/>
              <w:rPr>
                <w:rFonts w:asciiTheme="minorHAnsi" w:eastAsia="Times New Roman" w:hAnsiTheme="minorHAnsi" w:cstheme="minorHAnsi"/>
                <w:b/>
                <w:bCs/>
                <w:color w:val="000000"/>
              </w:rPr>
            </w:pPr>
            <w:r w:rsidRPr="00DF5B90">
              <w:rPr>
                <w:rFonts w:asciiTheme="minorHAnsi" w:eastAsia="Times New Roman" w:hAnsiTheme="minorHAnsi" w:cstheme="minorHAnsi"/>
                <w:b/>
                <w:bCs/>
                <w:color w:val="000000"/>
                <w:lang w:val="id-ID"/>
              </w:rPr>
              <w:t>(Volatilit</w:t>
            </w:r>
            <w:r w:rsidRPr="00DF5B90">
              <w:rPr>
                <w:rFonts w:asciiTheme="minorHAnsi" w:eastAsia="Times New Roman" w:hAnsiTheme="minorHAnsi" w:cstheme="minorHAnsi"/>
                <w:b/>
                <w:bCs/>
                <w:color w:val="000000"/>
              </w:rPr>
              <w:t>y</w:t>
            </w:r>
            <w:r w:rsidRPr="00DF5B90">
              <w:rPr>
                <w:rFonts w:asciiTheme="minorHAnsi" w:eastAsia="Times New Roman" w:hAnsiTheme="minorHAnsi" w:cstheme="minorHAnsi"/>
                <w:b/>
                <w:bCs/>
                <w:color w:val="000000"/>
                <w:lang w:val="id-ID"/>
              </w:rPr>
              <w:t>)</w:t>
            </w:r>
          </w:p>
        </w:tc>
        <w:tc>
          <w:tcPr>
            <w:tcW w:w="0" w:type="auto"/>
            <w:tcBorders>
              <w:top w:val="nil"/>
              <w:left w:val="nil"/>
              <w:bottom w:val="single" w:sz="8" w:space="0" w:color="auto"/>
              <w:right w:val="nil"/>
            </w:tcBorders>
            <w:noWrap/>
            <w:vAlign w:val="center"/>
            <w:hideMark/>
          </w:tcPr>
          <w:p w14:paraId="616587AE"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C</w:t>
            </w:r>
          </w:p>
        </w:tc>
        <w:tc>
          <w:tcPr>
            <w:tcW w:w="0" w:type="auto"/>
            <w:tcBorders>
              <w:top w:val="nil"/>
              <w:left w:val="nil"/>
              <w:bottom w:val="single" w:sz="8" w:space="0" w:color="auto"/>
              <w:right w:val="nil"/>
            </w:tcBorders>
            <w:noWrap/>
            <w:vAlign w:val="center"/>
            <w:hideMark/>
          </w:tcPr>
          <w:p w14:paraId="0F1308B0"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Resid</w:t>
            </w:r>
          </w:p>
        </w:tc>
        <w:tc>
          <w:tcPr>
            <w:tcW w:w="0" w:type="auto"/>
            <w:tcBorders>
              <w:top w:val="nil"/>
              <w:left w:val="nil"/>
              <w:bottom w:val="single" w:sz="8" w:space="0" w:color="auto"/>
              <w:right w:val="nil"/>
            </w:tcBorders>
            <w:noWrap/>
            <w:vAlign w:val="center"/>
            <w:hideMark/>
          </w:tcPr>
          <w:p w14:paraId="6840FFAF" w14:textId="12D31DA5"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G</w:t>
            </w:r>
            <w:r w:rsidR="006E23DC">
              <w:rPr>
                <w:rFonts w:asciiTheme="minorHAnsi" w:eastAsia="Times New Roman" w:hAnsiTheme="minorHAnsi" w:cstheme="minorHAnsi"/>
                <w:b/>
                <w:bCs/>
                <w:color w:val="000000"/>
                <w:lang w:val="id-ID"/>
              </w:rPr>
              <w:t>ARCH</w:t>
            </w:r>
          </w:p>
        </w:tc>
        <w:tc>
          <w:tcPr>
            <w:tcW w:w="0" w:type="auto"/>
            <w:vMerge/>
            <w:tcBorders>
              <w:top w:val="single" w:sz="4" w:space="0" w:color="auto"/>
              <w:left w:val="nil"/>
              <w:bottom w:val="single" w:sz="8" w:space="0" w:color="000000"/>
              <w:right w:val="nil"/>
            </w:tcBorders>
            <w:vAlign w:val="center"/>
            <w:hideMark/>
          </w:tcPr>
          <w:p w14:paraId="209DBBCF" w14:textId="77777777" w:rsidR="00DF5B90" w:rsidRPr="00DF5B90" w:rsidRDefault="00DF5B90" w:rsidP="00DF5B90">
            <w:pPr>
              <w:spacing w:after="0" w:line="240" w:lineRule="auto"/>
              <w:rPr>
                <w:rFonts w:asciiTheme="minorHAnsi" w:eastAsia="Times New Roman" w:hAnsiTheme="minorHAnsi" w:cstheme="minorHAnsi"/>
                <w:b/>
                <w:bCs/>
                <w:color w:val="000000"/>
                <w:lang w:val="id-ID"/>
              </w:rPr>
            </w:pPr>
          </w:p>
        </w:tc>
      </w:tr>
      <w:tr w:rsidR="00DF5B90" w:rsidRPr="00DF5B90" w14:paraId="554105A9" w14:textId="77777777" w:rsidTr="00DF5B90">
        <w:trPr>
          <w:trHeight w:val="300"/>
          <w:jc w:val="center"/>
        </w:trPr>
        <w:tc>
          <w:tcPr>
            <w:tcW w:w="0" w:type="auto"/>
            <w:vMerge w:val="restart"/>
            <w:tcBorders>
              <w:top w:val="single" w:sz="4" w:space="0" w:color="auto"/>
              <w:left w:val="nil"/>
              <w:bottom w:val="single" w:sz="4" w:space="0" w:color="auto"/>
              <w:right w:val="nil"/>
            </w:tcBorders>
            <w:noWrap/>
            <w:vAlign w:val="center"/>
            <w:hideMark/>
          </w:tcPr>
          <w:p w14:paraId="1038D03B"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JKSE</w:t>
            </w:r>
          </w:p>
        </w:tc>
        <w:tc>
          <w:tcPr>
            <w:tcW w:w="0" w:type="auto"/>
            <w:tcBorders>
              <w:top w:val="single" w:sz="4" w:space="0" w:color="auto"/>
              <w:left w:val="nil"/>
              <w:bottom w:val="nil"/>
              <w:right w:val="nil"/>
            </w:tcBorders>
            <w:noWrap/>
            <w:vAlign w:val="center"/>
            <w:hideMark/>
          </w:tcPr>
          <w:p w14:paraId="6E992A44"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noWrap/>
            <w:vAlign w:val="center"/>
            <w:hideMark/>
          </w:tcPr>
          <w:p w14:paraId="04F773C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0.0005</w:t>
            </w:r>
          </w:p>
        </w:tc>
        <w:tc>
          <w:tcPr>
            <w:tcW w:w="0" w:type="auto"/>
            <w:noWrap/>
            <w:vAlign w:val="center"/>
            <w:hideMark/>
          </w:tcPr>
          <w:p w14:paraId="24227E7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-0.0006</w:t>
            </w:r>
          </w:p>
        </w:tc>
        <w:tc>
          <w:tcPr>
            <w:tcW w:w="0" w:type="auto"/>
            <w:noWrap/>
            <w:vAlign w:val="center"/>
            <w:hideMark/>
          </w:tcPr>
          <w:p w14:paraId="5A5AE39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noWrap/>
            <w:vAlign w:val="center"/>
            <w:hideMark/>
          </w:tcPr>
          <w:p w14:paraId="6BD9E67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0.1502</w:t>
            </w:r>
          </w:p>
        </w:tc>
        <w:tc>
          <w:tcPr>
            <w:tcW w:w="0" w:type="auto"/>
            <w:noWrap/>
            <w:vAlign w:val="center"/>
            <w:hideMark/>
          </w:tcPr>
          <w:p w14:paraId="216ADEB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0.5790</w:t>
            </w:r>
          </w:p>
        </w:tc>
        <w:tc>
          <w:tcPr>
            <w:tcW w:w="1452" w:type="dxa"/>
            <w:vAlign w:val="center"/>
            <w:hideMark/>
          </w:tcPr>
          <w:p w14:paraId="1BEFB00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1.4672</w:t>
            </w:r>
          </w:p>
        </w:tc>
      </w:tr>
      <w:tr w:rsidR="00DF5B90" w:rsidRPr="00DF5B90" w14:paraId="028C3284"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3A830DAB"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50B03AD4"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13CDAB7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1.5741</w:t>
            </w:r>
          </w:p>
        </w:tc>
        <w:tc>
          <w:tcPr>
            <w:tcW w:w="0" w:type="auto"/>
            <w:noWrap/>
            <w:vAlign w:val="center"/>
            <w:hideMark/>
          </w:tcPr>
          <w:p w14:paraId="54379C8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-1.8356</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747D4FB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1.4592</w:t>
            </w:r>
          </w:p>
        </w:tc>
        <w:tc>
          <w:tcPr>
            <w:tcW w:w="0" w:type="auto"/>
            <w:noWrap/>
            <w:vAlign w:val="center"/>
            <w:hideMark/>
          </w:tcPr>
          <w:p w14:paraId="0667394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1.4331</w:t>
            </w:r>
          </w:p>
        </w:tc>
        <w:tc>
          <w:tcPr>
            <w:tcW w:w="0" w:type="auto"/>
            <w:noWrap/>
            <w:vAlign w:val="center"/>
            <w:hideMark/>
          </w:tcPr>
          <w:p w14:paraId="410D3BE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2.3246</w:t>
            </w:r>
            <w:r w:rsidRPr="00DF5B90">
              <w:rPr>
                <w:rFonts w:asciiTheme="minorHAnsi" w:eastAsia="Times New Roman" w:hAnsiTheme="minorHAnsi" w:cstheme="minorHAnsi"/>
                <w:color w:val="000000"/>
                <w:vertAlign w:val="superscript"/>
                <w:lang w:val="id-ID"/>
              </w:rPr>
              <w:t>**</w:t>
            </w:r>
          </w:p>
        </w:tc>
        <w:tc>
          <w:tcPr>
            <w:tcW w:w="1452" w:type="dxa"/>
            <w:noWrap/>
            <w:vAlign w:val="center"/>
            <w:hideMark/>
          </w:tcPr>
          <w:p w14:paraId="33C0B27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9.0102</w:t>
            </w:r>
            <w:r w:rsidRPr="00DF5B90">
              <w:rPr>
                <w:rFonts w:asciiTheme="minorHAnsi" w:eastAsia="Times New Roman" w:hAnsiTheme="minorHAnsi" w:cstheme="minorHAnsi"/>
                <w:color w:val="000000"/>
                <w:vertAlign w:val="superscript"/>
                <w:lang w:val="id-ID"/>
              </w:rPr>
              <w:t>***</w:t>
            </w:r>
          </w:p>
        </w:tc>
      </w:tr>
      <w:tr w:rsidR="00DF5B90" w:rsidRPr="00DF5B90" w14:paraId="63D6BD65"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577AA1E8"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16A224B7"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65674C6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0.1155</w:t>
            </w:r>
          </w:p>
        </w:tc>
        <w:tc>
          <w:tcPr>
            <w:tcW w:w="0" w:type="auto"/>
            <w:tcBorders>
              <w:top w:val="nil"/>
              <w:left w:val="nil"/>
              <w:bottom w:val="single" w:sz="4" w:space="0" w:color="auto"/>
              <w:right w:val="nil"/>
            </w:tcBorders>
            <w:noWrap/>
            <w:vAlign w:val="center"/>
            <w:hideMark/>
          </w:tcPr>
          <w:p w14:paraId="46EA258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0.0664</w:t>
            </w:r>
          </w:p>
        </w:tc>
        <w:tc>
          <w:tcPr>
            <w:tcW w:w="0" w:type="auto"/>
            <w:tcBorders>
              <w:top w:val="nil"/>
              <w:left w:val="nil"/>
              <w:bottom w:val="single" w:sz="4" w:space="0" w:color="auto"/>
              <w:right w:val="nil"/>
            </w:tcBorders>
            <w:noWrap/>
            <w:vAlign w:val="center"/>
            <w:hideMark/>
          </w:tcPr>
          <w:p w14:paraId="1FAE119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0.1445</w:t>
            </w:r>
          </w:p>
        </w:tc>
        <w:tc>
          <w:tcPr>
            <w:tcW w:w="0" w:type="auto"/>
            <w:tcBorders>
              <w:top w:val="nil"/>
              <w:left w:val="nil"/>
              <w:bottom w:val="single" w:sz="4" w:space="0" w:color="auto"/>
              <w:right w:val="nil"/>
            </w:tcBorders>
            <w:noWrap/>
            <w:vAlign w:val="center"/>
            <w:hideMark/>
          </w:tcPr>
          <w:p w14:paraId="73E5C97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0.1518</w:t>
            </w:r>
          </w:p>
        </w:tc>
        <w:tc>
          <w:tcPr>
            <w:tcW w:w="0" w:type="auto"/>
            <w:tcBorders>
              <w:top w:val="nil"/>
              <w:left w:val="nil"/>
              <w:bottom w:val="single" w:sz="4" w:space="0" w:color="auto"/>
              <w:right w:val="nil"/>
            </w:tcBorders>
            <w:noWrap/>
            <w:vAlign w:val="center"/>
            <w:hideMark/>
          </w:tcPr>
          <w:p w14:paraId="516F8F0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0.0201</w:t>
            </w:r>
          </w:p>
        </w:tc>
        <w:tc>
          <w:tcPr>
            <w:tcW w:w="1452" w:type="dxa"/>
            <w:tcBorders>
              <w:top w:val="nil"/>
              <w:left w:val="nil"/>
              <w:bottom w:val="single" w:sz="4" w:space="0" w:color="auto"/>
              <w:right w:val="nil"/>
            </w:tcBorders>
            <w:noWrap/>
            <w:vAlign w:val="center"/>
            <w:hideMark/>
          </w:tcPr>
          <w:p w14:paraId="3FCE2E6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114B1205" w14:textId="77777777" w:rsidTr="00DF5B90">
        <w:trPr>
          <w:trHeight w:val="300"/>
          <w:jc w:val="center"/>
        </w:trPr>
        <w:tc>
          <w:tcPr>
            <w:tcW w:w="0" w:type="auto"/>
            <w:vMerge w:val="restart"/>
            <w:tcBorders>
              <w:top w:val="single" w:sz="4" w:space="0" w:color="auto"/>
              <w:left w:val="nil"/>
              <w:bottom w:val="single" w:sz="4" w:space="0" w:color="auto"/>
              <w:right w:val="nil"/>
            </w:tcBorders>
            <w:noWrap/>
            <w:vAlign w:val="center"/>
            <w:hideMark/>
          </w:tcPr>
          <w:p w14:paraId="402CAA53"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KLSE</w:t>
            </w:r>
          </w:p>
        </w:tc>
        <w:tc>
          <w:tcPr>
            <w:tcW w:w="0" w:type="auto"/>
            <w:tcBorders>
              <w:top w:val="single" w:sz="4" w:space="0" w:color="auto"/>
              <w:left w:val="nil"/>
              <w:bottom w:val="nil"/>
              <w:right w:val="nil"/>
            </w:tcBorders>
            <w:noWrap/>
            <w:vAlign w:val="center"/>
            <w:hideMark/>
          </w:tcPr>
          <w:p w14:paraId="0C8F1BCE"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692A65A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0.0005</w:t>
            </w:r>
          </w:p>
        </w:tc>
        <w:tc>
          <w:tcPr>
            <w:tcW w:w="0" w:type="auto"/>
            <w:tcBorders>
              <w:top w:val="single" w:sz="4" w:space="0" w:color="auto"/>
              <w:left w:val="nil"/>
              <w:bottom w:val="nil"/>
              <w:right w:val="nil"/>
            </w:tcBorders>
            <w:noWrap/>
            <w:vAlign w:val="center"/>
            <w:hideMark/>
          </w:tcPr>
          <w:p w14:paraId="1A8AC43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-0.0010</w:t>
            </w:r>
          </w:p>
        </w:tc>
        <w:tc>
          <w:tcPr>
            <w:tcW w:w="0" w:type="auto"/>
            <w:tcBorders>
              <w:top w:val="single" w:sz="4" w:space="0" w:color="auto"/>
              <w:left w:val="nil"/>
              <w:bottom w:val="nil"/>
              <w:right w:val="nil"/>
            </w:tcBorders>
            <w:noWrap/>
            <w:vAlign w:val="center"/>
            <w:hideMark/>
          </w:tcPr>
          <w:p w14:paraId="5897025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single" w:sz="4" w:space="0" w:color="auto"/>
              <w:left w:val="nil"/>
              <w:bottom w:val="nil"/>
              <w:right w:val="nil"/>
            </w:tcBorders>
            <w:noWrap/>
            <w:vAlign w:val="center"/>
            <w:hideMark/>
          </w:tcPr>
          <w:p w14:paraId="3441CDE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0.1649</w:t>
            </w:r>
          </w:p>
        </w:tc>
        <w:tc>
          <w:tcPr>
            <w:tcW w:w="0" w:type="auto"/>
            <w:tcBorders>
              <w:top w:val="single" w:sz="4" w:space="0" w:color="auto"/>
              <w:left w:val="nil"/>
              <w:bottom w:val="nil"/>
              <w:right w:val="nil"/>
            </w:tcBorders>
            <w:noWrap/>
            <w:vAlign w:val="center"/>
            <w:hideMark/>
          </w:tcPr>
          <w:p w14:paraId="5B85BC6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0.5076</w:t>
            </w:r>
          </w:p>
        </w:tc>
        <w:tc>
          <w:tcPr>
            <w:tcW w:w="1452" w:type="dxa"/>
            <w:tcBorders>
              <w:top w:val="single" w:sz="4" w:space="0" w:color="auto"/>
              <w:left w:val="nil"/>
              <w:bottom w:val="nil"/>
              <w:right w:val="nil"/>
            </w:tcBorders>
            <w:vAlign w:val="center"/>
            <w:hideMark/>
          </w:tcPr>
          <w:p w14:paraId="3499F4A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1.5571</w:t>
            </w:r>
          </w:p>
        </w:tc>
      </w:tr>
      <w:tr w:rsidR="00DF5B90" w:rsidRPr="00DF5B90" w14:paraId="73D4C1B9"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07FF0683"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5DA98802"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4BD3AC5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1.4483</w:t>
            </w:r>
          </w:p>
        </w:tc>
        <w:tc>
          <w:tcPr>
            <w:tcW w:w="0" w:type="auto"/>
            <w:noWrap/>
            <w:vAlign w:val="center"/>
            <w:hideMark/>
          </w:tcPr>
          <w:p w14:paraId="12864F0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-3.0487</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4591C05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1.4490</w:t>
            </w:r>
          </w:p>
        </w:tc>
        <w:tc>
          <w:tcPr>
            <w:tcW w:w="0" w:type="auto"/>
            <w:noWrap/>
            <w:vAlign w:val="center"/>
            <w:hideMark/>
          </w:tcPr>
          <w:p w14:paraId="038BACE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1.4853</w:t>
            </w:r>
          </w:p>
        </w:tc>
        <w:tc>
          <w:tcPr>
            <w:tcW w:w="0" w:type="auto"/>
            <w:noWrap/>
            <w:vAlign w:val="center"/>
            <w:hideMark/>
          </w:tcPr>
          <w:p w14:paraId="2076079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1.7491</w:t>
            </w:r>
            <w:r w:rsidRPr="00DF5B90">
              <w:rPr>
                <w:rFonts w:asciiTheme="minorHAnsi" w:eastAsia="Times New Roman" w:hAnsiTheme="minorHAnsi" w:cstheme="minorHAnsi"/>
                <w:color w:val="000000"/>
                <w:vertAlign w:val="superscript"/>
                <w:lang w:val="id-ID"/>
              </w:rPr>
              <w:t>*</w:t>
            </w:r>
          </w:p>
        </w:tc>
        <w:tc>
          <w:tcPr>
            <w:tcW w:w="1452" w:type="dxa"/>
            <w:noWrap/>
            <w:vAlign w:val="center"/>
            <w:hideMark/>
          </w:tcPr>
          <w:p w14:paraId="6B0D2F1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8.5138</w:t>
            </w:r>
            <w:r w:rsidRPr="00DF5B90">
              <w:rPr>
                <w:rFonts w:asciiTheme="minorHAnsi" w:eastAsia="Times New Roman" w:hAnsiTheme="minorHAnsi" w:cstheme="minorHAnsi"/>
                <w:color w:val="000000"/>
                <w:vertAlign w:val="superscript"/>
                <w:lang w:val="id-ID"/>
              </w:rPr>
              <w:t>***</w:t>
            </w:r>
          </w:p>
        </w:tc>
      </w:tr>
      <w:tr w:rsidR="00DF5B90" w:rsidRPr="00DF5B90" w14:paraId="21D14DC7"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4418C8EC"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05E0E32C"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1F77D5D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0.1475</w:t>
            </w:r>
          </w:p>
        </w:tc>
        <w:tc>
          <w:tcPr>
            <w:tcW w:w="0" w:type="auto"/>
            <w:tcBorders>
              <w:top w:val="nil"/>
              <w:left w:val="nil"/>
              <w:bottom w:val="single" w:sz="4" w:space="0" w:color="auto"/>
              <w:right w:val="nil"/>
            </w:tcBorders>
            <w:noWrap/>
            <w:vAlign w:val="center"/>
            <w:hideMark/>
          </w:tcPr>
          <w:p w14:paraId="5354790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0.0023</w:t>
            </w:r>
          </w:p>
        </w:tc>
        <w:tc>
          <w:tcPr>
            <w:tcW w:w="0" w:type="auto"/>
            <w:tcBorders>
              <w:top w:val="nil"/>
              <w:left w:val="nil"/>
              <w:bottom w:val="single" w:sz="4" w:space="0" w:color="auto"/>
              <w:right w:val="nil"/>
            </w:tcBorders>
            <w:noWrap/>
            <w:vAlign w:val="center"/>
            <w:hideMark/>
          </w:tcPr>
          <w:p w14:paraId="6AB47B3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0.1474</w:t>
            </w:r>
          </w:p>
        </w:tc>
        <w:tc>
          <w:tcPr>
            <w:tcW w:w="0" w:type="auto"/>
            <w:tcBorders>
              <w:top w:val="nil"/>
              <w:left w:val="nil"/>
              <w:bottom w:val="single" w:sz="4" w:space="0" w:color="auto"/>
              <w:right w:val="nil"/>
            </w:tcBorders>
            <w:noWrap/>
            <w:vAlign w:val="center"/>
            <w:hideMark/>
          </w:tcPr>
          <w:p w14:paraId="28E75C6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0.1375</w:t>
            </w:r>
          </w:p>
        </w:tc>
        <w:tc>
          <w:tcPr>
            <w:tcW w:w="0" w:type="auto"/>
            <w:tcBorders>
              <w:top w:val="nil"/>
              <w:left w:val="nil"/>
              <w:bottom w:val="single" w:sz="4" w:space="0" w:color="auto"/>
              <w:right w:val="nil"/>
            </w:tcBorders>
            <w:noWrap/>
            <w:vAlign w:val="center"/>
            <w:hideMark/>
          </w:tcPr>
          <w:p w14:paraId="4ED16F9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0.0803</w:t>
            </w:r>
          </w:p>
        </w:tc>
        <w:tc>
          <w:tcPr>
            <w:tcW w:w="1452" w:type="dxa"/>
            <w:tcBorders>
              <w:top w:val="nil"/>
              <w:left w:val="nil"/>
              <w:bottom w:val="single" w:sz="4" w:space="0" w:color="auto"/>
              <w:right w:val="nil"/>
            </w:tcBorders>
            <w:noWrap/>
            <w:vAlign w:val="center"/>
            <w:hideMark/>
          </w:tcPr>
          <w:p w14:paraId="53B3550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3DE3C257" w14:textId="77777777" w:rsidTr="00DF5B90">
        <w:trPr>
          <w:trHeight w:val="300"/>
          <w:jc w:val="center"/>
        </w:trPr>
        <w:tc>
          <w:tcPr>
            <w:tcW w:w="0" w:type="auto"/>
            <w:vMerge w:val="restart"/>
            <w:tcBorders>
              <w:top w:val="single" w:sz="4" w:space="0" w:color="auto"/>
              <w:left w:val="nil"/>
              <w:bottom w:val="nil"/>
              <w:right w:val="nil"/>
            </w:tcBorders>
            <w:noWrap/>
            <w:vAlign w:val="center"/>
            <w:hideMark/>
          </w:tcPr>
          <w:p w14:paraId="75A17E2B"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PSEi</w:t>
            </w:r>
          </w:p>
        </w:tc>
        <w:tc>
          <w:tcPr>
            <w:tcW w:w="0" w:type="auto"/>
            <w:tcBorders>
              <w:top w:val="single" w:sz="4" w:space="0" w:color="auto"/>
              <w:left w:val="nil"/>
              <w:bottom w:val="nil"/>
              <w:right w:val="nil"/>
            </w:tcBorders>
            <w:noWrap/>
            <w:vAlign w:val="center"/>
            <w:hideMark/>
          </w:tcPr>
          <w:p w14:paraId="4F721E46"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6800379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0.0005</w:t>
            </w:r>
          </w:p>
        </w:tc>
        <w:tc>
          <w:tcPr>
            <w:tcW w:w="0" w:type="auto"/>
            <w:tcBorders>
              <w:top w:val="single" w:sz="4" w:space="0" w:color="auto"/>
              <w:left w:val="nil"/>
              <w:bottom w:val="nil"/>
              <w:right w:val="nil"/>
            </w:tcBorders>
            <w:noWrap/>
            <w:vAlign w:val="center"/>
            <w:hideMark/>
          </w:tcPr>
          <w:p w14:paraId="6B60DB9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single" w:sz="4" w:space="0" w:color="auto"/>
              <w:left w:val="nil"/>
              <w:bottom w:val="nil"/>
              <w:right w:val="nil"/>
            </w:tcBorders>
            <w:noWrap/>
            <w:vAlign w:val="center"/>
            <w:hideMark/>
          </w:tcPr>
          <w:p w14:paraId="7DD4295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single" w:sz="4" w:space="0" w:color="auto"/>
              <w:left w:val="nil"/>
              <w:bottom w:val="nil"/>
              <w:right w:val="nil"/>
            </w:tcBorders>
            <w:noWrap/>
            <w:vAlign w:val="center"/>
            <w:hideMark/>
          </w:tcPr>
          <w:p w14:paraId="4F43869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0.1476</w:t>
            </w:r>
          </w:p>
        </w:tc>
        <w:tc>
          <w:tcPr>
            <w:tcW w:w="0" w:type="auto"/>
            <w:tcBorders>
              <w:top w:val="single" w:sz="4" w:space="0" w:color="auto"/>
              <w:left w:val="nil"/>
              <w:bottom w:val="nil"/>
              <w:right w:val="nil"/>
            </w:tcBorders>
            <w:noWrap/>
            <w:vAlign w:val="center"/>
            <w:hideMark/>
          </w:tcPr>
          <w:p w14:paraId="6C9006E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0.5863</w:t>
            </w:r>
          </w:p>
        </w:tc>
        <w:tc>
          <w:tcPr>
            <w:tcW w:w="1452" w:type="dxa"/>
            <w:tcBorders>
              <w:top w:val="single" w:sz="4" w:space="0" w:color="auto"/>
              <w:left w:val="nil"/>
              <w:bottom w:val="nil"/>
              <w:right w:val="nil"/>
            </w:tcBorders>
            <w:vAlign w:val="center"/>
            <w:hideMark/>
          </w:tcPr>
          <w:p w14:paraId="6C66C6C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1.4250</w:t>
            </w:r>
          </w:p>
        </w:tc>
      </w:tr>
      <w:tr w:rsidR="00DF5B90" w:rsidRPr="00DF5B90" w14:paraId="796527AC" w14:textId="77777777" w:rsidTr="00DF5B90">
        <w:trPr>
          <w:trHeight w:val="300"/>
          <w:jc w:val="center"/>
        </w:trPr>
        <w:tc>
          <w:tcPr>
            <w:tcW w:w="0" w:type="auto"/>
            <w:vMerge/>
            <w:tcBorders>
              <w:top w:val="single" w:sz="4" w:space="0" w:color="auto"/>
              <w:left w:val="nil"/>
              <w:bottom w:val="nil"/>
              <w:right w:val="nil"/>
            </w:tcBorders>
            <w:vAlign w:val="center"/>
            <w:hideMark/>
          </w:tcPr>
          <w:p w14:paraId="65A3508E"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45564654"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19D4F03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1.5419</w:t>
            </w:r>
          </w:p>
        </w:tc>
        <w:tc>
          <w:tcPr>
            <w:tcW w:w="0" w:type="auto"/>
            <w:noWrap/>
            <w:vAlign w:val="center"/>
            <w:hideMark/>
          </w:tcPr>
          <w:p w14:paraId="190F3BF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-0.0342</w:t>
            </w:r>
          </w:p>
        </w:tc>
        <w:tc>
          <w:tcPr>
            <w:tcW w:w="0" w:type="auto"/>
            <w:noWrap/>
            <w:vAlign w:val="center"/>
            <w:hideMark/>
          </w:tcPr>
          <w:p w14:paraId="787BC34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1.4052</w:t>
            </w:r>
          </w:p>
        </w:tc>
        <w:tc>
          <w:tcPr>
            <w:tcW w:w="0" w:type="auto"/>
            <w:noWrap/>
            <w:vAlign w:val="center"/>
            <w:hideMark/>
          </w:tcPr>
          <w:p w14:paraId="3F003BA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1.4079</w:t>
            </w:r>
          </w:p>
        </w:tc>
        <w:tc>
          <w:tcPr>
            <w:tcW w:w="0" w:type="auto"/>
            <w:noWrap/>
            <w:vAlign w:val="center"/>
            <w:hideMark/>
          </w:tcPr>
          <w:p w14:paraId="06FCADF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2.3067</w:t>
            </w:r>
            <w:r w:rsidRPr="00DF5B90">
              <w:rPr>
                <w:rFonts w:asciiTheme="minorHAnsi" w:eastAsia="Times New Roman" w:hAnsiTheme="minorHAnsi" w:cstheme="minorHAnsi"/>
                <w:color w:val="000000"/>
                <w:vertAlign w:val="superscript"/>
                <w:lang w:val="id-ID"/>
              </w:rPr>
              <w:t>**</w:t>
            </w:r>
          </w:p>
        </w:tc>
        <w:tc>
          <w:tcPr>
            <w:tcW w:w="1452" w:type="dxa"/>
            <w:noWrap/>
            <w:vAlign w:val="center"/>
            <w:hideMark/>
          </w:tcPr>
          <w:p w14:paraId="26AA96B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9.0120</w:t>
            </w:r>
            <w:r w:rsidRPr="00DF5B90">
              <w:rPr>
                <w:rFonts w:asciiTheme="minorHAnsi" w:eastAsia="Times New Roman" w:hAnsiTheme="minorHAnsi" w:cstheme="minorHAnsi"/>
                <w:color w:val="000000"/>
                <w:vertAlign w:val="superscript"/>
                <w:lang w:val="id-ID"/>
              </w:rPr>
              <w:t>***</w:t>
            </w:r>
          </w:p>
        </w:tc>
      </w:tr>
      <w:tr w:rsidR="00DF5B90" w:rsidRPr="00DF5B90" w14:paraId="77D87767" w14:textId="77777777" w:rsidTr="00DF5B90">
        <w:trPr>
          <w:trHeight w:val="300"/>
          <w:jc w:val="center"/>
        </w:trPr>
        <w:tc>
          <w:tcPr>
            <w:tcW w:w="0" w:type="auto"/>
            <w:vMerge/>
            <w:tcBorders>
              <w:top w:val="single" w:sz="4" w:space="0" w:color="auto"/>
              <w:left w:val="nil"/>
              <w:bottom w:val="nil"/>
              <w:right w:val="nil"/>
            </w:tcBorders>
            <w:vAlign w:val="center"/>
            <w:hideMark/>
          </w:tcPr>
          <w:p w14:paraId="38AFE3FA"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4EC9B647"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noWrap/>
            <w:vAlign w:val="center"/>
            <w:hideMark/>
          </w:tcPr>
          <w:p w14:paraId="2B628E1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0.1231</w:t>
            </w:r>
          </w:p>
        </w:tc>
        <w:tc>
          <w:tcPr>
            <w:tcW w:w="0" w:type="auto"/>
            <w:noWrap/>
            <w:vAlign w:val="center"/>
            <w:hideMark/>
          </w:tcPr>
          <w:p w14:paraId="7EF11EE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0.9727</w:t>
            </w:r>
          </w:p>
        </w:tc>
        <w:tc>
          <w:tcPr>
            <w:tcW w:w="0" w:type="auto"/>
            <w:noWrap/>
            <w:vAlign w:val="center"/>
            <w:hideMark/>
          </w:tcPr>
          <w:p w14:paraId="033C7AD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0.1599</w:t>
            </w:r>
          </w:p>
        </w:tc>
        <w:tc>
          <w:tcPr>
            <w:tcW w:w="0" w:type="auto"/>
            <w:noWrap/>
            <w:vAlign w:val="center"/>
            <w:hideMark/>
          </w:tcPr>
          <w:p w14:paraId="4242211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0.1592</w:t>
            </w:r>
          </w:p>
        </w:tc>
        <w:tc>
          <w:tcPr>
            <w:tcW w:w="0" w:type="auto"/>
            <w:noWrap/>
            <w:vAlign w:val="center"/>
            <w:hideMark/>
          </w:tcPr>
          <w:p w14:paraId="7DFB462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0.0211</w:t>
            </w:r>
          </w:p>
        </w:tc>
        <w:tc>
          <w:tcPr>
            <w:tcW w:w="1452" w:type="dxa"/>
            <w:noWrap/>
            <w:vAlign w:val="center"/>
            <w:hideMark/>
          </w:tcPr>
          <w:p w14:paraId="2BBFCAE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1129E216" w14:textId="77777777" w:rsidTr="00DF5B90">
        <w:trPr>
          <w:trHeight w:val="300"/>
          <w:jc w:val="center"/>
        </w:trPr>
        <w:tc>
          <w:tcPr>
            <w:tcW w:w="0" w:type="auto"/>
            <w:vMerge w:val="restart"/>
            <w:tcBorders>
              <w:top w:val="single" w:sz="4" w:space="0" w:color="auto"/>
              <w:left w:val="nil"/>
              <w:bottom w:val="single" w:sz="4" w:space="0" w:color="000000"/>
              <w:right w:val="nil"/>
            </w:tcBorders>
            <w:noWrap/>
            <w:vAlign w:val="center"/>
            <w:hideMark/>
          </w:tcPr>
          <w:p w14:paraId="4669A90C"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STI</w:t>
            </w:r>
          </w:p>
        </w:tc>
        <w:tc>
          <w:tcPr>
            <w:tcW w:w="0" w:type="auto"/>
            <w:tcBorders>
              <w:top w:val="single" w:sz="4" w:space="0" w:color="auto"/>
              <w:left w:val="nil"/>
              <w:bottom w:val="nil"/>
              <w:right w:val="nil"/>
            </w:tcBorders>
            <w:noWrap/>
            <w:vAlign w:val="center"/>
            <w:hideMark/>
          </w:tcPr>
          <w:p w14:paraId="5E870A4C"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7DA2F6B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0.0006</w:t>
            </w:r>
          </w:p>
        </w:tc>
        <w:tc>
          <w:tcPr>
            <w:tcW w:w="0" w:type="auto"/>
            <w:tcBorders>
              <w:top w:val="single" w:sz="4" w:space="0" w:color="auto"/>
              <w:left w:val="nil"/>
              <w:bottom w:val="nil"/>
              <w:right w:val="nil"/>
            </w:tcBorders>
            <w:noWrap/>
            <w:vAlign w:val="center"/>
            <w:hideMark/>
          </w:tcPr>
          <w:p w14:paraId="6FE1083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-0.0010</w:t>
            </w:r>
          </w:p>
        </w:tc>
        <w:tc>
          <w:tcPr>
            <w:tcW w:w="0" w:type="auto"/>
            <w:tcBorders>
              <w:top w:val="single" w:sz="4" w:space="0" w:color="auto"/>
              <w:left w:val="nil"/>
              <w:bottom w:val="nil"/>
              <w:right w:val="nil"/>
            </w:tcBorders>
            <w:noWrap/>
            <w:vAlign w:val="center"/>
            <w:hideMark/>
          </w:tcPr>
          <w:p w14:paraId="2705893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single" w:sz="4" w:space="0" w:color="auto"/>
              <w:left w:val="nil"/>
              <w:bottom w:val="nil"/>
              <w:right w:val="nil"/>
            </w:tcBorders>
            <w:noWrap/>
            <w:vAlign w:val="center"/>
            <w:hideMark/>
          </w:tcPr>
          <w:p w14:paraId="1A6EBFD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0.1664</w:t>
            </w:r>
          </w:p>
        </w:tc>
        <w:tc>
          <w:tcPr>
            <w:tcW w:w="0" w:type="auto"/>
            <w:tcBorders>
              <w:top w:val="single" w:sz="4" w:space="0" w:color="auto"/>
              <w:left w:val="nil"/>
              <w:bottom w:val="nil"/>
              <w:right w:val="nil"/>
            </w:tcBorders>
            <w:noWrap/>
            <w:vAlign w:val="center"/>
            <w:hideMark/>
          </w:tcPr>
          <w:p w14:paraId="25C2EE1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0.5837</w:t>
            </w:r>
          </w:p>
        </w:tc>
        <w:tc>
          <w:tcPr>
            <w:tcW w:w="1452" w:type="dxa"/>
            <w:tcBorders>
              <w:top w:val="single" w:sz="4" w:space="0" w:color="auto"/>
              <w:left w:val="nil"/>
              <w:bottom w:val="nil"/>
              <w:right w:val="nil"/>
            </w:tcBorders>
            <w:vAlign w:val="center"/>
            <w:hideMark/>
          </w:tcPr>
          <w:p w14:paraId="4235487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1.4240</w:t>
            </w:r>
          </w:p>
        </w:tc>
      </w:tr>
      <w:tr w:rsidR="00DF5B90" w:rsidRPr="00DF5B90" w14:paraId="0BBB725B" w14:textId="77777777" w:rsidTr="00DF5B90">
        <w:trPr>
          <w:trHeight w:val="300"/>
          <w:jc w:val="center"/>
        </w:trPr>
        <w:tc>
          <w:tcPr>
            <w:tcW w:w="0" w:type="auto"/>
            <w:vMerge/>
            <w:tcBorders>
              <w:top w:val="single" w:sz="4" w:space="0" w:color="auto"/>
              <w:left w:val="nil"/>
              <w:bottom w:val="single" w:sz="4" w:space="0" w:color="000000"/>
              <w:right w:val="nil"/>
            </w:tcBorders>
            <w:vAlign w:val="center"/>
            <w:hideMark/>
          </w:tcPr>
          <w:p w14:paraId="0ED32C34"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565381EF"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5CAC8CC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1.9294</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62A0CDA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-3.4358</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4DFDB3E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1.4165</w:t>
            </w:r>
          </w:p>
        </w:tc>
        <w:tc>
          <w:tcPr>
            <w:tcW w:w="0" w:type="auto"/>
            <w:noWrap/>
            <w:vAlign w:val="center"/>
            <w:hideMark/>
          </w:tcPr>
          <w:p w14:paraId="18EBFFB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1.5441</w:t>
            </w:r>
          </w:p>
        </w:tc>
        <w:tc>
          <w:tcPr>
            <w:tcW w:w="0" w:type="auto"/>
            <w:noWrap/>
            <w:vAlign w:val="center"/>
            <w:hideMark/>
          </w:tcPr>
          <w:p w14:paraId="30BDAB9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2.3986</w:t>
            </w:r>
            <w:r w:rsidRPr="00DF5B90">
              <w:rPr>
                <w:rFonts w:asciiTheme="minorHAnsi" w:eastAsia="Times New Roman" w:hAnsiTheme="minorHAnsi" w:cstheme="minorHAnsi"/>
                <w:color w:val="000000"/>
                <w:vertAlign w:val="superscript"/>
                <w:lang w:val="id-ID"/>
              </w:rPr>
              <w:t>**</w:t>
            </w:r>
          </w:p>
        </w:tc>
        <w:tc>
          <w:tcPr>
            <w:tcW w:w="1452" w:type="dxa"/>
            <w:noWrap/>
            <w:vAlign w:val="center"/>
            <w:hideMark/>
          </w:tcPr>
          <w:p w14:paraId="776C2B0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8.3046</w:t>
            </w:r>
            <w:r w:rsidRPr="00DF5B90">
              <w:rPr>
                <w:rFonts w:asciiTheme="minorHAnsi" w:eastAsia="Times New Roman" w:hAnsiTheme="minorHAnsi" w:cstheme="minorHAnsi"/>
                <w:color w:val="000000"/>
                <w:vertAlign w:val="superscript"/>
                <w:lang w:val="id-ID"/>
              </w:rPr>
              <w:t>***</w:t>
            </w:r>
          </w:p>
        </w:tc>
      </w:tr>
      <w:tr w:rsidR="00DF5B90" w:rsidRPr="00DF5B90" w14:paraId="4DC0F0DA" w14:textId="77777777" w:rsidTr="00DF5B90">
        <w:trPr>
          <w:trHeight w:val="300"/>
          <w:jc w:val="center"/>
        </w:trPr>
        <w:tc>
          <w:tcPr>
            <w:tcW w:w="0" w:type="auto"/>
            <w:vMerge/>
            <w:tcBorders>
              <w:top w:val="single" w:sz="4" w:space="0" w:color="auto"/>
              <w:left w:val="nil"/>
              <w:bottom w:val="single" w:sz="4" w:space="0" w:color="000000"/>
              <w:right w:val="nil"/>
            </w:tcBorders>
            <w:vAlign w:val="center"/>
            <w:hideMark/>
          </w:tcPr>
          <w:p w14:paraId="311EB333"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01CD7077"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41603CE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0.0537</w:t>
            </w:r>
          </w:p>
        </w:tc>
        <w:tc>
          <w:tcPr>
            <w:tcW w:w="0" w:type="auto"/>
            <w:tcBorders>
              <w:top w:val="nil"/>
              <w:left w:val="nil"/>
              <w:bottom w:val="single" w:sz="4" w:space="0" w:color="auto"/>
              <w:right w:val="nil"/>
            </w:tcBorders>
            <w:noWrap/>
            <w:vAlign w:val="center"/>
            <w:hideMark/>
          </w:tcPr>
          <w:p w14:paraId="240D423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0.0006</w:t>
            </w:r>
          </w:p>
        </w:tc>
        <w:tc>
          <w:tcPr>
            <w:tcW w:w="0" w:type="auto"/>
            <w:tcBorders>
              <w:top w:val="nil"/>
              <w:left w:val="nil"/>
              <w:bottom w:val="single" w:sz="4" w:space="0" w:color="auto"/>
              <w:right w:val="nil"/>
            </w:tcBorders>
            <w:noWrap/>
            <w:vAlign w:val="center"/>
            <w:hideMark/>
          </w:tcPr>
          <w:p w14:paraId="2BB0F4D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0.1566</w:t>
            </w:r>
          </w:p>
        </w:tc>
        <w:tc>
          <w:tcPr>
            <w:tcW w:w="0" w:type="auto"/>
            <w:tcBorders>
              <w:top w:val="nil"/>
              <w:left w:val="nil"/>
              <w:bottom w:val="single" w:sz="4" w:space="0" w:color="auto"/>
              <w:right w:val="nil"/>
            </w:tcBorders>
            <w:noWrap/>
            <w:vAlign w:val="center"/>
            <w:hideMark/>
          </w:tcPr>
          <w:p w14:paraId="3EAEC2C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0.1226</w:t>
            </w:r>
          </w:p>
        </w:tc>
        <w:tc>
          <w:tcPr>
            <w:tcW w:w="0" w:type="auto"/>
            <w:tcBorders>
              <w:top w:val="nil"/>
              <w:left w:val="nil"/>
              <w:bottom w:val="single" w:sz="4" w:space="0" w:color="auto"/>
              <w:right w:val="nil"/>
            </w:tcBorders>
            <w:noWrap/>
            <w:vAlign w:val="center"/>
            <w:hideMark/>
          </w:tcPr>
          <w:p w14:paraId="5173869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0.0165</w:t>
            </w:r>
          </w:p>
        </w:tc>
        <w:tc>
          <w:tcPr>
            <w:tcW w:w="1452" w:type="dxa"/>
            <w:tcBorders>
              <w:top w:val="nil"/>
              <w:left w:val="nil"/>
              <w:bottom w:val="single" w:sz="4" w:space="0" w:color="auto"/>
              <w:right w:val="nil"/>
            </w:tcBorders>
            <w:noWrap/>
            <w:vAlign w:val="center"/>
            <w:hideMark/>
          </w:tcPr>
          <w:p w14:paraId="57FE319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0244CC0D" w14:textId="77777777" w:rsidTr="00DF5B90">
        <w:trPr>
          <w:trHeight w:val="300"/>
          <w:jc w:val="center"/>
        </w:trPr>
        <w:tc>
          <w:tcPr>
            <w:tcW w:w="0" w:type="auto"/>
            <w:vMerge w:val="restart"/>
            <w:tcBorders>
              <w:top w:val="nil"/>
              <w:left w:val="nil"/>
              <w:bottom w:val="single" w:sz="4" w:space="0" w:color="auto"/>
              <w:right w:val="nil"/>
            </w:tcBorders>
            <w:noWrap/>
            <w:vAlign w:val="center"/>
            <w:hideMark/>
          </w:tcPr>
          <w:p w14:paraId="7DE4BF39"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SETI</w:t>
            </w:r>
          </w:p>
        </w:tc>
        <w:tc>
          <w:tcPr>
            <w:tcW w:w="0" w:type="auto"/>
            <w:noWrap/>
            <w:vAlign w:val="center"/>
            <w:hideMark/>
          </w:tcPr>
          <w:p w14:paraId="4B88DA5A"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noWrap/>
            <w:vAlign w:val="center"/>
            <w:hideMark/>
          </w:tcPr>
          <w:p w14:paraId="5C2D973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0.0005</w:t>
            </w:r>
          </w:p>
        </w:tc>
        <w:tc>
          <w:tcPr>
            <w:tcW w:w="0" w:type="auto"/>
            <w:noWrap/>
            <w:vAlign w:val="center"/>
            <w:hideMark/>
          </w:tcPr>
          <w:p w14:paraId="5C0F281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-0.0012</w:t>
            </w:r>
          </w:p>
        </w:tc>
        <w:tc>
          <w:tcPr>
            <w:tcW w:w="0" w:type="auto"/>
            <w:noWrap/>
            <w:vAlign w:val="center"/>
            <w:hideMark/>
          </w:tcPr>
          <w:p w14:paraId="4C81F80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noWrap/>
            <w:vAlign w:val="center"/>
            <w:hideMark/>
          </w:tcPr>
          <w:p w14:paraId="3114560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0.2401</w:t>
            </w:r>
          </w:p>
        </w:tc>
        <w:tc>
          <w:tcPr>
            <w:tcW w:w="0" w:type="auto"/>
            <w:noWrap/>
            <w:vAlign w:val="center"/>
            <w:hideMark/>
          </w:tcPr>
          <w:p w14:paraId="7434C9D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0.4169</w:t>
            </w:r>
          </w:p>
        </w:tc>
        <w:tc>
          <w:tcPr>
            <w:tcW w:w="1452" w:type="dxa"/>
            <w:vAlign w:val="center"/>
            <w:hideMark/>
          </w:tcPr>
          <w:p w14:paraId="2831318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1.6160</w:t>
            </w:r>
          </w:p>
        </w:tc>
      </w:tr>
      <w:tr w:rsidR="00DF5B90" w:rsidRPr="00DF5B90" w14:paraId="7F5C8B90" w14:textId="77777777" w:rsidTr="00DF5B90">
        <w:trPr>
          <w:trHeight w:val="300"/>
          <w:jc w:val="center"/>
        </w:trPr>
        <w:tc>
          <w:tcPr>
            <w:tcW w:w="0" w:type="auto"/>
            <w:vMerge/>
            <w:tcBorders>
              <w:top w:val="nil"/>
              <w:left w:val="nil"/>
              <w:bottom w:val="single" w:sz="4" w:space="0" w:color="auto"/>
              <w:right w:val="nil"/>
            </w:tcBorders>
            <w:vAlign w:val="center"/>
            <w:hideMark/>
          </w:tcPr>
          <w:p w14:paraId="2454CC51"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642EFEBE"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79EF9C2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1.6441</w:t>
            </w:r>
          </w:p>
        </w:tc>
        <w:tc>
          <w:tcPr>
            <w:tcW w:w="0" w:type="auto"/>
            <w:noWrap/>
            <w:vAlign w:val="center"/>
            <w:hideMark/>
          </w:tcPr>
          <w:p w14:paraId="7846A24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-4.2722</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48CBEEB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1.7640</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529268A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1.9002</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55C5BE0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1.6734</w:t>
            </w:r>
            <w:r w:rsidRPr="00DF5B90">
              <w:rPr>
                <w:rFonts w:asciiTheme="minorHAnsi" w:eastAsia="Times New Roman" w:hAnsiTheme="minorHAnsi" w:cstheme="minorHAnsi"/>
                <w:color w:val="000000"/>
                <w:vertAlign w:val="superscript"/>
                <w:lang w:val="id-ID"/>
              </w:rPr>
              <w:t>*</w:t>
            </w:r>
          </w:p>
        </w:tc>
        <w:tc>
          <w:tcPr>
            <w:tcW w:w="1452" w:type="dxa"/>
            <w:noWrap/>
            <w:vAlign w:val="center"/>
            <w:hideMark/>
          </w:tcPr>
          <w:p w14:paraId="1E174FC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8.3255</w:t>
            </w:r>
            <w:r w:rsidRPr="00DF5B90">
              <w:rPr>
                <w:rFonts w:asciiTheme="minorHAnsi" w:eastAsia="Times New Roman" w:hAnsiTheme="minorHAnsi" w:cstheme="minorHAnsi"/>
                <w:color w:val="000000"/>
                <w:vertAlign w:val="superscript"/>
                <w:lang w:val="id-ID"/>
              </w:rPr>
              <w:t>***</w:t>
            </w:r>
          </w:p>
        </w:tc>
      </w:tr>
      <w:tr w:rsidR="00DF5B90" w:rsidRPr="00DF5B90" w14:paraId="13DF4B32" w14:textId="77777777" w:rsidTr="00DF5B90">
        <w:trPr>
          <w:trHeight w:val="300"/>
          <w:jc w:val="center"/>
        </w:trPr>
        <w:tc>
          <w:tcPr>
            <w:tcW w:w="0" w:type="auto"/>
            <w:vMerge/>
            <w:tcBorders>
              <w:top w:val="nil"/>
              <w:left w:val="nil"/>
              <w:bottom w:val="single" w:sz="4" w:space="0" w:color="auto"/>
              <w:right w:val="nil"/>
            </w:tcBorders>
            <w:vAlign w:val="center"/>
            <w:hideMark/>
          </w:tcPr>
          <w:p w14:paraId="1C630056"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1D10A1CF"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221C4F6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0.1001</w:t>
            </w:r>
          </w:p>
        </w:tc>
        <w:tc>
          <w:tcPr>
            <w:tcW w:w="0" w:type="auto"/>
            <w:tcBorders>
              <w:top w:val="nil"/>
              <w:left w:val="nil"/>
              <w:bottom w:val="single" w:sz="4" w:space="0" w:color="auto"/>
              <w:right w:val="nil"/>
            </w:tcBorders>
            <w:noWrap/>
            <w:vAlign w:val="center"/>
            <w:hideMark/>
          </w:tcPr>
          <w:p w14:paraId="331DF32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nil"/>
              <w:left w:val="nil"/>
              <w:bottom w:val="single" w:sz="4" w:space="0" w:color="auto"/>
              <w:right w:val="nil"/>
            </w:tcBorders>
            <w:noWrap/>
            <w:vAlign w:val="center"/>
            <w:hideMark/>
          </w:tcPr>
          <w:p w14:paraId="1F064B3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0.0777</w:t>
            </w:r>
          </w:p>
        </w:tc>
        <w:tc>
          <w:tcPr>
            <w:tcW w:w="0" w:type="auto"/>
            <w:tcBorders>
              <w:top w:val="nil"/>
              <w:left w:val="nil"/>
              <w:bottom w:val="single" w:sz="4" w:space="0" w:color="auto"/>
              <w:right w:val="nil"/>
            </w:tcBorders>
            <w:noWrap/>
            <w:vAlign w:val="center"/>
            <w:hideMark/>
          </w:tcPr>
          <w:p w14:paraId="4F7FE58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0.0574</w:t>
            </w:r>
          </w:p>
        </w:tc>
        <w:tc>
          <w:tcPr>
            <w:tcW w:w="0" w:type="auto"/>
            <w:tcBorders>
              <w:top w:val="nil"/>
              <w:left w:val="nil"/>
              <w:bottom w:val="single" w:sz="4" w:space="0" w:color="auto"/>
              <w:right w:val="nil"/>
            </w:tcBorders>
            <w:noWrap/>
            <w:vAlign w:val="center"/>
            <w:hideMark/>
          </w:tcPr>
          <w:p w14:paraId="78954B8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0.0943</w:t>
            </w:r>
          </w:p>
        </w:tc>
        <w:tc>
          <w:tcPr>
            <w:tcW w:w="1452" w:type="dxa"/>
            <w:tcBorders>
              <w:top w:val="nil"/>
              <w:left w:val="nil"/>
              <w:bottom w:val="single" w:sz="4" w:space="0" w:color="auto"/>
              <w:right w:val="nil"/>
            </w:tcBorders>
            <w:noWrap/>
            <w:vAlign w:val="center"/>
            <w:hideMark/>
          </w:tcPr>
          <w:p w14:paraId="127E571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23DDC972" w14:textId="77777777" w:rsidTr="00DF5B90">
        <w:trPr>
          <w:trHeight w:val="300"/>
          <w:jc w:val="center"/>
        </w:trPr>
        <w:tc>
          <w:tcPr>
            <w:tcW w:w="0" w:type="auto"/>
            <w:vMerge w:val="restart"/>
            <w:tcBorders>
              <w:top w:val="single" w:sz="4" w:space="0" w:color="auto"/>
              <w:left w:val="nil"/>
              <w:bottom w:val="single" w:sz="4" w:space="0" w:color="auto"/>
              <w:right w:val="nil"/>
            </w:tcBorders>
            <w:noWrap/>
            <w:vAlign w:val="center"/>
            <w:hideMark/>
          </w:tcPr>
          <w:p w14:paraId="78548817"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VN 30</w:t>
            </w:r>
          </w:p>
        </w:tc>
        <w:tc>
          <w:tcPr>
            <w:tcW w:w="0" w:type="auto"/>
            <w:tcBorders>
              <w:top w:val="single" w:sz="4" w:space="0" w:color="auto"/>
              <w:left w:val="nil"/>
              <w:bottom w:val="nil"/>
              <w:right w:val="nil"/>
            </w:tcBorders>
            <w:noWrap/>
            <w:vAlign w:val="center"/>
            <w:hideMark/>
          </w:tcPr>
          <w:p w14:paraId="5DF5CCC5"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39BD897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0.0005</w:t>
            </w:r>
          </w:p>
        </w:tc>
        <w:tc>
          <w:tcPr>
            <w:tcW w:w="0" w:type="auto"/>
            <w:tcBorders>
              <w:top w:val="single" w:sz="4" w:space="0" w:color="auto"/>
              <w:left w:val="nil"/>
              <w:bottom w:val="nil"/>
              <w:right w:val="nil"/>
            </w:tcBorders>
            <w:noWrap/>
            <w:vAlign w:val="center"/>
            <w:hideMark/>
          </w:tcPr>
          <w:p w14:paraId="37507E2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0.0002</w:t>
            </w:r>
          </w:p>
        </w:tc>
        <w:tc>
          <w:tcPr>
            <w:tcW w:w="0" w:type="auto"/>
            <w:tcBorders>
              <w:top w:val="single" w:sz="4" w:space="0" w:color="auto"/>
              <w:left w:val="nil"/>
              <w:bottom w:val="nil"/>
              <w:right w:val="nil"/>
            </w:tcBorders>
            <w:noWrap/>
            <w:vAlign w:val="center"/>
            <w:hideMark/>
          </w:tcPr>
          <w:p w14:paraId="2603FCF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single" w:sz="4" w:space="0" w:color="auto"/>
              <w:left w:val="nil"/>
              <w:bottom w:val="nil"/>
              <w:right w:val="nil"/>
            </w:tcBorders>
            <w:noWrap/>
            <w:vAlign w:val="center"/>
            <w:hideMark/>
          </w:tcPr>
          <w:p w14:paraId="020CCAC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0.1304</w:t>
            </w:r>
          </w:p>
        </w:tc>
        <w:tc>
          <w:tcPr>
            <w:tcW w:w="0" w:type="auto"/>
            <w:tcBorders>
              <w:top w:val="single" w:sz="4" w:space="0" w:color="auto"/>
              <w:left w:val="nil"/>
              <w:bottom w:val="nil"/>
              <w:right w:val="nil"/>
            </w:tcBorders>
            <w:noWrap/>
            <w:vAlign w:val="center"/>
            <w:hideMark/>
          </w:tcPr>
          <w:p w14:paraId="3FCB0FF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0.6195</w:t>
            </w:r>
          </w:p>
        </w:tc>
        <w:tc>
          <w:tcPr>
            <w:tcW w:w="1452" w:type="dxa"/>
            <w:tcBorders>
              <w:top w:val="single" w:sz="4" w:space="0" w:color="auto"/>
              <w:left w:val="nil"/>
              <w:bottom w:val="nil"/>
              <w:right w:val="nil"/>
            </w:tcBorders>
            <w:vAlign w:val="center"/>
            <w:hideMark/>
          </w:tcPr>
          <w:p w14:paraId="6C30B6B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1.4090</w:t>
            </w:r>
          </w:p>
        </w:tc>
      </w:tr>
      <w:tr w:rsidR="00DF5B90" w:rsidRPr="00DF5B90" w14:paraId="0498060C"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0E85DAC8"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4026DF42"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2E4FAE1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1.5454</w:t>
            </w:r>
          </w:p>
        </w:tc>
        <w:tc>
          <w:tcPr>
            <w:tcW w:w="0" w:type="auto"/>
            <w:noWrap/>
            <w:vAlign w:val="center"/>
            <w:hideMark/>
          </w:tcPr>
          <w:p w14:paraId="41D643E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0.6863</w:t>
            </w:r>
          </w:p>
        </w:tc>
        <w:tc>
          <w:tcPr>
            <w:tcW w:w="0" w:type="auto"/>
            <w:noWrap/>
            <w:vAlign w:val="center"/>
            <w:hideMark/>
          </w:tcPr>
          <w:p w14:paraId="53F8D54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1.2980</w:t>
            </w:r>
          </w:p>
        </w:tc>
        <w:tc>
          <w:tcPr>
            <w:tcW w:w="0" w:type="auto"/>
            <w:noWrap/>
            <w:vAlign w:val="center"/>
            <w:hideMark/>
          </w:tcPr>
          <w:p w14:paraId="0C1BF4F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1.3048</w:t>
            </w:r>
          </w:p>
        </w:tc>
        <w:tc>
          <w:tcPr>
            <w:tcW w:w="0" w:type="auto"/>
            <w:noWrap/>
            <w:vAlign w:val="center"/>
            <w:hideMark/>
          </w:tcPr>
          <w:p w14:paraId="27927E1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2.4260</w:t>
            </w:r>
            <w:r w:rsidRPr="00DF5B90">
              <w:rPr>
                <w:rFonts w:asciiTheme="minorHAnsi" w:eastAsia="Times New Roman" w:hAnsiTheme="minorHAnsi" w:cstheme="minorHAnsi"/>
                <w:color w:val="000000"/>
                <w:vertAlign w:val="superscript"/>
                <w:lang w:val="id-ID"/>
              </w:rPr>
              <w:t>**</w:t>
            </w:r>
          </w:p>
        </w:tc>
        <w:tc>
          <w:tcPr>
            <w:tcW w:w="1452" w:type="dxa"/>
            <w:noWrap/>
            <w:vAlign w:val="center"/>
            <w:hideMark/>
          </w:tcPr>
          <w:p w14:paraId="39FB9BE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9.1519</w:t>
            </w:r>
            <w:r w:rsidRPr="00DF5B90">
              <w:rPr>
                <w:rFonts w:asciiTheme="minorHAnsi" w:eastAsia="Times New Roman" w:hAnsiTheme="minorHAnsi" w:cstheme="minorHAnsi"/>
                <w:color w:val="000000"/>
                <w:vertAlign w:val="superscript"/>
                <w:lang w:val="id-ID"/>
              </w:rPr>
              <w:t>***</w:t>
            </w:r>
          </w:p>
        </w:tc>
      </w:tr>
      <w:tr w:rsidR="00DF5B90" w:rsidRPr="00DF5B90" w14:paraId="2C463AA6"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572C9EC6"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65D3F668"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0FA0E3E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0.1223</w:t>
            </w:r>
          </w:p>
        </w:tc>
        <w:tc>
          <w:tcPr>
            <w:tcW w:w="0" w:type="auto"/>
            <w:tcBorders>
              <w:top w:val="nil"/>
              <w:left w:val="nil"/>
              <w:bottom w:val="single" w:sz="4" w:space="0" w:color="auto"/>
              <w:right w:val="nil"/>
            </w:tcBorders>
            <w:noWrap/>
            <w:vAlign w:val="center"/>
            <w:hideMark/>
          </w:tcPr>
          <w:p w14:paraId="2A52D80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0.4925</w:t>
            </w:r>
          </w:p>
        </w:tc>
        <w:tc>
          <w:tcPr>
            <w:tcW w:w="0" w:type="auto"/>
            <w:tcBorders>
              <w:top w:val="nil"/>
              <w:left w:val="nil"/>
              <w:bottom w:val="single" w:sz="4" w:space="0" w:color="auto"/>
              <w:right w:val="nil"/>
            </w:tcBorders>
            <w:noWrap/>
            <w:vAlign w:val="center"/>
            <w:hideMark/>
          </w:tcPr>
          <w:p w14:paraId="47363B3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0.1943</w:t>
            </w:r>
          </w:p>
        </w:tc>
        <w:tc>
          <w:tcPr>
            <w:tcW w:w="0" w:type="auto"/>
            <w:tcBorders>
              <w:top w:val="nil"/>
              <w:left w:val="nil"/>
              <w:bottom w:val="single" w:sz="4" w:space="0" w:color="auto"/>
              <w:right w:val="nil"/>
            </w:tcBorders>
            <w:noWrap/>
            <w:vAlign w:val="center"/>
            <w:hideMark/>
          </w:tcPr>
          <w:p w14:paraId="068B83E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0.1919</w:t>
            </w:r>
          </w:p>
        </w:tc>
        <w:tc>
          <w:tcPr>
            <w:tcW w:w="0" w:type="auto"/>
            <w:tcBorders>
              <w:top w:val="nil"/>
              <w:left w:val="nil"/>
              <w:bottom w:val="single" w:sz="4" w:space="0" w:color="auto"/>
              <w:right w:val="nil"/>
            </w:tcBorders>
            <w:noWrap/>
            <w:vAlign w:val="center"/>
            <w:hideMark/>
          </w:tcPr>
          <w:p w14:paraId="3151031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0.0153</w:t>
            </w:r>
          </w:p>
        </w:tc>
        <w:tc>
          <w:tcPr>
            <w:tcW w:w="1452" w:type="dxa"/>
            <w:tcBorders>
              <w:top w:val="nil"/>
              <w:left w:val="nil"/>
              <w:bottom w:val="single" w:sz="4" w:space="0" w:color="auto"/>
              <w:right w:val="nil"/>
            </w:tcBorders>
            <w:noWrap/>
            <w:vAlign w:val="center"/>
            <w:hideMark/>
          </w:tcPr>
          <w:p w14:paraId="0BF0B46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59E795FB" w14:textId="77777777" w:rsidTr="00DF5B90">
        <w:trPr>
          <w:trHeight w:val="300"/>
          <w:jc w:val="center"/>
        </w:trPr>
        <w:tc>
          <w:tcPr>
            <w:tcW w:w="0" w:type="auto"/>
            <w:vMerge w:val="restart"/>
            <w:tcBorders>
              <w:top w:val="single" w:sz="4" w:space="0" w:color="auto"/>
              <w:left w:val="nil"/>
              <w:bottom w:val="nil"/>
              <w:right w:val="nil"/>
            </w:tcBorders>
            <w:noWrap/>
            <w:vAlign w:val="center"/>
            <w:hideMark/>
          </w:tcPr>
          <w:p w14:paraId="1D44BA9D"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LSX</w:t>
            </w:r>
          </w:p>
        </w:tc>
        <w:tc>
          <w:tcPr>
            <w:tcW w:w="0" w:type="auto"/>
            <w:tcBorders>
              <w:top w:val="single" w:sz="4" w:space="0" w:color="auto"/>
              <w:left w:val="nil"/>
              <w:bottom w:val="nil"/>
              <w:right w:val="nil"/>
            </w:tcBorders>
            <w:noWrap/>
            <w:vAlign w:val="center"/>
            <w:hideMark/>
          </w:tcPr>
          <w:p w14:paraId="70B7D75F"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57CE5C8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0.0004</w:t>
            </w:r>
          </w:p>
        </w:tc>
        <w:tc>
          <w:tcPr>
            <w:tcW w:w="0" w:type="auto"/>
            <w:tcBorders>
              <w:top w:val="single" w:sz="4" w:space="0" w:color="auto"/>
              <w:left w:val="nil"/>
              <w:bottom w:val="nil"/>
              <w:right w:val="nil"/>
            </w:tcBorders>
            <w:noWrap/>
            <w:vAlign w:val="center"/>
            <w:hideMark/>
          </w:tcPr>
          <w:p w14:paraId="22BFD0F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0.0005</w:t>
            </w:r>
          </w:p>
        </w:tc>
        <w:tc>
          <w:tcPr>
            <w:tcW w:w="0" w:type="auto"/>
            <w:tcBorders>
              <w:top w:val="single" w:sz="4" w:space="0" w:color="auto"/>
              <w:left w:val="nil"/>
              <w:bottom w:val="nil"/>
              <w:right w:val="nil"/>
            </w:tcBorders>
            <w:noWrap/>
            <w:vAlign w:val="center"/>
            <w:hideMark/>
          </w:tcPr>
          <w:p w14:paraId="33BFDF6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single" w:sz="4" w:space="0" w:color="auto"/>
              <w:left w:val="nil"/>
              <w:bottom w:val="nil"/>
              <w:right w:val="nil"/>
            </w:tcBorders>
            <w:noWrap/>
            <w:vAlign w:val="center"/>
            <w:hideMark/>
          </w:tcPr>
          <w:p w14:paraId="62EB610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0.1242</w:t>
            </w:r>
          </w:p>
        </w:tc>
        <w:tc>
          <w:tcPr>
            <w:tcW w:w="0" w:type="auto"/>
            <w:tcBorders>
              <w:top w:val="single" w:sz="4" w:space="0" w:color="auto"/>
              <w:left w:val="nil"/>
              <w:bottom w:val="nil"/>
              <w:right w:val="nil"/>
            </w:tcBorders>
            <w:noWrap/>
            <w:vAlign w:val="center"/>
            <w:hideMark/>
          </w:tcPr>
          <w:p w14:paraId="7AF6B3E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0.6342</w:t>
            </w:r>
          </w:p>
        </w:tc>
        <w:tc>
          <w:tcPr>
            <w:tcW w:w="1452" w:type="dxa"/>
            <w:tcBorders>
              <w:top w:val="single" w:sz="4" w:space="0" w:color="auto"/>
              <w:left w:val="nil"/>
              <w:bottom w:val="nil"/>
              <w:right w:val="nil"/>
            </w:tcBorders>
            <w:vAlign w:val="center"/>
            <w:hideMark/>
          </w:tcPr>
          <w:p w14:paraId="65611EC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1.4025</w:t>
            </w:r>
          </w:p>
        </w:tc>
      </w:tr>
      <w:tr w:rsidR="00DF5B90" w:rsidRPr="00DF5B90" w14:paraId="39A4B75F" w14:textId="77777777" w:rsidTr="00DF5B90">
        <w:trPr>
          <w:trHeight w:val="300"/>
          <w:jc w:val="center"/>
        </w:trPr>
        <w:tc>
          <w:tcPr>
            <w:tcW w:w="0" w:type="auto"/>
            <w:vMerge/>
            <w:tcBorders>
              <w:top w:val="single" w:sz="4" w:space="0" w:color="auto"/>
              <w:left w:val="nil"/>
              <w:bottom w:val="nil"/>
              <w:right w:val="nil"/>
            </w:tcBorders>
            <w:vAlign w:val="center"/>
            <w:hideMark/>
          </w:tcPr>
          <w:p w14:paraId="2471B386"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3900E064"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71AD257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1.3211</w:t>
            </w:r>
          </w:p>
        </w:tc>
        <w:tc>
          <w:tcPr>
            <w:tcW w:w="0" w:type="auto"/>
            <w:noWrap/>
            <w:vAlign w:val="center"/>
            <w:hideMark/>
          </w:tcPr>
          <w:p w14:paraId="1A82DE2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1.6056</w:t>
            </w:r>
          </w:p>
        </w:tc>
        <w:tc>
          <w:tcPr>
            <w:tcW w:w="0" w:type="auto"/>
            <w:noWrap/>
            <w:vAlign w:val="center"/>
            <w:hideMark/>
          </w:tcPr>
          <w:p w14:paraId="2990961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1.2465</w:t>
            </w:r>
          </w:p>
        </w:tc>
        <w:tc>
          <w:tcPr>
            <w:tcW w:w="0" w:type="auto"/>
            <w:noWrap/>
            <w:vAlign w:val="center"/>
            <w:hideMark/>
          </w:tcPr>
          <w:p w14:paraId="2ADAE51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1.3167</w:t>
            </w:r>
          </w:p>
        </w:tc>
        <w:tc>
          <w:tcPr>
            <w:tcW w:w="0" w:type="auto"/>
            <w:noWrap/>
            <w:vAlign w:val="center"/>
            <w:hideMark/>
          </w:tcPr>
          <w:p w14:paraId="2A93A36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2.4702</w:t>
            </w:r>
            <w:r w:rsidRPr="00DF5B90">
              <w:rPr>
                <w:rFonts w:asciiTheme="minorHAnsi" w:eastAsia="Times New Roman" w:hAnsiTheme="minorHAnsi" w:cstheme="minorHAnsi"/>
                <w:color w:val="000000"/>
                <w:vertAlign w:val="superscript"/>
                <w:lang w:val="id-ID"/>
              </w:rPr>
              <w:t>**</w:t>
            </w:r>
          </w:p>
        </w:tc>
        <w:tc>
          <w:tcPr>
            <w:tcW w:w="1452" w:type="dxa"/>
            <w:noWrap/>
            <w:vAlign w:val="center"/>
            <w:hideMark/>
          </w:tcPr>
          <w:p w14:paraId="7CF0B6E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9.0811</w:t>
            </w:r>
            <w:r w:rsidRPr="00DF5B90">
              <w:rPr>
                <w:rFonts w:asciiTheme="minorHAnsi" w:eastAsia="Times New Roman" w:hAnsiTheme="minorHAnsi" w:cstheme="minorHAnsi"/>
                <w:color w:val="000000"/>
                <w:vertAlign w:val="superscript"/>
                <w:lang w:val="id-ID"/>
              </w:rPr>
              <w:t>***</w:t>
            </w:r>
          </w:p>
        </w:tc>
      </w:tr>
      <w:tr w:rsidR="00DF5B90" w:rsidRPr="00DF5B90" w14:paraId="69F567A3" w14:textId="77777777" w:rsidTr="00DF5B90">
        <w:trPr>
          <w:trHeight w:val="300"/>
          <w:jc w:val="center"/>
        </w:trPr>
        <w:tc>
          <w:tcPr>
            <w:tcW w:w="0" w:type="auto"/>
            <w:vMerge/>
            <w:tcBorders>
              <w:top w:val="single" w:sz="4" w:space="0" w:color="auto"/>
              <w:left w:val="nil"/>
              <w:bottom w:val="nil"/>
              <w:right w:val="nil"/>
            </w:tcBorders>
            <w:vAlign w:val="center"/>
            <w:hideMark/>
          </w:tcPr>
          <w:p w14:paraId="7F1B850F"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5DCC9093"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noWrap/>
            <w:vAlign w:val="center"/>
            <w:hideMark/>
          </w:tcPr>
          <w:p w14:paraId="0BD3489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0.1865</w:t>
            </w:r>
          </w:p>
        </w:tc>
        <w:tc>
          <w:tcPr>
            <w:tcW w:w="0" w:type="auto"/>
            <w:noWrap/>
            <w:vAlign w:val="center"/>
            <w:hideMark/>
          </w:tcPr>
          <w:p w14:paraId="4395C0D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0.1084</w:t>
            </w:r>
          </w:p>
        </w:tc>
        <w:tc>
          <w:tcPr>
            <w:tcW w:w="0" w:type="auto"/>
            <w:noWrap/>
            <w:vAlign w:val="center"/>
            <w:hideMark/>
          </w:tcPr>
          <w:p w14:paraId="63140A7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0.2126</w:t>
            </w:r>
          </w:p>
        </w:tc>
        <w:tc>
          <w:tcPr>
            <w:tcW w:w="0" w:type="auto"/>
            <w:noWrap/>
            <w:vAlign w:val="center"/>
            <w:hideMark/>
          </w:tcPr>
          <w:p w14:paraId="12E1611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0.1879</w:t>
            </w:r>
          </w:p>
        </w:tc>
        <w:tc>
          <w:tcPr>
            <w:tcW w:w="0" w:type="auto"/>
            <w:noWrap/>
            <w:vAlign w:val="center"/>
            <w:hideMark/>
          </w:tcPr>
          <w:p w14:paraId="6B55EF7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0.0135</w:t>
            </w:r>
          </w:p>
        </w:tc>
        <w:tc>
          <w:tcPr>
            <w:tcW w:w="1452" w:type="dxa"/>
            <w:noWrap/>
            <w:vAlign w:val="center"/>
            <w:hideMark/>
          </w:tcPr>
          <w:p w14:paraId="5ACF9E3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45B3DEDD" w14:textId="77777777" w:rsidTr="00DF5B90">
        <w:trPr>
          <w:trHeight w:val="300"/>
          <w:jc w:val="center"/>
        </w:trPr>
        <w:tc>
          <w:tcPr>
            <w:tcW w:w="0" w:type="auto"/>
            <w:vMerge w:val="restart"/>
            <w:tcBorders>
              <w:top w:val="single" w:sz="4" w:space="0" w:color="auto"/>
              <w:left w:val="nil"/>
              <w:bottom w:val="single" w:sz="4" w:space="0" w:color="000000"/>
              <w:right w:val="nil"/>
            </w:tcBorders>
            <w:noWrap/>
            <w:vAlign w:val="center"/>
            <w:hideMark/>
          </w:tcPr>
          <w:p w14:paraId="0695D93F"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Nikkei</w:t>
            </w:r>
          </w:p>
        </w:tc>
        <w:tc>
          <w:tcPr>
            <w:tcW w:w="0" w:type="auto"/>
            <w:tcBorders>
              <w:top w:val="single" w:sz="4" w:space="0" w:color="auto"/>
              <w:left w:val="nil"/>
              <w:bottom w:val="nil"/>
              <w:right w:val="nil"/>
            </w:tcBorders>
            <w:noWrap/>
            <w:vAlign w:val="center"/>
            <w:hideMark/>
          </w:tcPr>
          <w:p w14:paraId="3DBBF11F"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6E1E04A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0.0005</w:t>
            </w:r>
          </w:p>
        </w:tc>
        <w:tc>
          <w:tcPr>
            <w:tcW w:w="0" w:type="auto"/>
            <w:tcBorders>
              <w:top w:val="single" w:sz="4" w:space="0" w:color="auto"/>
              <w:left w:val="nil"/>
              <w:bottom w:val="nil"/>
              <w:right w:val="nil"/>
            </w:tcBorders>
            <w:noWrap/>
            <w:vAlign w:val="center"/>
            <w:hideMark/>
          </w:tcPr>
          <w:p w14:paraId="10A67FE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-0.0007</w:t>
            </w:r>
          </w:p>
        </w:tc>
        <w:tc>
          <w:tcPr>
            <w:tcW w:w="0" w:type="auto"/>
            <w:tcBorders>
              <w:top w:val="single" w:sz="4" w:space="0" w:color="auto"/>
              <w:left w:val="nil"/>
              <w:bottom w:val="nil"/>
              <w:right w:val="nil"/>
            </w:tcBorders>
            <w:noWrap/>
            <w:vAlign w:val="center"/>
            <w:hideMark/>
          </w:tcPr>
          <w:p w14:paraId="5E864C3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single" w:sz="4" w:space="0" w:color="auto"/>
              <w:left w:val="nil"/>
              <w:bottom w:val="nil"/>
              <w:right w:val="nil"/>
            </w:tcBorders>
            <w:noWrap/>
            <w:vAlign w:val="center"/>
            <w:hideMark/>
          </w:tcPr>
          <w:p w14:paraId="6125A3E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0.0995</w:t>
            </w:r>
          </w:p>
        </w:tc>
        <w:tc>
          <w:tcPr>
            <w:tcW w:w="0" w:type="auto"/>
            <w:tcBorders>
              <w:top w:val="single" w:sz="4" w:space="0" w:color="auto"/>
              <w:left w:val="nil"/>
              <w:bottom w:val="nil"/>
              <w:right w:val="nil"/>
            </w:tcBorders>
            <w:noWrap/>
            <w:vAlign w:val="center"/>
            <w:hideMark/>
          </w:tcPr>
          <w:p w14:paraId="7C0DC64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0.6811</w:t>
            </w:r>
          </w:p>
        </w:tc>
        <w:tc>
          <w:tcPr>
            <w:tcW w:w="1452" w:type="dxa"/>
            <w:tcBorders>
              <w:top w:val="single" w:sz="4" w:space="0" w:color="auto"/>
              <w:left w:val="nil"/>
              <w:bottom w:val="nil"/>
              <w:right w:val="nil"/>
            </w:tcBorders>
            <w:vAlign w:val="center"/>
            <w:hideMark/>
          </w:tcPr>
          <w:p w14:paraId="377CB18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1.4433</w:t>
            </w:r>
          </w:p>
        </w:tc>
      </w:tr>
      <w:tr w:rsidR="00DF5B90" w:rsidRPr="00DF5B90" w14:paraId="4D299903" w14:textId="77777777" w:rsidTr="00DF5B90">
        <w:trPr>
          <w:trHeight w:val="300"/>
          <w:jc w:val="center"/>
        </w:trPr>
        <w:tc>
          <w:tcPr>
            <w:tcW w:w="0" w:type="auto"/>
            <w:vMerge/>
            <w:tcBorders>
              <w:top w:val="single" w:sz="4" w:space="0" w:color="auto"/>
              <w:left w:val="nil"/>
              <w:bottom w:val="single" w:sz="4" w:space="0" w:color="000000"/>
              <w:right w:val="nil"/>
            </w:tcBorders>
            <w:vAlign w:val="center"/>
            <w:hideMark/>
          </w:tcPr>
          <w:p w14:paraId="2079950F"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735832F1"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19A7473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1.5904</w:t>
            </w:r>
          </w:p>
        </w:tc>
        <w:tc>
          <w:tcPr>
            <w:tcW w:w="0" w:type="auto"/>
            <w:noWrap/>
            <w:vAlign w:val="center"/>
            <w:hideMark/>
          </w:tcPr>
          <w:p w14:paraId="416469B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-2.3449</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44377B2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1.1065</w:t>
            </w:r>
          </w:p>
        </w:tc>
        <w:tc>
          <w:tcPr>
            <w:tcW w:w="0" w:type="auto"/>
            <w:noWrap/>
            <w:vAlign w:val="center"/>
            <w:hideMark/>
          </w:tcPr>
          <w:p w14:paraId="1F7D38F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1.1694</w:t>
            </w:r>
          </w:p>
        </w:tc>
        <w:tc>
          <w:tcPr>
            <w:tcW w:w="0" w:type="auto"/>
            <w:noWrap/>
            <w:vAlign w:val="center"/>
            <w:hideMark/>
          </w:tcPr>
          <w:p w14:paraId="21FEA6A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2.6582</w:t>
            </w:r>
            <w:r w:rsidRPr="00DF5B90">
              <w:rPr>
                <w:rFonts w:asciiTheme="minorHAnsi" w:eastAsia="Times New Roman" w:hAnsiTheme="minorHAnsi" w:cstheme="minorHAnsi"/>
                <w:color w:val="000000"/>
                <w:vertAlign w:val="superscript"/>
                <w:lang w:val="id-ID"/>
              </w:rPr>
              <w:t>***</w:t>
            </w:r>
          </w:p>
        </w:tc>
        <w:tc>
          <w:tcPr>
            <w:tcW w:w="1452" w:type="dxa"/>
            <w:noWrap/>
            <w:vAlign w:val="center"/>
            <w:hideMark/>
          </w:tcPr>
          <w:p w14:paraId="414D4A5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9.2622</w:t>
            </w:r>
            <w:r w:rsidRPr="00DF5B90">
              <w:rPr>
                <w:rFonts w:asciiTheme="minorHAnsi" w:eastAsia="Times New Roman" w:hAnsiTheme="minorHAnsi" w:cstheme="minorHAnsi"/>
                <w:color w:val="000000"/>
                <w:vertAlign w:val="superscript"/>
                <w:lang w:val="id-ID"/>
              </w:rPr>
              <w:t>***</w:t>
            </w:r>
          </w:p>
        </w:tc>
      </w:tr>
      <w:tr w:rsidR="00DF5B90" w:rsidRPr="00DF5B90" w14:paraId="19455608" w14:textId="77777777" w:rsidTr="00DF5B90">
        <w:trPr>
          <w:trHeight w:val="300"/>
          <w:jc w:val="center"/>
        </w:trPr>
        <w:tc>
          <w:tcPr>
            <w:tcW w:w="0" w:type="auto"/>
            <w:vMerge/>
            <w:tcBorders>
              <w:top w:val="single" w:sz="4" w:space="0" w:color="auto"/>
              <w:left w:val="nil"/>
              <w:bottom w:val="single" w:sz="4" w:space="0" w:color="000000"/>
              <w:right w:val="nil"/>
            </w:tcBorders>
            <w:vAlign w:val="center"/>
            <w:hideMark/>
          </w:tcPr>
          <w:p w14:paraId="4FDFE4C7"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5B587438"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6B6F5E9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0.1117</w:t>
            </w:r>
          </w:p>
        </w:tc>
        <w:tc>
          <w:tcPr>
            <w:tcW w:w="0" w:type="auto"/>
            <w:tcBorders>
              <w:top w:val="nil"/>
              <w:left w:val="nil"/>
              <w:bottom w:val="single" w:sz="4" w:space="0" w:color="auto"/>
              <w:right w:val="nil"/>
            </w:tcBorders>
            <w:noWrap/>
            <w:vAlign w:val="center"/>
            <w:hideMark/>
          </w:tcPr>
          <w:p w14:paraId="2A8C7CF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0.0190</w:t>
            </w:r>
          </w:p>
        </w:tc>
        <w:tc>
          <w:tcPr>
            <w:tcW w:w="0" w:type="auto"/>
            <w:tcBorders>
              <w:top w:val="nil"/>
              <w:left w:val="nil"/>
              <w:bottom w:val="single" w:sz="4" w:space="0" w:color="auto"/>
              <w:right w:val="nil"/>
            </w:tcBorders>
            <w:noWrap/>
            <w:vAlign w:val="center"/>
            <w:hideMark/>
          </w:tcPr>
          <w:p w14:paraId="6AA27C2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0.2685</w:t>
            </w:r>
          </w:p>
        </w:tc>
        <w:tc>
          <w:tcPr>
            <w:tcW w:w="0" w:type="auto"/>
            <w:tcBorders>
              <w:top w:val="nil"/>
              <w:left w:val="nil"/>
              <w:bottom w:val="single" w:sz="4" w:space="0" w:color="auto"/>
              <w:right w:val="nil"/>
            </w:tcBorders>
            <w:noWrap/>
            <w:vAlign w:val="center"/>
            <w:hideMark/>
          </w:tcPr>
          <w:p w14:paraId="7682948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0.2422</w:t>
            </w:r>
          </w:p>
        </w:tc>
        <w:tc>
          <w:tcPr>
            <w:tcW w:w="0" w:type="auto"/>
            <w:tcBorders>
              <w:top w:val="nil"/>
              <w:left w:val="nil"/>
              <w:bottom w:val="single" w:sz="4" w:space="0" w:color="auto"/>
              <w:right w:val="nil"/>
            </w:tcBorders>
            <w:noWrap/>
            <w:vAlign w:val="center"/>
            <w:hideMark/>
          </w:tcPr>
          <w:p w14:paraId="0A88D22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0.0079</w:t>
            </w:r>
          </w:p>
        </w:tc>
        <w:tc>
          <w:tcPr>
            <w:tcW w:w="1452" w:type="dxa"/>
            <w:tcBorders>
              <w:top w:val="nil"/>
              <w:left w:val="nil"/>
              <w:bottom w:val="single" w:sz="4" w:space="0" w:color="auto"/>
              <w:right w:val="nil"/>
            </w:tcBorders>
            <w:noWrap/>
            <w:vAlign w:val="center"/>
            <w:hideMark/>
          </w:tcPr>
          <w:p w14:paraId="3DF2737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7A3F1477" w14:textId="77777777" w:rsidTr="00DF5B90">
        <w:trPr>
          <w:trHeight w:val="300"/>
          <w:jc w:val="center"/>
        </w:trPr>
        <w:tc>
          <w:tcPr>
            <w:tcW w:w="0" w:type="auto"/>
            <w:vMerge w:val="restart"/>
            <w:noWrap/>
            <w:vAlign w:val="center"/>
            <w:hideMark/>
          </w:tcPr>
          <w:p w14:paraId="14023FA9"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Kospi</w:t>
            </w:r>
          </w:p>
        </w:tc>
        <w:tc>
          <w:tcPr>
            <w:tcW w:w="0" w:type="auto"/>
            <w:noWrap/>
            <w:vAlign w:val="center"/>
            <w:hideMark/>
          </w:tcPr>
          <w:p w14:paraId="3550E633"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noWrap/>
            <w:vAlign w:val="center"/>
            <w:hideMark/>
          </w:tcPr>
          <w:p w14:paraId="7B9C080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0.0005</w:t>
            </w:r>
          </w:p>
        </w:tc>
        <w:tc>
          <w:tcPr>
            <w:tcW w:w="0" w:type="auto"/>
            <w:noWrap/>
            <w:vAlign w:val="center"/>
            <w:hideMark/>
          </w:tcPr>
          <w:p w14:paraId="2BEC8B5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-0.0010</w:t>
            </w:r>
          </w:p>
        </w:tc>
        <w:tc>
          <w:tcPr>
            <w:tcW w:w="0" w:type="auto"/>
            <w:noWrap/>
            <w:vAlign w:val="center"/>
            <w:hideMark/>
          </w:tcPr>
          <w:p w14:paraId="2CA9AB0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noWrap/>
            <w:vAlign w:val="center"/>
            <w:hideMark/>
          </w:tcPr>
          <w:p w14:paraId="0412BDA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0.1218</w:t>
            </w:r>
          </w:p>
        </w:tc>
        <w:tc>
          <w:tcPr>
            <w:tcW w:w="0" w:type="auto"/>
            <w:noWrap/>
            <w:vAlign w:val="center"/>
            <w:hideMark/>
          </w:tcPr>
          <w:p w14:paraId="5E036E0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0.5852</w:t>
            </w:r>
          </w:p>
        </w:tc>
        <w:tc>
          <w:tcPr>
            <w:tcW w:w="1452" w:type="dxa"/>
            <w:vAlign w:val="center"/>
            <w:hideMark/>
          </w:tcPr>
          <w:p w14:paraId="44A1477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1.4438</w:t>
            </w:r>
          </w:p>
        </w:tc>
      </w:tr>
      <w:tr w:rsidR="00DF5B90" w:rsidRPr="00DF5B90" w14:paraId="148A6A78" w14:textId="77777777" w:rsidTr="00DF5B90">
        <w:trPr>
          <w:trHeight w:val="300"/>
          <w:jc w:val="center"/>
        </w:trPr>
        <w:tc>
          <w:tcPr>
            <w:tcW w:w="0" w:type="auto"/>
            <w:vMerge/>
            <w:vAlign w:val="center"/>
            <w:hideMark/>
          </w:tcPr>
          <w:p w14:paraId="61010593"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7F3FCB6A"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4D6B9AB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1.5306</w:t>
            </w:r>
          </w:p>
        </w:tc>
        <w:tc>
          <w:tcPr>
            <w:tcW w:w="0" w:type="auto"/>
            <w:noWrap/>
            <w:vAlign w:val="center"/>
            <w:hideMark/>
          </w:tcPr>
          <w:p w14:paraId="341C40F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-3.1834</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3AF52AA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1.1490</w:t>
            </w:r>
          </w:p>
        </w:tc>
        <w:tc>
          <w:tcPr>
            <w:tcW w:w="0" w:type="auto"/>
            <w:noWrap/>
            <w:vAlign w:val="center"/>
            <w:hideMark/>
          </w:tcPr>
          <w:p w14:paraId="6A73451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1.2385</w:t>
            </w:r>
          </w:p>
        </w:tc>
        <w:tc>
          <w:tcPr>
            <w:tcW w:w="0" w:type="auto"/>
            <w:noWrap/>
            <w:vAlign w:val="center"/>
            <w:hideMark/>
          </w:tcPr>
          <w:p w14:paraId="632DF15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1.8276</w:t>
            </w:r>
            <w:r w:rsidRPr="00DF5B90">
              <w:rPr>
                <w:rFonts w:asciiTheme="minorHAnsi" w:eastAsia="Times New Roman" w:hAnsiTheme="minorHAnsi" w:cstheme="minorHAnsi"/>
                <w:color w:val="000000"/>
                <w:vertAlign w:val="superscript"/>
                <w:lang w:val="id-ID"/>
              </w:rPr>
              <w:t>*</w:t>
            </w:r>
          </w:p>
        </w:tc>
        <w:tc>
          <w:tcPr>
            <w:tcW w:w="1452" w:type="dxa"/>
            <w:noWrap/>
            <w:vAlign w:val="center"/>
            <w:hideMark/>
          </w:tcPr>
          <w:p w14:paraId="7491B2E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8.7121</w:t>
            </w:r>
            <w:r w:rsidRPr="00DF5B90">
              <w:rPr>
                <w:rFonts w:asciiTheme="minorHAnsi" w:eastAsia="Times New Roman" w:hAnsiTheme="minorHAnsi" w:cstheme="minorHAnsi"/>
                <w:color w:val="000000"/>
                <w:vertAlign w:val="superscript"/>
                <w:lang w:val="id-ID"/>
              </w:rPr>
              <w:t>***</w:t>
            </w:r>
          </w:p>
        </w:tc>
      </w:tr>
      <w:tr w:rsidR="00DF5B90" w:rsidRPr="00DF5B90" w14:paraId="10BBD846" w14:textId="77777777" w:rsidTr="00DF5B90">
        <w:trPr>
          <w:trHeight w:val="300"/>
          <w:jc w:val="center"/>
        </w:trPr>
        <w:tc>
          <w:tcPr>
            <w:tcW w:w="0" w:type="auto"/>
            <w:vMerge/>
            <w:vAlign w:val="center"/>
            <w:hideMark/>
          </w:tcPr>
          <w:p w14:paraId="1D2349F3"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6DD8A646"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noWrap/>
            <w:vAlign w:val="center"/>
            <w:hideMark/>
          </w:tcPr>
          <w:p w14:paraId="2B6FB1B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0.1259</w:t>
            </w:r>
          </w:p>
        </w:tc>
        <w:tc>
          <w:tcPr>
            <w:tcW w:w="0" w:type="auto"/>
            <w:noWrap/>
            <w:vAlign w:val="center"/>
            <w:hideMark/>
          </w:tcPr>
          <w:p w14:paraId="7701445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0.0015</w:t>
            </w:r>
          </w:p>
        </w:tc>
        <w:tc>
          <w:tcPr>
            <w:tcW w:w="0" w:type="auto"/>
            <w:noWrap/>
            <w:vAlign w:val="center"/>
            <w:hideMark/>
          </w:tcPr>
          <w:p w14:paraId="06A7CAC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0.2505</w:t>
            </w:r>
          </w:p>
        </w:tc>
        <w:tc>
          <w:tcPr>
            <w:tcW w:w="0" w:type="auto"/>
            <w:noWrap/>
            <w:vAlign w:val="center"/>
            <w:hideMark/>
          </w:tcPr>
          <w:p w14:paraId="6E1AC97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0.2155</w:t>
            </w:r>
          </w:p>
        </w:tc>
        <w:tc>
          <w:tcPr>
            <w:tcW w:w="0" w:type="auto"/>
            <w:noWrap/>
            <w:vAlign w:val="center"/>
            <w:hideMark/>
          </w:tcPr>
          <w:p w14:paraId="14B0F67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0.0676</w:t>
            </w:r>
          </w:p>
        </w:tc>
        <w:tc>
          <w:tcPr>
            <w:tcW w:w="1452" w:type="dxa"/>
            <w:noWrap/>
            <w:vAlign w:val="center"/>
            <w:hideMark/>
          </w:tcPr>
          <w:p w14:paraId="63ECDBD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386604E9" w14:textId="77777777" w:rsidTr="00DF5B90">
        <w:trPr>
          <w:trHeight w:val="300"/>
          <w:jc w:val="center"/>
        </w:trPr>
        <w:tc>
          <w:tcPr>
            <w:tcW w:w="0" w:type="auto"/>
            <w:vMerge w:val="restart"/>
            <w:tcBorders>
              <w:top w:val="single" w:sz="4" w:space="0" w:color="auto"/>
              <w:left w:val="nil"/>
              <w:bottom w:val="single" w:sz="4" w:space="0" w:color="000000"/>
              <w:right w:val="nil"/>
            </w:tcBorders>
            <w:noWrap/>
            <w:vAlign w:val="center"/>
            <w:hideMark/>
          </w:tcPr>
          <w:p w14:paraId="1164BC3D"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SSEC</w:t>
            </w:r>
          </w:p>
        </w:tc>
        <w:tc>
          <w:tcPr>
            <w:tcW w:w="0" w:type="auto"/>
            <w:tcBorders>
              <w:top w:val="single" w:sz="4" w:space="0" w:color="auto"/>
              <w:left w:val="nil"/>
              <w:bottom w:val="nil"/>
              <w:right w:val="nil"/>
            </w:tcBorders>
            <w:noWrap/>
            <w:vAlign w:val="center"/>
            <w:hideMark/>
          </w:tcPr>
          <w:p w14:paraId="60963C96"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7E9F2AD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0.0005</w:t>
            </w:r>
          </w:p>
        </w:tc>
        <w:tc>
          <w:tcPr>
            <w:tcW w:w="0" w:type="auto"/>
            <w:tcBorders>
              <w:top w:val="single" w:sz="4" w:space="0" w:color="auto"/>
              <w:left w:val="nil"/>
              <w:bottom w:val="nil"/>
              <w:right w:val="nil"/>
            </w:tcBorders>
            <w:noWrap/>
            <w:vAlign w:val="center"/>
            <w:hideMark/>
          </w:tcPr>
          <w:p w14:paraId="3B3A9C7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-0.0010</w:t>
            </w:r>
          </w:p>
        </w:tc>
        <w:tc>
          <w:tcPr>
            <w:tcW w:w="0" w:type="auto"/>
            <w:tcBorders>
              <w:top w:val="single" w:sz="4" w:space="0" w:color="auto"/>
              <w:left w:val="nil"/>
              <w:bottom w:val="nil"/>
              <w:right w:val="nil"/>
            </w:tcBorders>
            <w:noWrap/>
            <w:vAlign w:val="center"/>
            <w:hideMark/>
          </w:tcPr>
          <w:p w14:paraId="5290997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single" w:sz="4" w:space="0" w:color="auto"/>
              <w:left w:val="nil"/>
              <w:bottom w:val="nil"/>
              <w:right w:val="nil"/>
            </w:tcBorders>
            <w:noWrap/>
            <w:vAlign w:val="center"/>
            <w:hideMark/>
          </w:tcPr>
          <w:p w14:paraId="105BE16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0.2066</w:t>
            </w:r>
          </w:p>
        </w:tc>
        <w:tc>
          <w:tcPr>
            <w:tcW w:w="0" w:type="auto"/>
            <w:tcBorders>
              <w:top w:val="single" w:sz="4" w:space="0" w:color="auto"/>
              <w:left w:val="nil"/>
              <w:bottom w:val="nil"/>
              <w:right w:val="nil"/>
            </w:tcBorders>
            <w:noWrap/>
            <w:vAlign w:val="center"/>
            <w:hideMark/>
          </w:tcPr>
          <w:p w14:paraId="2FE2828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0.4961</w:t>
            </w:r>
          </w:p>
        </w:tc>
        <w:tc>
          <w:tcPr>
            <w:tcW w:w="1452" w:type="dxa"/>
            <w:tcBorders>
              <w:top w:val="single" w:sz="4" w:space="0" w:color="auto"/>
              <w:left w:val="nil"/>
              <w:bottom w:val="nil"/>
              <w:right w:val="nil"/>
            </w:tcBorders>
            <w:vAlign w:val="center"/>
            <w:hideMark/>
          </w:tcPr>
          <w:p w14:paraId="1FB6870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1.4960</w:t>
            </w:r>
          </w:p>
        </w:tc>
      </w:tr>
      <w:tr w:rsidR="00DF5B90" w:rsidRPr="00DF5B90" w14:paraId="0753F548" w14:textId="77777777" w:rsidTr="00DF5B90">
        <w:trPr>
          <w:trHeight w:val="300"/>
          <w:jc w:val="center"/>
        </w:trPr>
        <w:tc>
          <w:tcPr>
            <w:tcW w:w="0" w:type="auto"/>
            <w:vMerge/>
            <w:tcBorders>
              <w:top w:val="single" w:sz="4" w:space="0" w:color="auto"/>
              <w:left w:val="nil"/>
              <w:bottom w:val="single" w:sz="4" w:space="0" w:color="000000"/>
              <w:right w:val="nil"/>
            </w:tcBorders>
            <w:vAlign w:val="center"/>
            <w:hideMark/>
          </w:tcPr>
          <w:p w14:paraId="3CD7266D"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24E9FDE3"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3FBDC29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1.6538</w:t>
            </w:r>
          </w:p>
        </w:tc>
        <w:tc>
          <w:tcPr>
            <w:tcW w:w="0" w:type="auto"/>
            <w:noWrap/>
            <w:vAlign w:val="center"/>
            <w:hideMark/>
          </w:tcPr>
          <w:p w14:paraId="6DDEB52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-3.0081</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13D8900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1.6659</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7619537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1.7353</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44A526D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1.9896</w:t>
            </w:r>
            <w:r w:rsidRPr="00DF5B90">
              <w:rPr>
                <w:rFonts w:asciiTheme="minorHAnsi" w:eastAsia="Times New Roman" w:hAnsiTheme="minorHAnsi" w:cstheme="minorHAnsi"/>
                <w:color w:val="000000"/>
                <w:vertAlign w:val="superscript"/>
                <w:lang w:val="id-ID"/>
              </w:rPr>
              <w:t>**</w:t>
            </w:r>
          </w:p>
        </w:tc>
        <w:tc>
          <w:tcPr>
            <w:tcW w:w="1452" w:type="dxa"/>
            <w:noWrap/>
            <w:vAlign w:val="center"/>
            <w:hideMark/>
          </w:tcPr>
          <w:p w14:paraId="0ED11D0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8.5277</w:t>
            </w:r>
            <w:r w:rsidRPr="00DF5B90">
              <w:rPr>
                <w:rFonts w:asciiTheme="minorHAnsi" w:eastAsia="Times New Roman" w:hAnsiTheme="minorHAnsi" w:cstheme="minorHAnsi"/>
                <w:color w:val="000000"/>
                <w:vertAlign w:val="superscript"/>
                <w:lang w:val="id-ID"/>
              </w:rPr>
              <w:t>***</w:t>
            </w:r>
          </w:p>
        </w:tc>
      </w:tr>
      <w:tr w:rsidR="00DF5B90" w:rsidRPr="00DF5B90" w14:paraId="08667FFF" w14:textId="77777777" w:rsidTr="00DF5B90">
        <w:trPr>
          <w:trHeight w:val="315"/>
          <w:jc w:val="center"/>
        </w:trPr>
        <w:tc>
          <w:tcPr>
            <w:tcW w:w="0" w:type="auto"/>
            <w:vMerge/>
            <w:tcBorders>
              <w:top w:val="single" w:sz="4" w:space="0" w:color="auto"/>
              <w:left w:val="nil"/>
              <w:bottom w:val="single" w:sz="4" w:space="0" w:color="000000"/>
              <w:right w:val="nil"/>
            </w:tcBorders>
            <w:vAlign w:val="center"/>
            <w:hideMark/>
          </w:tcPr>
          <w:p w14:paraId="3AF58D2B"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7935856E"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154CD2D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0.0982</w:t>
            </w:r>
            <w:r w:rsidRPr="00DF5B90">
              <w:rPr>
                <w:rFonts w:asciiTheme="minorHAnsi" w:eastAsia="Times New Roman" w:hAnsiTheme="minorHAnsi" w:cstheme="minorHAnsi"/>
                <w:color w:val="000000"/>
                <w:vertAlign w:val="superscript"/>
                <w:lang w:val="id-ID"/>
              </w:rPr>
              <w:t>*</w:t>
            </w:r>
          </w:p>
        </w:tc>
        <w:tc>
          <w:tcPr>
            <w:tcW w:w="0" w:type="auto"/>
            <w:tcBorders>
              <w:top w:val="nil"/>
              <w:left w:val="nil"/>
              <w:bottom w:val="single" w:sz="4" w:space="0" w:color="auto"/>
              <w:right w:val="nil"/>
            </w:tcBorders>
            <w:noWrap/>
            <w:vAlign w:val="center"/>
            <w:hideMark/>
          </w:tcPr>
          <w:p w14:paraId="3F420C2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0.0026</w:t>
            </w:r>
          </w:p>
        </w:tc>
        <w:tc>
          <w:tcPr>
            <w:tcW w:w="0" w:type="auto"/>
            <w:tcBorders>
              <w:top w:val="nil"/>
              <w:left w:val="nil"/>
              <w:bottom w:val="single" w:sz="4" w:space="0" w:color="auto"/>
              <w:right w:val="nil"/>
            </w:tcBorders>
            <w:noWrap/>
            <w:vAlign w:val="center"/>
            <w:hideMark/>
          </w:tcPr>
          <w:p w14:paraId="63D9F46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0.0957</w:t>
            </w:r>
          </w:p>
        </w:tc>
        <w:tc>
          <w:tcPr>
            <w:tcW w:w="0" w:type="auto"/>
            <w:tcBorders>
              <w:top w:val="nil"/>
              <w:left w:val="nil"/>
              <w:bottom w:val="single" w:sz="4" w:space="0" w:color="auto"/>
              <w:right w:val="nil"/>
            </w:tcBorders>
            <w:noWrap/>
            <w:vAlign w:val="center"/>
            <w:hideMark/>
          </w:tcPr>
          <w:p w14:paraId="3B8246B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0.0827</w:t>
            </w:r>
          </w:p>
        </w:tc>
        <w:tc>
          <w:tcPr>
            <w:tcW w:w="0" w:type="auto"/>
            <w:tcBorders>
              <w:top w:val="nil"/>
              <w:left w:val="nil"/>
              <w:bottom w:val="single" w:sz="4" w:space="0" w:color="auto"/>
              <w:right w:val="nil"/>
            </w:tcBorders>
            <w:noWrap/>
            <w:vAlign w:val="center"/>
            <w:hideMark/>
          </w:tcPr>
          <w:p w14:paraId="0FDFF43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0.0466</w:t>
            </w:r>
          </w:p>
        </w:tc>
        <w:tc>
          <w:tcPr>
            <w:tcW w:w="1452" w:type="dxa"/>
            <w:tcBorders>
              <w:top w:val="nil"/>
              <w:left w:val="nil"/>
              <w:bottom w:val="single" w:sz="4" w:space="0" w:color="auto"/>
              <w:right w:val="nil"/>
            </w:tcBorders>
            <w:noWrap/>
            <w:vAlign w:val="center"/>
            <w:hideMark/>
          </w:tcPr>
          <w:p w14:paraId="1DA9712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bl>
    <w:p w14:paraId="5F490E29" w14:textId="77777777" w:rsidR="00DF5B90" w:rsidRPr="00DF5B90" w:rsidRDefault="00DF5B90" w:rsidP="00DF5B90">
      <w:pPr>
        <w:spacing w:after="0" w:line="240" w:lineRule="auto"/>
        <w:jc w:val="both"/>
        <w:rPr>
          <w:rFonts w:asciiTheme="minorHAnsi" w:eastAsiaTheme="minorEastAsia" w:hAnsiTheme="minorHAnsi" w:cstheme="minorHAnsi"/>
          <w:noProof/>
          <w:lang w:val="en-US" w:eastAsia="en-US"/>
        </w:rPr>
      </w:pPr>
      <w:r w:rsidRPr="00DF5B90">
        <w:rPr>
          <w:rFonts w:asciiTheme="minorHAnsi" w:eastAsiaTheme="minorEastAsia" w:hAnsiTheme="minorHAnsi" w:cstheme="minorHAnsi"/>
          <w:lang w:val="id-ID"/>
        </w:rPr>
        <w:t>***</w:t>
      </w:r>
      <w:r w:rsidRPr="00DF5B90">
        <w:rPr>
          <w:rFonts w:asciiTheme="minorHAnsi" w:hAnsiTheme="minorHAnsi" w:cstheme="minorHAnsi"/>
          <w:lang w:val="id-ID"/>
        </w:rPr>
        <w:t xml:space="preserve"> </w:t>
      </w:r>
      <w:r w:rsidRPr="00DF5B90">
        <w:rPr>
          <w:rFonts w:asciiTheme="minorHAnsi" w:eastAsiaTheme="minorEastAsia" w:hAnsiTheme="minorHAnsi" w:cstheme="minorHAnsi"/>
        </w:rPr>
        <w:t>Significant at 1% level</w:t>
      </w:r>
    </w:p>
    <w:p w14:paraId="10B12166" w14:textId="77777777" w:rsidR="00DF5B90" w:rsidRPr="00DF5B90" w:rsidRDefault="00DF5B90" w:rsidP="00DF5B90">
      <w:pPr>
        <w:spacing w:after="0" w:line="240" w:lineRule="auto"/>
        <w:jc w:val="both"/>
        <w:rPr>
          <w:rFonts w:asciiTheme="minorHAnsi" w:eastAsiaTheme="minorEastAsia" w:hAnsiTheme="minorHAnsi" w:cstheme="minorHAnsi"/>
        </w:rPr>
      </w:pPr>
      <w:r w:rsidRPr="00DF5B90">
        <w:rPr>
          <w:rFonts w:asciiTheme="minorHAnsi" w:eastAsiaTheme="minorEastAsia" w:hAnsiTheme="minorHAnsi" w:cstheme="minorHAnsi"/>
          <w:lang w:val="id-ID"/>
        </w:rPr>
        <w:t>**</w:t>
      </w:r>
      <w:r w:rsidRPr="00DF5B90">
        <w:rPr>
          <w:rFonts w:asciiTheme="minorHAnsi" w:eastAsiaTheme="minorEastAsia" w:hAnsiTheme="minorHAnsi" w:cstheme="minorHAnsi"/>
        </w:rPr>
        <w:t xml:space="preserve"> Significant at 5% level</w:t>
      </w:r>
    </w:p>
    <w:p w14:paraId="765B0C1C" w14:textId="77777777" w:rsidR="00DF5B90" w:rsidRPr="00DF5B90" w:rsidRDefault="00DF5B90" w:rsidP="00DF5B90">
      <w:pPr>
        <w:spacing w:line="240" w:lineRule="auto"/>
        <w:jc w:val="both"/>
        <w:rPr>
          <w:rFonts w:asciiTheme="minorHAnsi" w:eastAsiaTheme="minorEastAsia" w:hAnsiTheme="minorHAnsi" w:cstheme="minorHAnsi"/>
          <w:lang w:val="id-ID"/>
        </w:rPr>
      </w:pPr>
      <w:r w:rsidRPr="00DF5B90">
        <w:rPr>
          <w:rFonts w:asciiTheme="minorHAnsi" w:eastAsiaTheme="minorEastAsia" w:hAnsiTheme="minorHAnsi" w:cstheme="minorHAnsi"/>
          <w:lang w:val="id-ID"/>
        </w:rPr>
        <w:t>*</w:t>
      </w:r>
      <w:r w:rsidRPr="00DF5B90">
        <w:rPr>
          <w:rFonts w:asciiTheme="minorHAnsi" w:eastAsiaTheme="minorEastAsia" w:hAnsiTheme="minorHAnsi" w:cstheme="minorHAnsi"/>
        </w:rPr>
        <w:t xml:space="preserve"> Significant at 10% level</w:t>
      </w:r>
    </w:p>
    <w:p w14:paraId="1DEC8802" w14:textId="77777777" w:rsidR="00DF5B90" w:rsidRPr="00DF5B90" w:rsidRDefault="00DF5B90" w:rsidP="00BA7D9E">
      <w:pPr>
        <w:spacing w:line="240" w:lineRule="auto"/>
        <w:ind w:firstLine="284"/>
        <w:jc w:val="both"/>
        <w:rPr>
          <w:rFonts w:asciiTheme="minorHAnsi" w:eastAsiaTheme="minorHAnsi" w:hAnsiTheme="minorHAnsi" w:cstheme="minorHAnsi"/>
          <w:lang w:val="id-ID"/>
        </w:rPr>
      </w:pPr>
      <w:r w:rsidRPr="00DF5B90">
        <w:rPr>
          <w:rFonts w:asciiTheme="minorHAnsi" w:hAnsiTheme="minorHAnsi" w:cstheme="minorHAnsi"/>
          <w:lang w:val="id-ID"/>
        </w:rPr>
        <w:t xml:space="preserve">Table 9 results from the GARCH (1,1) test that analyzes the effect of stock market volatility on the US Dollar Index during the Hamas-Israel conflict. The table shows that each variable follows the GARCH pattern. In this period, only VN 30 and Kospi are proven to positively influence the US Dollar Index. </w:t>
      </w:r>
    </w:p>
    <w:p w14:paraId="162A75B1" w14:textId="77777777" w:rsidR="00DF5B90" w:rsidRPr="00BA7D9E" w:rsidRDefault="00DF5B90" w:rsidP="00DF5B90">
      <w:pPr>
        <w:pStyle w:val="Keterangan"/>
        <w:keepNext/>
        <w:jc w:val="center"/>
        <w:rPr>
          <w:rFonts w:asciiTheme="minorHAnsi" w:hAnsiTheme="minorHAnsi" w:cstheme="minorHAnsi"/>
          <w:sz w:val="24"/>
          <w:szCs w:val="24"/>
          <w:lang w:val="id-ID"/>
        </w:rPr>
      </w:pPr>
      <w:bookmarkStart w:id="35" w:name="_Toc168426050"/>
      <w:bookmarkStart w:id="36" w:name="_Toc170310511"/>
      <w:bookmarkStart w:id="37" w:name="_Toc171071278"/>
      <w:bookmarkStart w:id="38" w:name="_Toc171072603"/>
      <w:r w:rsidRPr="00BA7D9E">
        <w:rPr>
          <w:rFonts w:asciiTheme="minorHAnsi" w:hAnsiTheme="minorHAnsi" w:cstheme="minorHAnsi"/>
          <w:sz w:val="24"/>
          <w:szCs w:val="24"/>
          <w:lang w:val="id-ID"/>
        </w:rPr>
        <w:t>Tab</w:t>
      </w:r>
      <w:r w:rsidRPr="00BA7D9E">
        <w:rPr>
          <w:rFonts w:asciiTheme="minorHAnsi" w:hAnsiTheme="minorHAnsi" w:cstheme="minorHAnsi"/>
          <w:sz w:val="24"/>
          <w:szCs w:val="24"/>
        </w:rPr>
        <w:t>le</w:t>
      </w:r>
      <w:r w:rsidRPr="00BA7D9E">
        <w:rPr>
          <w:rFonts w:asciiTheme="minorHAnsi" w:hAnsiTheme="minorHAnsi" w:cstheme="minorHAnsi"/>
          <w:sz w:val="24"/>
          <w:szCs w:val="24"/>
          <w:lang w:val="id-ID"/>
        </w:rPr>
        <w:t xml:space="preserve"> </w:t>
      </w:r>
      <w:r w:rsidRPr="00BA7D9E">
        <w:rPr>
          <w:rFonts w:asciiTheme="minorHAnsi" w:hAnsiTheme="minorHAnsi" w:cstheme="minorHAnsi"/>
          <w:sz w:val="24"/>
          <w:szCs w:val="24"/>
        </w:rPr>
        <w:fldChar w:fldCharType="begin"/>
      </w:r>
      <w:r w:rsidRPr="00BA7D9E">
        <w:rPr>
          <w:rFonts w:asciiTheme="minorHAnsi" w:hAnsiTheme="minorHAnsi" w:cstheme="minorHAnsi"/>
          <w:sz w:val="24"/>
          <w:szCs w:val="24"/>
          <w:lang w:val="id-ID"/>
        </w:rPr>
        <w:instrText xml:space="preserve"> SEQ Table \* ARABIC </w:instrText>
      </w:r>
      <w:r w:rsidRPr="00BA7D9E">
        <w:rPr>
          <w:rFonts w:asciiTheme="minorHAnsi" w:hAnsiTheme="minorHAnsi" w:cstheme="minorHAnsi"/>
          <w:sz w:val="24"/>
          <w:szCs w:val="24"/>
        </w:rPr>
        <w:fldChar w:fldCharType="separate"/>
      </w:r>
      <w:r w:rsidRPr="00BA7D9E">
        <w:rPr>
          <w:rFonts w:asciiTheme="minorHAnsi" w:hAnsiTheme="minorHAnsi" w:cstheme="minorHAnsi"/>
          <w:sz w:val="24"/>
          <w:szCs w:val="24"/>
          <w:lang w:val="id-ID"/>
        </w:rPr>
        <w:t>9</w:t>
      </w:r>
      <w:bookmarkEnd w:id="35"/>
      <w:bookmarkEnd w:id="36"/>
      <w:bookmarkEnd w:id="37"/>
      <w:bookmarkEnd w:id="38"/>
      <w:r w:rsidRPr="00BA7D9E">
        <w:rPr>
          <w:rFonts w:asciiTheme="minorHAnsi" w:hAnsiTheme="minorHAnsi" w:cstheme="minorHAnsi"/>
          <w:sz w:val="24"/>
          <w:szCs w:val="24"/>
          <w:lang w:val="id-ID"/>
        </w:rPr>
        <w:fldChar w:fldCharType="end"/>
      </w:r>
      <w:r w:rsidRPr="00BA7D9E">
        <w:rPr>
          <w:rFonts w:asciiTheme="minorHAnsi" w:hAnsiTheme="minorHAnsi" w:cstheme="minorHAnsi"/>
          <w:sz w:val="24"/>
          <w:szCs w:val="24"/>
          <w:lang w:val="id-ID"/>
        </w:rPr>
        <w:t xml:space="preserve"> </w:t>
      </w:r>
    </w:p>
    <w:p w14:paraId="75F1CD48" w14:textId="77777777" w:rsidR="00DF5B90" w:rsidRPr="00BA7D9E" w:rsidRDefault="00DF5B90" w:rsidP="00DF5B90">
      <w:pPr>
        <w:pStyle w:val="Keterangan"/>
        <w:keepNext/>
        <w:jc w:val="center"/>
        <w:rPr>
          <w:rFonts w:asciiTheme="minorHAnsi" w:hAnsiTheme="minorHAnsi" w:cstheme="minorHAnsi"/>
          <w:sz w:val="24"/>
          <w:szCs w:val="24"/>
          <w:lang w:val="id-ID"/>
        </w:rPr>
      </w:pPr>
      <w:r w:rsidRPr="00BA7D9E">
        <w:rPr>
          <w:rFonts w:asciiTheme="minorHAnsi" w:hAnsiTheme="minorHAnsi" w:cstheme="minorHAnsi"/>
          <w:sz w:val="24"/>
          <w:szCs w:val="24"/>
          <w:lang w:val="id-ID"/>
        </w:rPr>
        <w:t xml:space="preserve">The Impact of Stock Market Volatility on the US Dollar Index </w:t>
      </w:r>
    </w:p>
    <w:p w14:paraId="585D3605" w14:textId="722A9EC0" w:rsidR="00DF5B90" w:rsidRPr="00BA7D9E" w:rsidRDefault="00DF5B90" w:rsidP="00DF5B90">
      <w:pPr>
        <w:pStyle w:val="Keterangan"/>
        <w:keepNext/>
        <w:jc w:val="center"/>
        <w:rPr>
          <w:rFonts w:asciiTheme="minorHAnsi" w:hAnsiTheme="minorHAnsi" w:cstheme="minorHAnsi"/>
          <w:sz w:val="24"/>
          <w:szCs w:val="24"/>
          <w:lang w:val="id-ID"/>
        </w:rPr>
      </w:pPr>
      <w:r w:rsidRPr="00BA7D9E">
        <w:rPr>
          <w:rFonts w:asciiTheme="minorHAnsi" w:hAnsiTheme="minorHAnsi" w:cstheme="minorHAnsi"/>
          <w:sz w:val="24"/>
          <w:szCs w:val="24"/>
          <w:lang w:val="id-ID"/>
        </w:rPr>
        <w:t xml:space="preserve">During the Hamas-Israel </w:t>
      </w:r>
      <w:r w:rsidR="006E23DC">
        <w:rPr>
          <w:rFonts w:asciiTheme="minorHAnsi" w:hAnsiTheme="minorHAnsi" w:cstheme="minorHAnsi"/>
          <w:sz w:val="24"/>
          <w:szCs w:val="24"/>
          <w:lang w:val="id-ID"/>
        </w:rPr>
        <w:t xml:space="preserve">Conflict </w:t>
      </w:r>
      <w:r w:rsidRPr="00BA7D9E">
        <w:rPr>
          <w:rFonts w:asciiTheme="minorHAnsi" w:hAnsiTheme="minorHAnsi" w:cstheme="minorHAnsi"/>
          <w:sz w:val="24"/>
          <w:szCs w:val="24"/>
          <w:lang w:val="id-ID"/>
        </w:rPr>
        <w:t>Period</w:t>
      </w:r>
    </w:p>
    <w:tbl>
      <w:tblPr>
        <w:tblW w:w="9583" w:type="dxa"/>
        <w:jc w:val="center"/>
        <w:tblLook w:val="04A0" w:firstRow="1" w:lastRow="0" w:firstColumn="1" w:lastColumn="0" w:noHBand="0" w:noVBand="1"/>
      </w:tblPr>
      <w:tblGrid>
        <w:gridCol w:w="824"/>
        <w:gridCol w:w="1282"/>
        <w:gridCol w:w="1035"/>
        <w:gridCol w:w="1509"/>
        <w:gridCol w:w="1035"/>
        <w:gridCol w:w="1327"/>
        <w:gridCol w:w="1254"/>
        <w:gridCol w:w="1317"/>
      </w:tblGrid>
      <w:tr w:rsidR="00DF5B90" w:rsidRPr="00DF5B90" w14:paraId="727A9B70" w14:textId="77777777" w:rsidTr="00DF5B90">
        <w:trPr>
          <w:trHeight w:val="300"/>
          <w:jc w:val="center"/>
        </w:trPr>
        <w:tc>
          <w:tcPr>
            <w:tcW w:w="9583" w:type="dxa"/>
            <w:gridSpan w:val="8"/>
            <w:tcBorders>
              <w:top w:val="single" w:sz="8" w:space="0" w:color="auto"/>
              <w:left w:val="nil"/>
              <w:bottom w:val="nil"/>
              <w:right w:val="nil"/>
            </w:tcBorders>
            <w:noWrap/>
            <w:vAlign w:val="center"/>
            <w:hideMark/>
          </w:tcPr>
          <w:p w14:paraId="0AEE4931" w14:textId="575B384A" w:rsidR="00DF5B90" w:rsidRPr="00DF5B90" w:rsidRDefault="006E23DC" w:rsidP="00DF5B90">
            <w:pPr>
              <w:spacing w:after="0" w:line="240" w:lineRule="auto"/>
              <w:jc w:val="center"/>
              <w:rPr>
                <w:rFonts w:asciiTheme="minorHAnsi" w:eastAsia="Times New Roman" w:hAnsiTheme="minorHAnsi" w:cstheme="minorHAnsi"/>
                <w:b/>
                <w:bCs/>
                <w:color w:val="000000"/>
                <w:lang w:val="id-ID"/>
              </w:rPr>
            </w:pPr>
            <w:r>
              <w:rPr>
                <w:rFonts w:asciiTheme="minorHAnsi" w:eastAsia="Times New Roman" w:hAnsiTheme="minorHAnsi" w:cstheme="minorHAnsi"/>
                <w:b/>
                <w:bCs/>
                <w:color w:val="000000"/>
                <w:lang w:val="id-ID"/>
              </w:rPr>
              <w:t xml:space="preserve">During </w:t>
            </w:r>
            <w:r w:rsidR="00DF5B90" w:rsidRPr="00DF5B90">
              <w:rPr>
                <w:rFonts w:asciiTheme="minorHAnsi" w:eastAsia="Times New Roman" w:hAnsiTheme="minorHAnsi" w:cstheme="minorHAnsi"/>
                <w:b/>
                <w:bCs/>
                <w:color w:val="000000"/>
                <w:lang w:val="id-ID"/>
              </w:rPr>
              <w:t>Hamas-Israel</w:t>
            </w:r>
            <w:r>
              <w:rPr>
                <w:rFonts w:asciiTheme="minorHAnsi" w:eastAsia="Times New Roman" w:hAnsiTheme="minorHAnsi" w:cstheme="minorHAnsi"/>
                <w:b/>
                <w:bCs/>
                <w:color w:val="000000"/>
                <w:lang w:val="id-ID"/>
              </w:rPr>
              <w:t xml:space="preserve"> Conflict</w:t>
            </w:r>
          </w:p>
        </w:tc>
      </w:tr>
      <w:tr w:rsidR="00DF5B90" w:rsidRPr="00DF5B90" w14:paraId="7E2C3136" w14:textId="77777777" w:rsidTr="00DF5B90">
        <w:trPr>
          <w:trHeight w:val="300"/>
          <w:jc w:val="center"/>
        </w:trPr>
        <w:tc>
          <w:tcPr>
            <w:tcW w:w="0" w:type="auto"/>
            <w:gridSpan w:val="2"/>
            <w:vMerge w:val="restart"/>
            <w:tcBorders>
              <w:top w:val="single" w:sz="4" w:space="0" w:color="auto"/>
              <w:left w:val="nil"/>
              <w:bottom w:val="single" w:sz="4" w:space="0" w:color="auto"/>
              <w:right w:val="nil"/>
            </w:tcBorders>
            <w:noWrap/>
            <w:vAlign w:val="center"/>
            <w:hideMark/>
          </w:tcPr>
          <w:p w14:paraId="64AA1231"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en-US"/>
              </w:rPr>
            </w:pPr>
            <w:r w:rsidRPr="00DF5B90">
              <w:rPr>
                <w:rFonts w:asciiTheme="minorHAnsi" w:eastAsia="Times New Roman" w:hAnsiTheme="minorHAnsi" w:cstheme="minorHAnsi"/>
                <w:b/>
                <w:bCs/>
                <w:color w:val="000000"/>
              </w:rPr>
              <w:t>Independent</w:t>
            </w:r>
          </w:p>
          <w:p w14:paraId="6B88E167" w14:textId="77777777" w:rsidR="00DF5B90" w:rsidRPr="00DF5B90" w:rsidRDefault="00DF5B90" w:rsidP="00DF5B90">
            <w:pPr>
              <w:spacing w:after="0" w:line="240" w:lineRule="auto"/>
              <w:jc w:val="center"/>
              <w:rPr>
                <w:rFonts w:asciiTheme="minorHAnsi" w:eastAsia="Times New Roman" w:hAnsiTheme="minorHAnsi" w:cstheme="minorHAnsi"/>
                <w:b/>
                <w:bCs/>
                <w:color w:val="000000"/>
              </w:rPr>
            </w:pPr>
            <w:r w:rsidRPr="00DF5B90">
              <w:rPr>
                <w:rFonts w:asciiTheme="minorHAnsi" w:eastAsia="Times New Roman" w:hAnsiTheme="minorHAnsi" w:cstheme="minorHAnsi"/>
                <w:b/>
                <w:bCs/>
                <w:color w:val="000000"/>
              </w:rPr>
              <w:t>Variable</w:t>
            </w:r>
          </w:p>
        </w:tc>
        <w:tc>
          <w:tcPr>
            <w:tcW w:w="0" w:type="auto"/>
            <w:gridSpan w:val="2"/>
            <w:tcBorders>
              <w:top w:val="single" w:sz="4" w:space="0" w:color="auto"/>
              <w:left w:val="nil"/>
              <w:bottom w:val="single" w:sz="4" w:space="0" w:color="auto"/>
              <w:right w:val="nil"/>
            </w:tcBorders>
            <w:vAlign w:val="center"/>
            <w:hideMark/>
          </w:tcPr>
          <w:p w14:paraId="7D3C1311"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Mean Equation</w:t>
            </w:r>
          </w:p>
        </w:tc>
        <w:tc>
          <w:tcPr>
            <w:tcW w:w="0" w:type="auto"/>
            <w:gridSpan w:val="3"/>
            <w:tcBorders>
              <w:top w:val="single" w:sz="4" w:space="0" w:color="auto"/>
              <w:left w:val="nil"/>
              <w:bottom w:val="single" w:sz="4" w:space="0" w:color="auto"/>
              <w:right w:val="nil"/>
            </w:tcBorders>
            <w:noWrap/>
            <w:vAlign w:val="center"/>
            <w:hideMark/>
          </w:tcPr>
          <w:p w14:paraId="04B46DB0"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Variance Equation</w:t>
            </w:r>
          </w:p>
        </w:tc>
        <w:tc>
          <w:tcPr>
            <w:tcW w:w="1309" w:type="dxa"/>
            <w:vMerge w:val="restart"/>
            <w:tcBorders>
              <w:top w:val="single" w:sz="4" w:space="0" w:color="auto"/>
              <w:left w:val="nil"/>
              <w:bottom w:val="single" w:sz="4" w:space="0" w:color="auto"/>
              <w:right w:val="nil"/>
            </w:tcBorders>
            <w:vAlign w:val="center"/>
            <w:hideMark/>
          </w:tcPr>
          <w:p w14:paraId="18E0ABD1"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GED Parameter</w:t>
            </w:r>
          </w:p>
        </w:tc>
      </w:tr>
      <w:tr w:rsidR="00DF5B90" w:rsidRPr="00DF5B90" w14:paraId="58AD7596" w14:textId="77777777" w:rsidTr="00DF5B90">
        <w:trPr>
          <w:trHeight w:val="315"/>
          <w:jc w:val="center"/>
        </w:trPr>
        <w:tc>
          <w:tcPr>
            <w:tcW w:w="0" w:type="auto"/>
            <w:gridSpan w:val="2"/>
            <w:vMerge/>
            <w:tcBorders>
              <w:top w:val="single" w:sz="4" w:space="0" w:color="auto"/>
              <w:left w:val="nil"/>
              <w:bottom w:val="single" w:sz="4" w:space="0" w:color="auto"/>
              <w:right w:val="nil"/>
            </w:tcBorders>
            <w:vAlign w:val="center"/>
            <w:hideMark/>
          </w:tcPr>
          <w:p w14:paraId="0068DEFB" w14:textId="77777777" w:rsidR="00DF5B90" w:rsidRPr="00DF5B90" w:rsidRDefault="00DF5B90" w:rsidP="00DF5B90">
            <w:pPr>
              <w:spacing w:after="0" w:line="240" w:lineRule="auto"/>
              <w:rPr>
                <w:rFonts w:asciiTheme="minorHAnsi" w:eastAsia="Times New Roman" w:hAnsiTheme="minorHAnsi" w:cstheme="minorHAnsi"/>
                <w:b/>
                <w:bCs/>
                <w:color w:val="000000"/>
                <w:lang w:val="en-US"/>
              </w:rPr>
            </w:pPr>
          </w:p>
        </w:tc>
        <w:tc>
          <w:tcPr>
            <w:tcW w:w="0" w:type="auto"/>
            <w:tcBorders>
              <w:top w:val="nil"/>
              <w:left w:val="nil"/>
              <w:bottom w:val="single" w:sz="4" w:space="0" w:color="auto"/>
              <w:right w:val="nil"/>
            </w:tcBorders>
            <w:vAlign w:val="center"/>
            <w:hideMark/>
          </w:tcPr>
          <w:p w14:paraId="523EE81F"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C</w:t>
            </w:r>
          </w:p>
        </w:tc>
        <w:tc>
          <w:tcPr>
            <w:tcW w:w="0" w:type="auto"/>
            <w:tcBorders>
              <w:top w:val="nil"/>
              <w:left w:val="nil"/>
              <w:bottom w:val="single" w:sz="4" w:space="0" w:color="auto"/>
              <w:right w:val="nil"/>
            </w:tcBorders>
            <w:vAlign w:val="center"/>
            <w:hideMark/>
          </w:tcPr>
          <w:p w14:paraId="525BDC28"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en-US"/>
              </w:rPr>
            </w:pPr>
            <w:r w:rsidRPr="00DF5B90">
              <w:rPr>
                <w:rFonts w:asciiTheme="minorHAnsi" w:eastAsia="Times New Roman" w:hAnsiTheme="minorHAnsi" w:cstheme="minorHAnsi"/>
                <w:b/>
                <w:bCs/>
                <w:color w:val="000000"/>
              </w:rPr>
              <w:t>Independent</w:t>
            </w:r>
          </w:p>
          <w:p w14:paraId="2919CC2A" w14:textId="77777777" w:rsidR="00DF5B90" w:rsidRPr="00DF5B90" w:rsidRDefault="00DF5B90" w:rsidP="00DF5B90">
            <w:pPr>
              <w:spacing w:after="0" w:line="240" w:lineRule="auto"/>
              <w:jc w:val="center"/>
              <w:rPr>
                <w:rFonts w:asciiTheme="minorHAnsi" w:eastAsia="Times New Roman" w:hAnsiTheme="minorHAnsi" w:cstheme="minorHAnsi"/>
                <w:b/>
                <w:bCs/>
                <w:color w:val="000000"/>
              </w:rPr>
            </w:pPr>
            <w:r w:rsidRPr="00DF5B90">
              <w:rPr>
                <w:rFonts w:asciiTheme="minorHAnsi" w:eastAsia="Times New Roman" w:hAnsiTheme="minorHAnsi" w:cstheme="minorHAnsi"/>
                <w:b/>
                <w:bCs/>
                <w:color w:val="000000"/>
              </w:rPr>
              <w:t>Variable</w:t>
            </w:r>
          </w:p>
          <w:p w14:paraId="5DBA34BB" w14:textId="77777777" w:rsidR="00DF5B90" w:rsidRPr="00DF5B90" w:rsidRDefault="00DF5B90" w:rsidP="00DF5B90">
            <w:pPr>
              <w:spacing w:after="0" w:line="240" w:lineRule="auto"/>
              <w:jc w:val="center"/>
              <w:rPr>
                <w:rFonts w:asciiTheme="minorHAnsi" w:eastAsia="Times New Roman" w:hAnsiTheme="minorHAnsi" w:cstheme="minorHAnsi"/>
                <w:b/>
                <w:bCs/>
                <w:color w:val="000000"/>
              </w:rPr>
            </w:pPr>
            <w:r w:rsidRPr="00DF5B90">
              <w:rPr>
                <w:rFonts w:asciiTheme="minorHAnsi" w:eastAsia="Times New Roman" w:hAnsiTheme="minorHAnsi" w:cstheme="minorHAnsi"/>
                <w:b/>
                <w:bCs/>
                <w:color w:val="000000"/>
                <w:lang w:val="id-ID"/>
              </w:rPr>
              <w:t>(Volatilit</w:t>
            </w:r>
            <w:r w:rsidRPr="00DF5B90">
              <w:rPr>
                <w:rFonts w:asciiTheme="minorHAnsi" w:eastAsia="Times New Roman" w:hAnsiTheme="minorHAnsi" w:cstheme="minorHAnsi"/>
                <w:b/>
                <w:bCs/>
                <w:color w:val="000000"/>
              </w:rPr>
              <w:t>y</w:t>
            </w:r>
            <w:r w:rsidRPr="00DF5B90">
              <w:rPr>
                <w:rFonts w:asciiTheme="minorHAnsi" w:eastAsia="Times New Roman" w:hAnsiTheme="minorHAnsi" w:cstheme="minorHAnsi"/>
                <w:b/>
                <w:bCs/>
                <w:color w:val="000000"/>
                <w:lang w:val="id-ID"/>
              </w:rPr>
              <w:t>)</w:t>
            </w:r>
          </w:p>
        </w:tc>
        <w:tc>
          <w:tcPr>
            <w:tcW w:w="0" w:type="auto"/>
            <w:tcBorders>
              <w:top w:val="nil"/>
              <w:left w:val="nil"/>
              <w:bottom w:val="single" w:sz="4" w:space="0" w:color="auto"/>
              <w:right w:val="nil"/>
            </w:tcBorders>
            <w:noWrap/>
            <w:vAlign w:val="center"/>
            <w:hideMark/>
          </w:tcPr>
          <w:p w14:paraId="4B85E318"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C</w:t>
            </w:r>
          </w:p>
        </w:tc>
        <w:tc>
          <w:tcPr>
            <w:tcW w:w="0" w:type="auto"/>
            <w:tcBorders>
              <w:top w:val="nil"/>
              <w:left w:val="nil"/>
              <w:bottom w:val="single" w:sz="4" w:space="0" w:color="auto"/>
              <w:right w:val="nil"/>
            </w:tcBorders>
            <w:noWrap/>
            <w:vAlign w:val="center"/>
            <w:hideMark/>
          </w:tcPr>
          <w:p w14:paraId="6A65DE8B"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Resid</w:t>
            </w:r>
          </w:p>
        </w:tc>
        <w:tc>
          <w:tcPr>
            <w:tcW w:w="0" w:type="auto"/>
            <w:tcBorders>
              <w:top w:val="nil"/>
              <w:left w:val="nil"/>
              <w:bottom w:val="single" w:sz="4" w:space="0" w:color="auto"/>
              <w:right w:val="nil"/>
            </w:tcBorders>
            <w:noWrap/>
            <w:vAlign w:val="center"/>
            <w:hideMark/>
          </w:tcPr>
          <w:p w14:paraId="611757A1" w14:textId="041FE571"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G</w:t>
            </w:r>
            <w:r w:rsidR="006E23DC">
              <w:rPr>
                <w:rFonts w:asciiTheme="minorHAnsi" w:eastAsia="Times New Roman" w:hAnsiTheme="minorHAnsi" w:cstheme="minorHAnsi"/>
                <w:b/>
                <w:bCs/>
                <w:color w:val="000000"/>
                <w:lang w:val="id-ID"/>
              </w:rPr>
              <w:t>ARCH</w:t>
            </w:r>
          </w:p>
        </w:tc>
        <w:tc>
          <w:tcPr>
            <w:tcW w:w="0" w:type="auto"/>
            <w:vMerge/>
            <w:tcBorders>
              <w:top w:val="single" w:sz="4" w:space="0" w:color="auto"/>
              <w:left w:val="nil"/>
              <w:bottom w:val="single" w:sz="4" w:space="0" w:color="auto"/>
              <w:right w:val="nil"/>
            </w:tcBorders>
            <w:vAlign w:val="center"/>
            <w:hideMark/>
          </w:tcPr>
          <w:p w14:paraId="5789B339" w14:textId="77777777" w:rsidR="00DF5B90" w:rsidRPr="00DF5B90" w:rsidRDefault="00DF5B90" w:rsidP="00DF5B90">
            <w:pPr>
              <w:spacing w:after="0" w:line="240" w:lineRule="auto"/>
              <w:rPr>
                <w:rFonts w:asciiTheme="minorHAnsi" w:eastAsia="Times New Roman" w:hAnsiTheme="minorHAnsi" w:cstheme="minorHAnsi"/>
                <w:b/>
                <w:bCs/>
                <w:color w:val="000000"/>
                <w:lang w:val="id-ID"/>
              </w:rPr>
            </w:pPr>
          </w:p>
        </w:tc>
      </w:tr>
      <w:tr w:rsidR="00DF5B90" w:rsidRPr="00DF5B90" w14:paraId="3258D71C" w14:textId="77777777" w:rsidTr="00DF5B90">
        <w:trPr>
          <w:trHeight w:val="300"/>
          <w:jc w:val="center"/>
        </w:trPr>
        <w:tc>
          <w:tcPr>
            <w:tcW w:w="0" w:type="auto"/>
            <w:vMerge w:val="restart"/>
            <w:tcBorders>
              <w:top w:val="single" w:sz="4" w:space="0" w:color="auto"/>
              <w:left w:val="nil"/>
              <w:bottom w:val="single" w:sz="4" w:space="0" w:color="auto"/>
              <w:right w:val="nil"/>
            </w:tcBorders>
            <w:noWrap/>
            <w:vAlign w:val="center"/>
            <w:hideMark/>
          </w:tcPr>
          <w:p w14:paraId="1184DA34"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JKSE</w:t>
            </w:r>
          </w:p>
        </w:tc>
        <w:tc>
          <w:tcPr>
            <w:tcW w:w="0" w:type="auto"/>
            <w:tcBorders>
              <w:top w:val="single" w:sz="4" w:space="0" w:color="auto"/>
              <w:left w:val="nil"/>
              <w:bottom w:val="nil"/>
              <w:right w:val="nil"/>
            </w:tcBorders>
            <w:noWrap/>
            <w:vAlign w:val="center"/>
            <w:hideMark/>
          </w:tcPr>
          <w:p w14:paraId="30B3C725"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7BEBB08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5.4E-06</w:t>
            </w:r>
          </w:p>
        </w:tc>
        <w:tc>
          <w:tcPr>
            <w:tcW w:w="0" w:type="auto"/>
            <w:tcBorders>
              <w:top w:val="single" w:sz="4" w:space="0" w:color="auto"/>
              <w:left w:val="nil"/>
              <w:bottom w:val="nil"/>
              <w:right w:val="nil"/>
            </w:tcBorders>
            <w:noWrap/>
            <w:vAlign w:val="center"/>
            <w:hideMark/>
          </w:tcPr>
          <w:p w14:paraId="1BDF2B7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-0.0004</w:t>
            </w:r>
          </w:p>
        </w:tc>
        <w:tc>
          <w:tcPr>
            <w:tcW w:w="0" w:type="auto"/>
            <w:tcBorders>
              <w:top w:val="single" w:sz="4" w:space="0" w:color="auto"/>
              <w:left w:val="nil"/>
              <w:bottom w:val="nil"/>
              <w:right w:val="nil"/>
            </w:tcBorders>
            <w:noWrap/>
            <w:vAlign w:val="center"/>
            <w:hideMark/>
          </w:tcPr>
          <w:p w14:paraId="5B925B2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8.0E-08</w:t>
            </w:r>
          </w:p>
        </w:tc>
        <w:tc>
          <w:tcPr>
            <w:tcW w:w="0" w:type="auto"/>
            <w:tcBorders>
              <w:top w:val="single" w:sz="4" w:space="0" w:color="auto"/>
              <w:left w:val="nil"/>
              <w:bottom w:val="nil"/>
              <w:right w:val="nil"/>
            </w:tcBorders>
            <w:noWrap/>
            <w:vAlign w:val="center"/>
            <w:hideMark/>
          </w:tcPr>
          <w:p w14:paraId="18BFBD7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-0.0881</w:t>
            </w:r>
          </w:p>
        </w:tc>
        <w:tc>
          <w:tcPr>
            <w:tcW w:w="0" w:type="auto"/>
            <w:tcBorders>
              <w:top w:val="single" w:sz="4" w:space="0" w:color="auto"/>
              <w:left w:val="nil"/>
              <w:bottom w:val="nil"/>
              <w:right w:val="nil"/>
            </w:tcBorders>
            <w:noWrap/>
            <w:vAlign w:val="center"/>
            <w:hideMark/>
          </w:tcPr>
          <w:p w14:paraId="0ED5217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1.0701</w:t>
            </w:r>
          </w:p>
        </w:tc>
        <w:tc>
          <w:tcPr>
            <w:tcW w:w="1309" w:type="dxa"/>
            <w:tcBorders>
              <w:top w:val="single" w:sz="4" w:space="0" w:color="auto"/>
              <w:left w:val="nil"/>
              <w:bottom w:val="nil"/>
              <w:right w:val="nil"/>
            </w:tcBorders>
            <w:vAlign w:val="center"/>
            <w:hideMark/>
          </w:tcPr>
          <w:p w14:paraId="2172209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1.3874</w:t>
            </w:r>
          </w:p>
        </w:tc>
      </w:tr>
      <w:tr w:rsidR="00DF5B90" w:rsidRPr="00DF5B90" w14:paraId="30FA1E95"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154124FE"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7F34D340"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28993A2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0.0140</w:t>
            </w:r>
          </w:p>
        </w:tc>
        <w:tc>
          <w:tcPr>
            <w:tcW w:w="0" w:type="auto"/>
            <w:noWrap/>
            <w:vAlign w:val="center"/>
            <w:hideMark/>
          </w:tcPr>
          <w:p w14:paraId="1959E15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-0.7662</w:t>
            </w:r>
          </w:p>
        </w:tc>
        <w:tc>
          <w:tcPr>
            <w:tcW w:w="0" w:type="auto"/>
            <w:noWrap/>
            <w:vAlign w:val="center"/>
            <w:hideMark/>
          </w:tcPr>
          <w:p w14:paraId="282665E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0.1323</w:t>
            </w:r>
          </w:p>
        </w:tc>
        <w:tc>
          <w:tcPr>
            <w:tcW w:w="0" w:type="auto"/>
            <w:noWrap/>
            <w:vAlign w:val="center"/>
            <w:hideMark/>
          </w:tcPr>
          <w:p w14:paraId="64210C1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-3.4488</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62D9A3C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3063.24</w:t>
            </w:r>
            <w:r w:rsidRPr="00DF5B90">
              <w:rPr>
                <w:rFonts w:asciiTheme="minorHAnsi" w:eastAsia="Times New Roman" w:hAnsiTheme="minorHAnsi" w:cstheme="minorHAnsi"/>
                <w:color w:val="000000"/>
                <w:vertAlign w:val="superscript"/>
                <w:lang w:val="id-ID"/>
              </w:rPr>
              <w:t>***</w:t>
            </w:r>
          </w:p>
        </w:tc>
        <w:tc>
          <w:tcPr>
            <w:tcW w:w="1309" w:type="dxa"/>
            <w:noWrap/>
            <w:vAlign w:val="center"/>
            <w:hideMark/>
          </w:tcPr>
          <w:p w14:paraId="526CBF7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3.6720</w:t>
            </w:r>
            <w:r w:rsidRPr="00DF5B90">
              <w:rPr>
                <w:rFonts w:asciiTheme="minorHAnsi" w:eastAsia="Times New Roman" w:hAnsiTheme="minorHAnsi" w:cstheme="minorHAnsi"/>
                <w:color w:val="000000"/>
                <w:vertAlign w:val="superscript"/>
                <w:lang w:val="id-ID"/>
              </w:rPr>
              <w:t>***</w:t>
            </w:r>
          </w:p>
        </w:tc>
      </w:tr>
      <w:tr w:rsidR="00DF5B90" w:rsidRPr="00DF5B90" w14:paraId="4D9C3B02"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0674189E"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2EE11AC0"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0CCBF7D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0.9888</w:t>
            </w:r>
          </w:p>
        </w:tc>
        <w:tc>
          <w:tcPr>
            <w:tcW w:w="0" w:type="auto"/>
            <w:tcBorders>
              <w:top w:val="nil"/>
              <w:left w:val="nil"/>
              <w:bottom w:val="single" w:sz="4" w:space="0" w:color="auto"/>
              <w:right w:val="nil"/>
            </w:tcBorders>
            <w:noWrap/>
            <w:vAlign w:val="center"/>
            <w:hideMark/>
          </w:tcPr>
          <w:p w14:paraId="07EECC0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0.4435</w:t>
            </w:r>
          </w:p>
        </w:tc>
        <w:tc>
          <w:tcPr>
            <w:tcW w:w="0" w:type="auto"/>
            <w:tcBorders>
              <w:top w:val="nil"/>
              <w:left w:val="nil"/>
              <w:bottom w:val="single" w:sz="4" w:space="0" w:color="auto"/>
              <w:right w:val="nil"/>
            </w:tcBorders>
            <w:noWrap/>
            <w:vAlign w:val="center"/>
            <w:hideMark/>
          </w:tcPr>
          <w:p w14:paraId="6F158D0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0.8948</w:t>
            </w:r>
          </w:p>
        </w:tc>
        <w:tc>
          <w:tcPr>
            <w:tcW w:w="0" w:type="auto"/>
            <w:tcBorders>
              <w:top w:val="nil"/>
              <w:left w:val="nil"/>
              <w:bottom w:val="single" w:sz="4" w:space="0" w:color="auto"/>
              <w:right w:val="nil"/>
            </w:tcBorders>
            <w:noWrap/>
            <w:vAlign w:val="center"/>
            <w:hideMark/>
          </w:tcPr>
          <w:p w14:paraId="28D0C5C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0.0006</w:t>
            </w:r>
          </w:p>
        </w:tc>
        <w:tc>
          <w:tcPr>
            <w:tcW w:w="0" w:type="auto"/>
            <w:tcBorders>
              <w:top w:val="nil"/>
              <w:left w:val="nil"/>
              <w:bottom w:val="single" w:sz="4" w:space="0" w:color="auto"/>
              <w:right w:val="nil"/>
            </w:tcBorders>
            <w:noWrap/>
            <w:vAlign w:val="center"/>
            <w:hideMark/>
          </w:tcPr>
          <w:p w14:paraId="6C41050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309" w:type="dxa"/>
            <w:tcBorders>
              <w:top w:val="nil"/>
              <w:left w:val="nil"/>
              <w:bottom w:val="single" w:sz="4" w:space="0" w:color="auto"/>
              <w:right w:val="nil"/>
            </w:tcBorders>
            <w:noWrap/>
            <w:vAlign w:val="center"/>
            <w:hideMark/>
          </w:tcPr>
          <w:p w14:paraId="156B39F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0.0002</w:t>
            </w:r>
          </w:p>
        </w:tc>
      </w:tr>
      <w:tr w:rsidR="00DF5B90" w:rsidRPr="00DF5B90" w14:paraId="0E30C506" w14:textId="77777777" w:rsidTr="00DF5B90">
        <w:trPr>
          <w:trHeight w:val="300"/>
          <w:jc w:val="center"/>
        </w:trPr>
        <w:tc>
          <w:tcPr>
            <w:tcW w:w="0" w:type="auto"/>
            <w:vMerge w:val="restart"/>
            <w:tcBorders>
              <w:top w:val="single" w:sz="4" w:space="0" w:color="auto"/>
              <w:left w:val="nil"/>
              <w:bottom w:val="single" w:sz="4" w:space="0" w:color="auto"/>
              <w:right w:val="nil"/>
            </w:tcBorders>
            <w:noWrap/>
            <w:vAlign w:val="center"/>
            <w:hideMark/>
          </w:tcPr>
          <w:p w14:paraId="7D9099FC"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KLSE</w:t>
            </w:r>
          </w:p>
        </w:tc>
        <w:tc>
          <w:tcPr>
            <w:tcW w:w="0" w:type="auto"/>
            <w:tcBorders>
              <w:top w:val="single" w:sz="4" w:space="0" w:color="auto"/>
              <w:left w:val="nil"/>
              <w:bottom w:val="nil"/>
              <w:right w:val="nil"/>
            </w:tcBorders>
            <w:noWrap/>
            <w:vAlign w:val="center"/>
            <w:hideMark/>
          </w:tcPr>
          <w:p w14:paraId="2F7045B8"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012F705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-4.1E-06</w:t>
            </w:r>
          </w:p>
        </w:tc>
        <w:tc>
          <w:tcPr>
            <w:tcW w:w="0" w:type="auto"/>
            <w:tcBorders>
              <w:top w:val="single" w:sz="4" w:space="0" w:color="auto"/>
              <w:left w:val="nil"/>
              <w:bottom w:val="nil"/>
              <w:right w:val="nil"/>
            </w:tcBorders>
            <w:noWrap/>
            <w:vAlign w:val="center"/>
            <w:hideMark/>
          </w:tcPr>
          <w:p w14:paraId="13F5CB4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0.0004</w:t>
            </w:r>
          </w:p>
        </w:tc>
        <w:tc>
          <w:tcPr>
            <w:tcW w:w="0" w:type="auto"/>
            <w:tcBorders>
              <w:top w:val="single" w:sz="4" w:space="0" w:color="auto"/>
              <w:left w:val="nil"/>
              <w:bottom w:val="nil"/>
              <w:right w:val="nil"/>
            </w:tcBorders>
            <w:noWrap/>
            <w:vAlign w:val="center"/>
            <w:hideMark/>
          </w:tcPr>
          <w:p w14:paraId="5783CDB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3.3E-08</w:t>
            </w:r>
          </w:p>
        </w:tc>
        <w:tc>
          <w:tcPr>
            <w:tcW w:w="0" w:type="auto"/>
            <w:tcBorders>
              <w:top w:val="single" w:sz="4" w:space="0" w:color="auto"/>
              <w:left w:val="nil"/>
              <w:bottom w:val="nil"/>
              <w:right w:val="nil"/>
            </w:tcBorders>
            <w:noWrap/>
            <w:vAlign w:val="center"/>
            <w:hideMark/>
          </w:tcPr>
          <w:p w14:paraId="7678AF6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-0.0789</w:t>
            </w:r>
          </w:p>
        </w:tc>
        <w:tc>
          <w:tcPr>
            <w:tcW w:w="0" w:type="auto"/>
            <w:tcBorders>
              <w:top w:val="single" w:sz="4" w:space="0" w:color="auto"/>
              <w:left w:val="nil"/>
              <w:bottom w:val="nil"/>
              <w:right w:val="nil"/>
            </w:tcBorders>
            <w:noWrap/>
            <w:vAlign w:val="center"/>
            <w:hideMark/>
          </w:tcPr>
          <w:p w14:paraId="0EEED00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1.0722</w:t>
            </w:r>
          </w:p>
        </w:tc>
        <w:tc>
          <w:tcPr>
            <w:tcW w:w="1309" w:type="dxa"/>
            <w:tcBorders>
              <w:top w:val="single" w:sz="4" w:space="0" w:color="auto"/>
              <w:left w:val="nil"/>
              <w:bottom w:val="nil"/>
              <w:right w:val="nil"/>
            </w:tcBorders>
            <w:vAlign w:val="center"/>
            <w:hideMark/>
          </w:tcPr>
          <w:p w14:paraId="7AAE5CF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1.3347</w:t>
            </w:r>
          </w:p>
        </w:tc>
      </w:tr>
      <w:tr w:rsidR="00DF5B90" w:rsidRPr="00DF5B90" w14:paraId="0EDF27E7"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00033CA4"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173A21AB"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2C2A588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-0.0112</w:t>
            </w:r>
          </w:p>
        </w:tc>
        <w:tc>
          <w:tcPr>
            <w:tcW w:w="0" w:type="auto"/>
            <w:noWrap/>
            <w:vAlign w:val="center"/>
            <w:hideMark/>
          </w:tcPr>
          <w:p w14:paraId="6F938F5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1.0310</w:t>
            </w:r>
          </w:p>
        </w:tc>
        <w:tc>
          <w:tcPr>
            <w:tcW w:w="0" w:type="auto"/>
            <w:noWrap/>
            <w:vAlign w:val="center"/>
            <w:hideMark/>
          </w:tcPr>
          <w:p w14:paraId="0AEFFA8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0.0573</w:t>
            </w:r>
          </w:p>
        </w:tc>
        <w:tc>
          <w:tcPr>
            <w:tcW w:w="0" w:type="auto"/>
            <w:noWrap/>
            <w:vAlign w:val="center"/>
            <w:hideMark/>
          </w:tcPr>
          <w:p w14:paraId="336BDCF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-3.2667</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4C08151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3218.26</w:t>
            </w:r>
            <w:r w:rsidRPr="00DF5B90">
              <w:rPr>
                <w:rFonts w:asciiTheme="minorHAnsi" w:eastAsia="Times New Roman" w:hAnsiTheme="minorHAnsi" w:cstheme="minorHAnsi"/>
                <w:color w:val="000000"/>
                <w:vertAlign w:val="superscript"/>
                <w:lang w:val="id-ID"/>
              </w:rPr>
              <w:t>***</w:t>
            </w:r>
          </w:p>
        </w:tc>
        <w:tc>
          <w:tcPr>
            <w:tcW w:w="1309" w:type="dxa"/>
            <w:noWrap/>
            <w:vAlign w:val="center"/>
            <w:hideMark/>
          </w:tcPr>
          <w:p w14:paraId="6D1D0F4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3.7392</w:t>
            </w:r>
            <w:r w:rsidRPr="00DF5B90">
              <w:rPr>
                <w:rFonts w:asciiTheme="minorHAnsi" w:eastAsia="Times New Roman" w:hAnsiTheme="minorHAnsi" w:cstheme="minorHAnsi"/>
                <w:color w:val="000000"/>
                <w:vertAlign w:val="superscript"/>
                <w:lang w:val="id-ID"/>
              </w:rPr>
              <w:t>***</w:t>
            </w:r>
          </w:p>
        </w:tc>
      </w:tr>
      <w:tr w:rsidR="00DF5B90" w:rsidRPr="00DF5B90" w14:paraId="09A43628"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220A82FD"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084FF4FC"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7E762F8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0.9911</w:t>
            </w:r>
          </w:p>
        </w:tc>
        <w:tc>
          <w:tcPr>
            <w:tcW w:w="0" w:type="auto"/>
            <w:tcBorders>
              <w:top w:val="nil"/>
              <w:left w:val="nil"/>
              <w:bottom w:val="single" w:sz="4" w:space="0" w:color="auto"/>
              <w:right w:val="nil"/>
            </w:tcBorders>
            <w:noWrap/>
            <w:vAlign w:val="center"/>
            <w:hideMark/>
          </w:tcPr>
          <w:p w14:paraId="170B236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0.3025</w:t>
            </w:r>
          </w:p>
        </w:tc>
        <w:tc>
          <w:tcPr>
            <w:tcW w:w="0" w:type="auto"/>
            <w:tcBorders>
              <w:top w:val="nil"/>
              <w:left w:val="nil"/>
              <w:bottom w:val="single" w:sz="4" w:space="0" w:color="auto"/>
              <w:right w:val="nil"/>
            </w:tcBorders>
            <w:noWrap/>
            <w:vAlign w:val="center"/>
            <w:hideMark/>
          </w:tcPr>
          <w:p w14:paraId="215A88A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0.9543</w:t>
            </w:r>
          </w:p>
        </w:tc>
        <w:tc>
          <w:tcPr>
            <w:tcW w:w="0" w:type="auto"/>
            <w:tcBorders>
              <w:top w:val="nil"/>
              <w:left w:val="nil"/>
              <w:bottom w:val="single" w:sz="4" w:space="0" w:color="auto"/>
              <w:right w:val="nil"/>
            </w:tcBorders>
            <w:noWrap/>
            <w:vAlign w:val="center"/>
            <w:hideMark/>
          </w:tcPr>
          <w:p w14:paraId="29384A4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0.0011</w:t>
            </w:r>
          </w:p>
        </w:tc>
        <w:tc>
          <w:tcPr>
            <w:tcW w:w="0" w:type="auto"/>
            <w:tcBorders>
              <w:top w:val="nil"/>
              <w:left w:val="nil"/>
              <w:bottom w:val="single" w:sz="4" w:space="0" w:color="auto"/>
              <w:right w:val="nil"/>
            </w:tcBorders>
            <w:noWrap/>
            <w:vAlign w:val="center"/>
            <w:hideMark/>
          </w:tcPr>
          <w:p w14:paraId="6F864BB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309" w:type="dxa"/>
            <w:tcBorders>
              <w:top w:val="nil"/>
              <w:left w:val="nil"/>
              <w:bottom w:val="single" w:sz="4" w:space="0" w:color="auto"/>
              <w:right w:val="nil"/>
            </w:tcBorders>
            <w:noWrap/>
            <w:vAlign w:val="center"/>
            <w:hideMark/>
          </w:tcPr>
          <w:p w14:paraId="0E12FDE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0.0002</w:t>
            </w:r>
          </w:p>
        </w:tc>
      </w:tr>
      <w:tr w:rsidR="00DF5B90" w:rsidRPr="00DF5B90" w14:paraId="38856488" w14:textId="77777777" w:rsidTr="00DF5B90">
        <w:trPr>
          <w:trHeight w:val="300"/>
          <w:jc w:val="center"/>
        </w:trPr>
        <w:tc>
          <w:tcPr>
            <w:tcW w:w="0" w:type="auto"/>
            <w:vMerge w:val="restart"/>
            <w:tcBorders>
              <w:top w:val="single" w:sz="4" w:space="0" w:color="auto"/>
              <w:left w:val="nil"/>
              <w:bottom w:val="single" w:sz="4" w:space="0" w:color="auto"/>
              <w:right w:val="nil"/>
            </w:tcBorders>
            <w:noWrap/>
            <w:vAlign w:val="center"/>
            <w:hideMark/>
          </w:tcPr>
          <w:p w14:paraId="7BBE53D3"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PSEi</w:t>
            </w:r>
          </w:p>
        </w:tc>
        <w:tc>
          <w:tcPr>
            <w:tcW w:w="0" w:type="auto"/>
            <w:tcBorders>
              <w:top w:val="single" w:sz="4" w:space="0" w:color="auto"/>
              <w:left w:val="nil"/>
              <w:bottom w:val="nil"/>
              <w:right w:val="nil"/>
            </w:tcBorders>
            <w:noWrap/>
            <w:vAlign w:val="center"/>
            <w:hideMark/>
          </w:tcPr>
          <w:p w14:paraId="4FA2C7CD"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32D7F0F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8.9E-05</w:t>
            </w:r>
          </w:p>
        </w:tc>
        <w:tc>
          <w:tcPr>
            <w:tcW w:w="0" w:type="auto"/>
            <w:tcBorders>
              <w:top w:val="single" w:sz="4" w:space="0" w:color="auto"/>
              <w:left w:val="nil"/>
              <w:bottom w:val="nil"/>
              <w:right w:val="nil"/>
            </w:tcBorders>
            <w:noWrap/>
            <w:vAlign w:val="center"/>
            <w:hideMark/>
          </w:tcPr>
          <w:p w14:paraId="214335D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-5.4E-05</w:t>
            </w:r>
          </w:p>
        </w:tc>
        <w:tc>
          <w:tcPr>
            <w:tcW w:w="0" w:type="auto"/>
            <w:tcBorders>
              <w:top w:val="single" w:sz="4" w:space="0" w:color="auto"/>
              <w:left w:val="nil"/>
              <w:bottom w:val="nil"/>
              <w:right w:val="nil"/>
            </w:tcBorders>
            <w:noWrap/>
            <w:vAlign w:val="center"/>
            <w:hideMark/>
          </w:tcPr>
          <w:p w14:paraId="2A75C00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7.7E-08</w:t>
            </w:r>
          </w:p>
        </w:tc>
        <w:tc>
          <w:tcPr>
            <w:tcW w:w="0" w:type="auto"/>
            <w:tcBorders>
              <w:top w:val="single" w:sz="4" w:space="0" w:color="auto"/>
              <w:left w:val="nil"/>
              <w:bottom w:val="nil"/>
              <w:right w:val="nil"/>
            </w:tcBorders>
            <w:noWrap/>
            <w:vAlign w:val="center"/>
            <w:hideMark/>
          </w:tcPr>
          <w:p w14:paraId="0255234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-0.0954</w:t>
            </w:r>
          </w:p>
        </w:tc>
        <w:tc>
          <w:tcPr>
            <w:tcW w:w="0" w:type="auto"/>
            <w:tcBorders>
              <w:top w:val="single" w:sz="4" w:space="0" w:color="auto"/>
              <w:left w:val="nil"/>
              <w:bottom w:val="nil"/>
              <w:right w:val="nil"/>
            </w:tcBorders>
            <w:noWrap/>
            <w:vAlign w:val="center"/>
            <w:hideMark/>
          </w:tcPr>
          <w:p w14:paraId="173797B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1.0789</w:t>
            </w:r>
          </w:p>
        </w:tc>
        <w:tc>
          <w:tcPr>
            <w:tcW w:w="1309" w:type="dxa"/>
            <w:tcBorders>
              <w:top w:val="single" w:sz="4" w:space="0" w:color="auto"/>
              <w:left w:val="nil"/>
              <w:bottom w:val="nil"/>
              <w:right w:val="nil"/>
            </w:tcBorders>
            <w:vAlign w:val="center"/>
            <w:hideMark/>
          </w:tcPr>
          <w:p w14:paraId="4AC3118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1.3603</w:t>
            </w:r>
          </w:p>
        </w:tc>
      </w:tr>
      <w:tr w:rsidR="00DF5B90" w:rsidRPr="00DF5B90" w14:paraId="3580D804"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706E771E"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58DC9F33"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22D4578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0.2456</w:t>
            </w:r>
          </w:p>
        </w:tc>
        <w:tc>
          <w:tcPr>
            <w:tcW w:w="0" w:type="auto"/>
            <w:noWrap/>
            <w:vAlign w:val="center"/>
            <w:hideMark/>
          </w:tcPr>
          <w:p w14:paraId="472F5E8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-0.1100</w:t>
            </w:r>
          </w:p>
        </w:tc>
        <w:tc>
          <w:tcPr>
            <w:tcW w:w="0" w:type="auto"/>
            <w:noWrap/>
            <w:vAlign w:val="center"/>
            <w:hideMark/>
          </w:tcPr>
          <w:p w14:paraId="7F4AB55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0.4170</w:t>
            </w:r>
          </w:p>
        </w:tc>
        <w:tc>
          <w:tcPr>
            <w:tcW w:w="0" w:type="auto"/>
            <w:noWrap/>
            <w:vAlign w:val="center"/>
            <w:hideMark/>
          </w:tcPr>
          <w:p w14:paraId="701AAE7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-51.5956</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4AA383A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5221.40</w:t>
            </w:r>
            <w:r w:rsidRPr="00DF5B90">
              <w:rPr>
                <w:rFonts w:asciiTheme="minorHAnsi" w:eastAsia="Times New Roman" w:hAnsiTheme="minorHAnsi" w:cstheme="minorHAnsi"/>
                <w:color w:val="000000"/>
                <w:vertAlign w:val="superscript"/>
                <w:lang w:val="id-ID"/>
              </w:rPr>
              <w:t>***</w:t>
            </w:r>
          </w:p>
        </w:tc>
        <w:tc>
          <w:tcPr>
            <w:tcW w:w="1309" w:type="dxa"/>
            <w:noWrap/>
            <w:vAlign w:val="center"/>
            <w:hideMark/>
          </w:tcPr>
          <w:p w14:paraId="7DFEDD6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3.9048</w:t>
            </w:r>
            <w:r w:rsidRPr="00DF5B90">
              <w:rPr>
                <w:rFonts w:asciiTheme="minorHAnsi" w:eastAsia="Times New Roman" w:hAnsiTheme="minorHAnsi" w:cstheme="minorHAnsi"/>
                <w:color w:val="000000"/>
                <w:vertAlign w:val="superscript"/>
                <w:lang w:val="id-ID"/>
              </w:rPr>
              <w:t>***</w:t>
            </w:r>
          </w:p>
        </w:tc>
      </w:tr>
      <w:tr w:rsidR="00DF5B90" w:rsidRPr="00DF5B90" w14:paraId="6A25591A"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2AEBE766"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3718F4A5"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536E277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0.8060</w:t>
            </w:r>
          </w:p>
        </w:tc>
        <w:tc>
          <w:tcPr>
            <w:tcW w:w="0" w:type="auto"/>
            <w:tcBorders>
              <w:top w:val="nil"/>
              <w:left w:val="nil"/>
              <w:bottom w:val="single" w:sz="4" w:space="0" w:color="auto"/>
              <w:right w:val="nil"/>
            </w:tcBorders>
            <w:noWrap/>
            <w:vAlign w:val="center"/>
            <w:hideMark/>
          </w:tcPr>
          <w:p w14:paraId="43EC218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0.9124</w:t>
            </w:r>
          </w:p>
        </w:tc>
        <w:tc>
          <w:tcPr>
            <w:tcW w:w="0" w:type="auto"/>
            <w:tcBorders>
              <w:top w:val="nil"/>
              <w:left w:val="nil"/>
              <w:bottom w:val="single" w:sz="4" w:space="0" w:color="auto"/>
              <w:right w:val="nil"/>
            </w:tcBorders>
            <w:noWrap/>
            <w:vAlign w:val="center"/>
            <w:hideMark/>
          </w:tcPr>
          <w:p w14:paraId="54CED4B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0.6767</w:t>
            </w:r>
          </w:p>
        </w:tc>
        <w:tc>
          <w:tcPr>
            <w:tcW w:w="0" w:type="auto"/>
            <w:tcBorders>
              <w:top w:val="nil"/>
              <w:left w:val="nil"/>
              <w:bottom w:val="single" w:sz="4" w:space="0" w:color="auto"/>
              <w:right w:val="nil"/>
            </w:tcBorders>
            <w:noWrap/>
            <w:vAlign w:val="center"/>
            <w:hideMark/>
          </w:tcPr>
          <w:p w14:paraId="1DC4464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nil"/>
              <w:left w:val="nil"/>
              <w:bottom w:val="single" w:sz="4" w:space="0" w:color="auto"/>
              <w:right w:val="nil"/>
            </w:tcBorders>
            <w:noWrap/>
            <w:vAlign w:val="center"/>
            <w:hideMark/>
          </w:tcPr>
          <w:p w14:paraId="0DC9EA8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309" w:type="dxa"/>
            <w:tcBorders>
              <w:top w:val="nil"/>
              <w:left w:val="nil"/>
              <w:bottom w:val="single" w:sz="4" w:space="0" w:color="auto"/>
              <w:right w:val="nil"/>
            </w:tcBorders>
            <w:noWrap/>
            <w:vAlign w:val="center"/>
            <w:hideMark/>
          </w:tcPr>
          <w:p w14:paraId="16377F8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0.0001</w:t>
            </w:r>
          </w:p>
        </w:tc>
      </w:tr>
      <w:tr w:rsidR="00DF5B90" w:rsidRPr="00DF5B90" w14:paraId="5358E91C" w14:textId="77777777" w:rsidTr="00DF5B90">
        <w:trPr>
          <w:trHeight w:val="300"/>
          <w:jc w:val="center"/>
        </w:trPr>
        <w:tc>
          <w:tcPr>
            <w:tcW w:w="0" w:type="auto"/>
            <w:vMerge w:val="restart"/>
            <w:tcBorders>
              <w:top w:val="single" w:sz="4" w:space="0" w:color="auto"/>
              <w:left w:val="nil"/>
              <w:bottom w:val="single" w:sz="4" w:space="0" w:color="auto"/>
              <w:right w:val="nil"/>
            </w:tcBorders>
            <w:noWrap/>
            <w:vAlign w:val="center"/>
            <w:hideMark/>
          </w:tcPr>
          <w:p w14:paraId="35D83794"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STI</w:t>
            </w:r>
          </w:p>
        </w:tc>
        <w:tc>
          <w:tcPr>
            <w:tcW w:w="0" w:type="auto"/>
            <w:tcBorders>
              <w:top w:val="single" w:sz="4" w:space="0" w:color="auto"/>
              <w:left w:val="nil"/>
              <w:bottom w:val="nil"/>
              <w:right w:val="nil"/>
            </w:tcBorders>
            <w:noWrap/>
            <w:vAlign w:val="center"/>
            <w:hideMark/>
          </w:tcPr>
          <w:p w14:paraId="42D8E947"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167A31B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8.1E-05</w:t>
            </w:r>
          </w:p>
        </w:tc>
        <w:tc>
          <w:tcPr>
            <w:tcW w:w="0" w:type="auto"/>
            <w:tcBorders>
              <w:top w:val="single" w:sz="4" w:space="0" w:color="auto"/>
              <w:left w:val="nil"/>
              <w:bottom w:val="nil"/>
              <w:right w:val="nil"/>
            </w:tcBorders>
            <w:noWrap/>
            <w:vAlign w:val="center"/>
            <w:hideMark/>
          </w:tcPr>
          <w:p w14:paraId="68D1388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0.0004</w:t>
            </w:r>
          </w:p>
        </w:tc>
        <w:tc>
          <w:tcPr>
            <w:tcW w:w="0" w:type="auto"/>
            <w:tcBorders>
              <w:top w:val="single" w:sz="4" w:space="0" w:color="auto"/>
              <w:left w:val="nil"/>
              <w:bottom w:val="nil"/>
              <w:right w:val="nil"/>
            </w:tcBorders>
            <w:noWrap/>
            <w:vAlign w:val="center"/>
            <w:hideMark/>
          </w:tcPr>
          <w:p w14:paraId="3D727C1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-2.8E-07</w:t>
            </w:r>
          </w:p>
        </w:tc>
        <w:tc>
          <w:tcPr>
            <w:tcW w:w="0" w:type="auto"/>
            <w:tcBorders>
              <w:top w:val="single" w:sz="4" w:space="0" w:color="auto"/>
              <w:left w:val="nil"/>
              <w:bottom w:val="nil"/>
              <w:right w:val="nil"/>
            </w:tcBorders>
            <w:noWrap/>
            <w:vAlign w:val="center"/>
            <w:hideMark/>
          </w:tcPr>
          <w:p w14:paraId="6C0F718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-0.0605</w:t>
            </w:r>
          </w:p>
        </w:tc>
        <w:tc>
          <w:tcPr>
            <w:tcW w:w="0" w:type="auto"/>
            <w:tcBorders>
              <w:top w:val="single" w:sz="4" w:space="0" w:color="auto"/>
              <w:left w:val="nil"/>
              <w:bottom w:val="nil"/>
              <w:right w:val="nil"/>
            </w:tcBorders>
            <w:noWrap/>
            <w:vAlign w:val="center"/>
            <w:hideMark/>
          </w:tcPr>
          <w:p w14:paraId="2782DC2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1.0646</w:t>
            </w:r>
          </w:p>
        </w:tc>
        <w:tc>
          <w:tcPr>
            <w:tcW w:w="1309" w:type="dxa"/>
            <w:tcBorders>
              <w:top w:val="single" w:sz="4" w:space="0" w:color="auto"/>
              <w:left w:val="nil"/>
              <w:bottom w:val="nil"/>
              <w:right w:val="nil"/>
            </w:tcBorders>
            <w:vAlign w:val="center"/>
            <w:hideMark/>
          </w:tcPr>
          <w:p w14:paraId="6243852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1.2129</w:t>
            </w:r>
          </w:p>
        </w:tc>
      </w:tr>
      <w:tr w:rsidR="00DF5B90" w:rsidRPr="00DF5B90" w14:paraId="2033C483"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14F3C83E"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6755A9AB"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5C5AF95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0.2334</w:t>
            </w:r>
          </w:p>
        </w:tc>
        <w:tc>
          <w:tcPr>
            <w:tcW w:w="0" w:type="auto"/>
            <w:noWrap/>
            <w:vAlign w:val="center"/>
            <w:hideMark/>
          </w:tcPr>
          <w:p w14:paraId="291C278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1.2152</w:t>
            </w:r>
          </w:p>
        </w:tc>
        <w:tc>
          <w:tcPr>
            <w:tcW w:w="0" w:type="auto"/>
            <w:noWrap/>
            <w:vAlign w:val="center"/>
            <w:hideMark/>
          </w:tcPr>
          <w:p w14:paraId="3824D38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-0.4251</w:t>
            </w:r>
          </w:p>
        </w:tc>
        <w:tc>
          <w:tcPr>
            <w:tcW w:w="0" w:type="auto"/>
            <w:noWrap/>
            <w:vAlign w:val="center"/>
            <w:hideMark/>
          </w:tcPr>
          <w:p w14:paraId="77D40DC7" w14:textId="77777777" w:rsidR="00DF5B90" w:rsidRPr="00DF5B90" w:rsidRDefault="00DF5B90" w:rsidP="00DF5B90">
            <w:pPr>
              <w:spacing w:after="0" w:line="240" w:lineRule="auto"/>
              <w:jc w:val="right"/>
              <w:rPr>
                <w:rFonts w:asciiTheme="minorHAnsi" w:eastAsia="Times New Roman" w:hAnsiTheme="minorHAnsi" w:cstheme="minorHAnsi"/>
                <w:color w:val="000000"/>
                <w:lang w:val="en-US"/>
              </w:rPr>
            </w:pPr>
            <w:r w:rsidRPr="00DF5B90">
              <w:rPr>
                <w:rFonts w:asciiTheme="minorHAnsi" w:eastAsia="Times New Roman" w:hAnsiTheme="minorHAnsi" w:cstheme="minorHAnsi"/>
                <w:color w:val="000000"/>
                <w:lang w:val="id-ID"/>
              </w:rPr>
              <w:t>-2.3586</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1D21716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2623.56</w:t>
            </w:r>
            <w:r w:rsidRPr="00DF5B90">
              <w:rPr>
                <w:rFonts w:asciiTheme="minorHAnsi" w:eastAsia="Times New Roman" w:hAnsiTheme="minorHAnsi" w:cstheme="minorHAnsi"/>
                <w:color w:val="000000"/>
                <w:vertAlign w:val="superscript"/>
                <w:lang w:val="id-ID"/>
              </w:rPr>
              <w:t>***</w:t>
            </w:r>
          </w:p>
        </w:tc>
        <w:tc>
          <w:tcPr>
            <w:tcW w:w="1309" w:type="dxa"/>
            <w:noWrap/>
            <w:vAlign w:val="center"/>
            <w:hideMark/>
          </w:tcPr>
          <w:p w14:paraId="270905E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3.8875</w:t>
            </w:r>
            <w:r w:rsidRPr="00DF5B90">
              <w:rPr>
                <w:rFonts w:asciiTheme="minorHAnsi" w:eastAsia="Times New Roman" w:hAnsiTheme="minorHAnsi" w:cstheme="minorHAnsi"/>
                <w:color w:val="000000"/>
                <w:vertAlign w:val="superscript"/>
                <w:lang w:val="id-ID"/>
              </w:rPr>
              <w:t>***</w:t>
            </w:r>
          </w:p>
        </w:tc>
      </w:tr>
      <w:tr w:rsidR="00DF5B90" w:rsidRPr="00DF5B90" w14:paraId="64AC8B35"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7D069068"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7FDED62C"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22CB418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0.8155</w:t>
            </w:r>
          </w:p>
        </w:tc>
        <w:tc>
          <w:tcPr>
            <w:tcW w:w="0" w:type="auto"/>
            <w:tcBorders>
              <w:top w:val="nil"/>
              <w:left w:val="nil"/>
              <w:bottom w:val="single" w:sz="4" w:space="0" w:color="auto"/>
              <w:right w:val="nil"/>
            </w:tcBorders>
            <w:noWrap/>
            <w:vAlign w:val="center"/>
            <w:hideMark/>
          </w:tcPr>
          <w:p w14:paraId="6A9CE4E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0.2243</w:t>
            </w:r>
          </w:p>
        </w:tc>
        <w:tc>
          <w:tcPr>
            <w:tcW w:w="0" w:type="auto"/>
            <w:tcBorders>
              <w:top w:val="nil"/>
              <w:left w:val="nil"/>
              <w:bottom w:val="single" w:sz="4" w:space="0" w:color="auto"/>
              <w:right w:val="nil"/>
            </w:tcBorders>
            <w:noWrap/>
            <w:vAlign w:val="center"/>
            <w:hideMark/>
          </w:tcPr>
          <w:p w14:paraId="20055E9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0.6707</w:t>
            </w:r>
          </w:p>
        </w:tc>
        <w:tc>
          <w:tcPr>
            <w:tcW w:w="0" w:type="auto"/>
            <w:tcBorders>
              <w:top w:val="nil"/>
              <w:left w:val="nil"/>
              <w:bottom w:val="single" w:sz="4" w:space="0" w:color="auto"/>
              <w:right w:val="nil"/>
            </w:tcBorders>
            <w:noWrap/>
            <w:vAlign w:val="center"/>
            <w:hideMark/>
          </w:tcPr>
          <w:p w14:paraId="090B5C7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0.0183</w:t>
            </w:r>
          </w:p>
        </w:tc>
        <w:tc>
          <w:tcPr>
            <w:tcW w:w="0" w:type="auto"/>
            <w:tcBorders>
              <w:top w:val="nil"/>
              <w:left w:val="nil"/>
              <w:bottom w:val="single" w:sz="4" w:space="0" w:color="auto"/>
              <w:right w:val="nil"/>
            </w:tcBorders>
            <w:noWrap/>
            <w:vAlign w:val="center"/>
            <w:hideMark/>
          </w:tcPr>
          <w:p w14:paraId="13E71A4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309" w:type="dxa"/>
            <w:tcBorders>
              <w:top w:val="nil"/>
              <w:left w:val="nil"/>
              <w:bottom w:val="single" w:sz="4" w:space="0" w:color="auto"/>
              <w:right w:val="nil"/>
            </w:tcBorders>
            <w:noWrap/>
            <w:vAlign w:val="center"/>
            <w:hideMark/>
          </w:tcPr>
          <w:p w14:paraId="23E6B4A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0.0001</w:t>
            </w:r>
          </w:p>
        </w:tc>
      </w:tr>
      <w:tr w:rsidR="00DF5B90" w:rsidRPr="00DF5B90" w14:paraId="42EBFAA8" w14:textId="77777777" w:rsidTr="00DF5B90">
        <w:trPr>
          <w:trHeight w:val="300"/>
          <w:jc w:val="center"/>
        </w:trPr>
        <w:tc>
          <w:tcPr>
            <w:tcW w:w="0" w:type="auto"/>
            <w:vMerge w:val="restart"/>
            <w:tcBorders>
              <w:top w:val="single" w:sz="4" w:space="0" w:color="auto"/>
              <w:left w:val="nil"/>
              <w:bottom w:val="single" w:sz="4" w:space="0" w:color="auto"/>
              <w:right w:val="nil"/>
            </w:tcBorders>
            <w:noWrap/>
            <w:vAlign w:val="center"/>
            <w:hideMark/>
          </w:tcPr>
          <w:p w14:paraId="4A6560B9"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SETI</w:t>
            </w:r>
          </w:p>
        </w:tc>
        <w:tc>
          <w:tcPr>
            <w:tcW w:w="0" w:type="auto"/>
            <w:tcBorders>
              <w:top w:val="single" w:sz="4" w:space="0" w:color="auto"/>
              <w:left w:val="nil"/>
              <w:bottom w:val="nil"/>
              <w:right w:val="nil"/>
            </w:tcBorders>
            <w:noWrap/>
            <w:vAlign w:val="center"/>
            <w:hideMark/>
          </w:tcPr>
          <w:p w14:paraId="2E3C6556"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5E085CB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0.0001</w:t>
            </w:r>
          </w:p>
        </w:tc>
        <w:tc>
          <w:tcPr>
            <w:tcW w:w="0" w:type="auto"/>
            <w:tcBorders>
              <w:top w:val="single" w:sz="4" w:space="0" w:color="auto"/>
              <w:left w:val="nil"/>
              <w:bottom w:val="nil"/>
              <w:right w:val="nil"/>
            </w:tcBorders>
            <w:noWrap/>
            <w:vAlign w:val="center"/>
            <w:hideMark/>
          </w:tcPr>
          <w:p w14:paraId="01D90B4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-0.0001</w:t>
            </w:r>
          </w:p>
        </w:tc>
        <w:tc>
          <w:tcPr>
            <w:tcW w:w="0" w:type="auto"/>
            <w:tcBorders>
              <w:top w:val="single" w:sz="4" w:space="0" w:color="auto"/>
              <w:left w:val="nil"/>
              <w:bottom w:val="nil"/>
              <w:right w:val="nil"/>
            </w:tcBorders>
            <w:noWrap/>
            <w:vAlign w:val="center"/>
            <w:hideMark/>
          </w:tcPr>
          <w:p w14:paraId="7E9385B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9.0E-08</w:t>
            </w:r>
          </w:p>
        </w:tc>
        <w:tc>
          <w:tcPr>
            <w:tcW w:w="0" w:type="auto"/>
            <w:tcBorders>
              <w:top w:val="single" w:sz="4" w:space="0" w:color="auto"/>
              <w:left w:val="nil"/>
              <w:bottom w:val="nil"/>
              <w:right w:val="nil"/>
            </w:tcBorders>
            <w:noWrap/>
            <w:vAlign w:val="center"/>
            <w:hideMark/>
          </w:tcPr>
          <w:p w14:paraId="7C7E1AF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-0.0843</w:t>
            </w:r>
          </w:p>
        </w:tc>
        <w:tc>
          <w:tcPr>
            <w:tcW w:w="0" w:type="auto"/>
            <w:tcBorders>
              <w:top w:val="single" w:sz="4" w:space="0" w:color="auto"/>
              <w:left w:val="nil"/>
              <w:bottom w:val="nil"/>
              <w:right w:val="nil"/>
            </w:tcBorders>
            <w:noWrap/>
            <w:vAlign w:val="center"/>
            <w:hideMark/>
          </w:tcPr>
          <w:p w14:paraId="0CDD8A5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1.0652</w:t>
            </w:r>
          </w:p>
        </w:tc>
        <w:tc>
          <w:tcPr>
            <w:tcW w:w="1309" w:type="dxa"/>
            <w:tcBorders>
              <w:top w:val="single" w:sz="4" w:space="0" w:color="auto"/>
              <w:left w:val="nil"/>
              <w:bottom w:val="nil"/>
              <w:right w:val="nil"/>
            </w:tcBorders>
            <w:vAlign w:val="center"/>
            <w:hideMark/>
          </w:tcPr>
          <w:p w14:paraId="2A10006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1.3007</w:t>
            </w:r>
          </w:p>
        </w:tc>
      </w:tr>
      <w:tr w:rsidR="00DF5B90" w:rsidRPr="00DF5B90" w14:paraId="00AD4B12"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71FBE24F"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6725E463"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33B7953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0.3701</w:t>
            </w:r>
          </w:p>
        </w:tc>
        <w:tc>
          <w:tcPr>
            <w:tcW w:w="0" w:type="auto"/>
            <w:noWrap/>
            <w:vAlign w:val="center"/>
            <w:hideMark/>
          </w:tcPr>
          <w:p w14:paraId="24E3298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-0.3248</w:t>
            </w:r>
          </w:p>
        </w:tc>
        <w:tc>
          <w:tcPr>
            <w:tcW w:w="0" w:type="auto"/>
            <w:noWrap/>
            <w:vAlign w:val="center"/>
            <w:hideMark/>
          </w:tcPr>
          <w:p w14:paraId="39BC164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0.1614</w:t>
            </w:r>
          </w:p>
        </w:tc>
        <w:tc>
          <w:tcPr>
            <w:tcW w:w="0" w:type="auto"/>
            <w:noWrap/>
            <w:vAlign w:val="center"/>
            <w:hideMark/>
          </w:tcPr>
          <w:p w14:paraId="7FAE6DA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-3.0909</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61B1F97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2519.30</w:t>
            </w:r>
            <w:r w:rsidRPr="00DF5B90">
              <w:rPr>
                <w:rFonts w:asciiTheme="minorHAnsi" w:eastAsia="Times New Roman" w:hAnsiTheme="minorHAnsi" w:cstheme="minorHAnsi"/>
                <w:color w:val="000000"/>
                <w:vertAlign w:val="superscript"/>
                <w:lang w:val="id-ID"/>
              </w:rPr>
              <w:t>***</w:t>
            </w:r>
          </w:p>
        </w:tc>
        <w:tc>
          <w:tcPr>
            <w:tcW w:w="1309" w:type="dxa"/>
            <w:noWrap/>
            <w:vAlign w:val="center"/>
            <w:hideMark/>
          </w:tcPr>
          <w:p w14:paraId="03BCE51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3.6052</w:t>
            </w:r>
            <w:r w:rsidRPr="00DF5B90">
              <w:rPr>
                <w:rFonts w:asciiTheme="minorHAnsi" w:eastAsia="Times New Roman" w:hAnsiTheme="minorHAnsi" w:cstheme="minorHAnsi"/>
                <w:color w:val="000000"/>
                <w:vertAlign w:val="superscript"/>
                <w:lang w:val="id-ID"/>
              </w:rPr>
              <w:t>***</w:t>
            </w:r>
          </w:p>
        </w:tc>
      </w:tr>
      <w:tr w:rsidR="00DF5B90" w:rsidRPr="00DF5B90" w14:paraId="020B9812"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1325AF5C"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27C50A48"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4D28316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0.7113</w:t>
            </w:r>
          </w:p>
        </w:tc>
        <w:tc>
          <w:tcPr>
            <w:tcW w:w="0" w:type="auto"/>
            <w:tcBorders>
              <w:top w:val="nil"/>
              <w:left w:val="nil"/>
              <w:bottom w:val="single" w:sz="4" w:space="0" w:color="auto"/>
              <w:right w:val="nil"/>
            </w:tcBorders>
            <w:noWrap/>
            <w:vAlign w:val="center"/>
            <w:hideMark/>
          </w:tcPr>
          <w:p w14:paraId="19FD0CD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0.7453</w:t>
            </w:r>
          </w:p>
        </w:tc>
        <w:tc>
          <w:tcPr>
            <w:tcW w:w="0" w:type="auto"/>
            <w:tcBorders>
              <w:top w:val="nil"/>
              <w:left w:val="nil"/>
              <w:bottom w:val="single" w:sz="4" w:space="0" w:color="auto"/>
              <w:right w:val="nil"/>
            </w:tcBorders>
            <w:noWrap/>
            <w:vAlign w:val="center"/>
            <w:hideMark/>
          </w:tcPr>
          <w:p w14:paraId="1BE13A1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0.8718</w:t>
            </w:r>
          </w:p>
        </w:tc>
        <w:tc>
          <w:tcPr>
            <w:tcW w:w="0" w:type="auto"/>
            <w:tcBorders>
              <w:top w:val="nil"/>
              <w:left w:val="nil"/>
              <w:bottom w:val="single" w:sz="4" w:space="0" w:color="auto"/>
              <w:right w:val="nil"/>
            </w:tcBorders>
            <w:noWrap/>
            <w:vAlign w:val="center"/>
            <w:hideMark/>
          </w:tcPr>
          <w:p w14:paraId="2A7D61F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0.0020</w:t>
            </w:r>
          </w:p>
        </w:tc>
        <w:tc>
          <w:tcPr>
            <w:tcW w:w="0" w:type="auto"/>
            <w:tcBorders>
              <w:top w:val="nil"/>
              <w:left w:val="nil"/>
              <w:bottom w:val="single" w:sz="4" w:space="0" w:color="auto"/>
              <w:right w:val="nil"/>
            </w:tcBorders>
            <w:noWrap/>
            <w:vAlign w:val="center"/>
            <w:hideMark/>
          </w:tcPr>
          <w:p w14:paraId="2724E92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309" w:type="dxa"/>
            <w:tcBorders>
              <w:top w:val="nil"/>
              <w:left w:val="nil"/>
              <w:bottom w:val="single" w:sz="4" w:space="0" w:color="auto"/>
              <w:right w:val="nil"/>
            </w:tcBorders>
            <w:noWrap/>
            <w:vAlign w:val="center"/>
            <w:hideMark/>
          </w:tcPr>
          <w:p w14:paraId="4E11202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0.0003</w:t>
            </w:r>
          </w:p>
        </w:tc>
      </w:tr>
      <w:tr w:rsidR="00DF5B90" w:rsidRPr="00DF5B90" w14:paraId="7837A6F2" w14:textId="77777777" w:rsidTr="00DF5B90">
        <w:trPr>
          <w:trHeight w:val="300"/>
          <w:jc w:val="center"/>
        </w:trPr>
        <w:tc>
          <w:tcPr>
            <w:tcW w:w="0" w:type="auto"/>
            <w:vMerge w:val="restart"/>
            <w:tcBorders>
              <w:top w:val="single" w:sz="4" w:space="0" w:color="auto"/>
              <w:left w:val="nil"/>
              <w:bottom w:val="single" w:sz="4" w:space="0" w:color="auto"/>
              <w:right w:val="nil"/>
            </w:tcBorders>
            <w:noWrap/>
            <w:vAlign w:val="center"/>
            <w:hideMark/>
          </w:tcPr>
          <w:p w14:paraId="11D58F7B"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VN 30</w:t>
            </w:r>
          </w:p>
        </w:tc>
        <w:tc>
          <w:tcPr>
            <w:tcW w:w="0" w:type="auto"/>
            <w:tcBorders>
              <w:top w:val="single" w:sz="4" w:space="0" w:color="auto"/>
              <w:left w:val="nil"/>
              <w:bottom w:val="nil"/>
              <w:right w:val="nil"/>
            </w:tcBorders>
            <w:noWrap/>
            <w:vAlign w:val="center"/>
            <w:hideMark/>
          </w:tcPr>
          <w:p w14:paraId="48EE2A37"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73D66A3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0.0003</w:t>
            </w:r>
          </w:p>
        </w:tc>
        <w:tc>
          <w:tcPr>
            <w:tcW w:w="0" w:type="auto"/>
            <w:tcBorders>
              <w:top w:val="single" w:sz="4" w:space="0" w:color="auto"/>
              <w:left w:val="nil"/>
              <w:bottom w:val="nil"/>
              <w:right w:val="nil"/>
            </w:tcBorders>
            <w:noWrap/>
            <w:vAlign w:val="center"/>
            <w:hideMark/>
          </w:tcPr>
          <w:p w14:paraId="03B622A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0.0009</w:t>
            </w:r>
          </w:p>
        </w:tc>
        <w:tc>
          <w:tcPr>
            <w:tcW w:w="0" w:type="auto"/>
            <w:tcBorders>
              <w:top w:val="single" w:sz="4" w:space="0" w:color="auto"/>
              <w:left w:val="nil"/>
              <w:bottom w:val="nil"/>
              <w:right w:val="nil"/>
            </w:tcBorders>
            <w:noWrap/>
            <w:vAlign w:val="center"/>
            <w:hideMark/>
          </w:tcPr>
          <w:p w14:paraId="7D5BB2E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-2.5E-07</w:t>
            </w:r>
          </w:p>
        </w:tc>
        <w:tc>
          <w:tcPr>
            <w:tcW w:w="0" w:type="auto"/>
            <w:tcBorders>
              <w:top w:val="single" w:sz="4" w:space="0" w:color="auto"/>
              <w:left w:val="nil"/>
              <w:bottom w:val="nil"/>
              <w:right w:val="nil"/>
            </w:tcBorders>
            <w:noWrap/>
            <w:vAlign w:val="center"/>
            <w:hideMark/>
          </w:tcPr>
          <w:p w14:paraId="41EA88F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-0.0619</w:t>
            </w:r>
          </w:p>
        </w:tc>
        <w:tc>
          <w:tcPr>
            <w:tcW w:w="0" w:type="auto"/>
            <w:tcBorders>
              <w:top w:val="single" w:sz="4" w:space="0" w:color="auto"/>
              <w:left w:val="nil"/>
              <w:bottom w:val="nil"/>
              <w:right w:val="nil"/>
            </w:tcBorders>
            <w:noWrap/>
            <w:vAlign w:val="center"/>
            <w:hideMark/>
          </w:tcPr>
          <w:p w14:paraId="5D95C8D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1.0623</w:t>
            </w:r>
          </w:p>
        </w:tc>
        <w:tc>
          <w:tcPr>
            <w:tcW w:w="1309" w:type="dxa"/>
            <w:tcBorders>
              <w:top w:val="single" w:sz="4" w:space="0" w:color="auto"/>
              <w:left w:val="nil"/>
              <w:bottom w:val="nil"/>
              <w:right w:val="nil"/>
            </w:tcBorders>
            <w:vAlign w:val="center"/>
            <w:hideMark/>
          </w:tcPr>
          <w:p w14:paraId="5646E12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1.2347</w:t>
            </w:r>
          </w:p>
        </w:tc>
      </w:tr>
      <w:tr w:rsidR="00DF5B90" w:rsidRPr="00DF5B90" w14:paraId="55F0ACC5"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0A0C8AB4"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1E31C760"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76BA794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0.7877</w:t>
            </w:r>
          </w:p>
        </w:tc>
        <w:tc>
          <w:tcPr>
            <w:tcW w:w="0" w:type="auto"/>
            <w:noWrap/>
            <w:vAlign w:val="center"/>
            <w:hideMark/>
          </w:tcPr>
          <w:p w14:paraId="6ACA821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2.4833</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75EE61B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-0.3636</w:t>
            </w:r>
          </w:p>
        </w:tc>
        <w:tc>
          <w:tcPr>
            <w:tcW w:w="0" w:type="auto"/>
            <w:noWrap/>
            <w:vAlign w:val="center"/>
            <w:hideMark/>
          </w:tcPr>
          <w:p w14:paraId="552842F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-2.3136</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049EA7B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2798.39</w:t>
            </w:r>
            <w:r w:rsidRPr="00DF5B90">
              <w:rPr>
                <w:rFonts w:asciiTheme="minorHAnsi" w:eastAsia="Times New Roman" w:hAnsiTheme="minorHAnsi" w:cstheme="minorHAnsi"/>
                <w:color w:val="000000"/>
                <w:vertAlign w:val="superscript"/>
                <w:lang w:val="id-ID"/>
              </w:rPr>
              <w:t>***</w:t>
            </w:r>
          </w:p>
        </w:tc>
        <w:tc>
          <w:tcPr>
            <w:tcW w:w="1309" w:type="dxa"/>
            <w:noWrap/>
            <w:vAlign w:val="center"/>
            <w:hideMark/>
          </w:tcPr>
          <w:p w14:paraId="5595267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3.5557</w:t>
            </w:r>
            <w:r w:rsidRPr="00DF5B90">
              <w:rPr>
                <w:rFonts w:asciiTheme="minorHAnsi" w:eastAsia="Times New Roman" w:hAnsiTheme="minorHAnsi" w:cstheme="minorHAnsi"/>
                <w:color w:val="000000"/>
                <w:vertAlign w:val="superscript"/>
                <w:lang w:val="id-ID"/>
              </w:rPr>
              <w:t>***</w:t>
            </w:r>
          </w:p>
        </w:tc>
      </w:tr>
      <w:tr w:rsidR="00DF5B90" w:rsidRPr="00DF5B90" w14:paraId="4FB0B3D3"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0D20D4BE"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3F8E21F7"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4AB9C94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0.4309</w:t>
            </w:r>
          </w:p>
        </w:tc>
        <w:tc>
          <w:tcPr>
            <w:tcW w:w="0" w:type="auto"/>
            <w:tcBorders>
              <w:top w:val="nil"/>
              <w:left w:val="nil"/>
              <w:bottom w:val="single" w:sz="4" w:space="0" w:color="auto"/>
              <w:right w:val="nil"/>
            </w:tcBorders>
            <w:noWrap/>
            <w:vAlign w:val="center"/>
            <w:hideMark/>
          </w:tcPr>
          <w:p w14:paraId="546AE29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0.0130</w:t>
            </w:r>
          </w:p>
        </w:tc>
        <w:tc>
          <w:tcPr>
            <w:tcW w:w="0" w:type="auto"/>
            <w:tcBorders>
              <w:top w:val="nil"/>
              <w:left w:val="nil"/>
              <w:bottom w:val="single" w:sz="4" w:space="0" w:color="auto"/>
              <w:right w:val="nil"/>
            </w:tcBorders>
            <w:noWrap/>
            <w:vAlign w:val="center"/>
            <w:hideMark/>
          </w:tcPr>
          <w:p w14:paraId="238366C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0.7161</w:t>
            </w:r>
          </w:p>
        </w:tc>
        <w:tc>
          <w:tcPr>
            <w:tcW w:w="0" w:type="auto"/>
            <w:tcBorders>
              <w:top w:val="nil"/>
              <w:left w:val="nil"/>
              <w:bottom w:val="single" w:sz="4" w:space="0" w:color="auto"/>
              <w:right w:val="nil"/>
            </w:tcBorders>
            <w:noWrap/>
            <w:vAlign w:val="center"/>
            <w:hideMark/>
          </w:tcPr>
          <w:p w14:paraId="030A319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0.0207</w:t>
            </w:r>
          </w:p>
        </w:tc>
        <w:tc>
          <w:tcPr>
            <w:tcW w:w="0" w:type="auto"/>
            <w:tcBorders>
              <w:top w:val="nil"/>
              <w:left w:val="nil"/>
              <w:bottom w:val="single" w:sz="4" w:space="0" w:color="auto"/>
              <w:right w:val="nil"/>
            </w:tcBorders>
            <w:noWrap/>
            <w:vAlign w:val="center"/>
            <w:hideMark/>
          </w:tcPr>
          <w:p w14:paraId="391E27A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309" w:type="dxa"/>
            <w:tcBorders>
              <w:top w:val="nil"/>
              <w:left w:val="nil"/>
              <w:bottom w:val="single" w:sz="4" w:space="0" w:color="auto"/>
              <w:right w:val="nil"/>
            </w:tcBorders>
            <w:noWrap/>
            <w:vAlign w:val="center"/>
            <w:hideMark/>
          </w:tcPr>
          <w:p w14:paraId="54E426C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0.0004</w:t>
            </w:r>
          </w:p>
        </w:tc>
      </w:tr>
      <w:tr w:rsidR="00DF5B90" w:rsidRPr="00DF5B90" w14:paraId="2C8204B7" w14:textId="77777777" w:rsidTr="00DF5B90">
        <w:trPr>
          <w:trHeight w:val="300"/>
          <w:jc w:val="center"/>
        </w:trPr>
        <w:tc>
          <w:tcPr>
            <w:tcW w:w="0" w:type="auto"/>
            <w:vMerge w:val="restart"/>
            <w:tcBorders>
              <w:top w:val="single" w:sz="4" w:space="0" w:color="auto"/>
              <w:left w:val="nil"/>
              <w:bottom w:val="single" w:sz="4" w:space="0" w:color="auto"/>
              <w:right w:val="nil"/>
            </w:tcBorders>
            <w:noWrap/>
            <w:vAlign w:val="center"/>
            <w:hideMark/>
          </w:tcPr>
          <w:p w14:paraId="48EF9871"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LSX</w:t>
            </w:r>
          </w:p>
        </w:tc>
        <w:tc>
          <w:tcPr>
            <w:tcW w:w="0" w:type="auto"/>
            <w:tcBorders>
              <w:top w:val="single" w:sz="4" w:space="0" w:color="auto"/>
              <w:left w:val="nil"/>
              <w:bottom w:val="nil"/>
              <w:right w:val="nil"/>
            </w:tcBorders>
            <w:noWrap/>
            <w:vAlign w:val="center"/>
            <w:hideMark/>
          </w:tcPr>
          <w:p w14:paraId="2AB80B62"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71996A6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4.8E-05</w:t>
            </w:r>
          </w:p>
        </w:tc>
        <w:tc>
          <w:tcPr>
            <w:tcW w:w="0" w:type="auto"/>
            <w:tcBorders>
              <w:top w:val="single" w:sz="4" w:space="0" w:color="auto"/>
              <w:left w:val="nil"/>
              <w:bottom w:val="nil"/>
              <w:right w:val="nil"/>
            </w:tcBorders>
            <w:noWrap/>
            <w:vAlign w:val="center"/>
            <w:hideMark/>
          </w:tcPr>
          <w:p w14:paraId="25937C9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0.0004</w:t>
            </w:r>
          </w:p>
        </w:tc>
        <w:tc>
          <w:tcPr>
            <w:tcW w:w="0" w:type="auto"/>
            <w:tcBorders>
              <w:top w:val="single" w:sz="4" w:space="0" w:color="auto"/>
              <w:left w:val="nil"/>
              <w:bottom w:val="nil"/>
              <w:right w:val="nil"/>
            </w:tcBorders>
            <w:noWrap/>
            <w:vAlign w:val="center"/>
            <w:hideMark/>
          </w:tcPr>
          <w:p w14:paraId="261F3C8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1.4E-07</w:t>
            </w:r>
          </w:p>
        </w:tc>
        <w:tc>
          <w:tcPr>
            <w:tcW w:w="0" w:type="auto"/>
            <w:tcBorders>
              <w:top w:val="single" w:sz="4" w:space="0" w:color="auto"/>
              <w:left w:val="nil"/>
              <w:bottom w:val="nil"/>
              <w:right w:val="nil"/>
            </w:tcBorders>
            <w:noWrap/>
            <w:vAlign w:val="center"/>
            <w:hideMark/>
          </w:tcPr>
          <w:p w14:paraId="17616C5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-0.0905</w:t>
            </w:r>
          </w:p>
        </w:tc>
        <w:tc>
          <w:tcPr>
            <w:tcW w:w="0" w:type="auto"/>
            <w:tcBorders>
              <w:top w:val="single" w:sz="4" w:space="0" w:color="auto"/>
              <w:left w:val="nil"/>
              <w:bottom w:val="nil"/>
              <w:right w:val="nil"/>
            </w:tcBorders>
            <w:noWrap/>
            <w:vAlign w:val="center"/>
            <w:hideMark/>
          </w:tcPr>
          <w:p w14:paraId="0F8738E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1.0673</w:t>
            </w:r>
          </w:p>
        </w:tc>
        <w:tc>
          <w:tcPr>
            <w:tcW w:w="1309" w:type="dxa"/>
            <w:tcBorders>
              <w:top w:val="single" w:sz="4" w:space="0" w:color="auto"/>
              <w:left w:val="nil"/>
              <w:bottom w:val="nil"/>
              <w:right w:val="nil"/>
            </w:tcBorders>
            <w:vAlign w:val="center"/>
            <w:hideMark/>
          </w:tcPr>
          <w:p w14:paraId="519DC45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1.4047</w:t>
            </w:r>
          </w:p>
        </w:tc>
      </w:tr>
      <w:tr w:rsidR="00DF5B90" w:rsidRPr="00DF5B90" w14:paraId="1C4FC87D"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12FBA26C"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5A92B6B7"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49786E2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0.1277</w:t>
            </w:r>
          </w:p>
        </w:tc>
        <w:tc>
          <w:tcPr>
            <w:tcW w:w="0" w:type="auto"/>
            <w:noWrap/>
            <w:vAlign w:val="center"/>
            <w:hideMark/>
          </w:tcPr>
          <w:p w14:paraId="2C25FE8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0.8659</w:t>
            </w:r>
          </w:p>
        </w:tc>
        <w:tc>
          <w:tcPr>
            <w:tcW w:w="0" w:type="auto"/>
            <w:noWrap/>
            <w:vAlign w:val="center"/>
            <w:hideMark/>
          </w:tcPr>
          <w:p w14:paraId="48A20AE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0.2550</w:t>
            </w:r>
          </w:p>
        </w:tc>
        <w:tc>
          <w:tcPr>
            <w:tcW w:w="0" w:type="auto"/>
            <w:noWrap/>
            <w:vAlign w:val="center"/>
            <w:hideMark/>
          </w:tcPr>
          <w:p w14:paraId="0B8A4BC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-3.9202</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538968F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2778.23</w:t>
            </w:r>
            <w:r w:rsidRPr="00DF5B90">
              <w:rPr>
                <w:rFonts w:asciiTheme="minorHAnsi" w:eastAsia="Times New Roman" w:hAnsiTheme="minorHAnsi" w:cstheme="minorHAnsi"/>
                <w:color w:val="000000"/>
                <w:vertAlign w:val="superscript"/>
                <w:lang w:val="id-ID"/>
              </w:rPr>
              <w:t>***</w:t>
            </w:r>
          </w:p>
        </w:tc>
        <w:tc>
          <w:tcPr>
            <w:tcW w:w="1309" w:type="dxa"/>
            <w:noWrap/>
            <w:vAlign w:val="center"/>
            <w:hideMark/>
          </w:tcPr>
          <w:p w14:paraId="598D49A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3.6535</w:t>
            </w:r>
            <w:r w:rsidRPr="00DF5B90">
              <w:rPr>
                <w:rFonts w:asciiTheme="minorHAnsi" w:eastAsia="Times New Roman" w:hAnsiTheme="minorHAnsi" w:cstheme="minorHAnsi"/>
                <w:color w:val="000000"/>
                <w:vertAlign w:val="superscript"/>
                <w:lang w:val="id-ID"/>
              </w:rPr>
              <w:t>***</w:t>
            </w:r>
          </w:p>
        </w:tc>
      </w:tr>
      <w:tr w:rsidR="00DF5B90" w:rsidRPr="00DF5B90" w14:paraId="551CE1F7"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3BCB330F"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7D72A382"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31F7A2F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0.8984</w:t>
            </w:r>
          </w:p>
        </w:tc>
        <w:tc>
          <w:tcPr>
            <w:tcW w:w="0" w:type="auto"/>
            <w:tcBorders>
              <w:top w:val="nil"/>
              <w:left w:val="nil"/>
              <w:bottom w:val="single" w:sz="4" w:space="0" w:color="auto"/>
              <w:right w:val="nil"/>
            </w:tcBorders>
            <w:noWrap/>
            <w:vAlign w:val="center"/>
            <w:hideMark/>
          </w:tcPr>
          <w:p w14:paraId="0434D25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0.3866</w:t>
            </w:r>
          </w:p>
        </w:tc>
        <w:tc>
          <w:tcPr>
            <w:tcW w:w="0" w:type="auto"/>
            <w:tcBorders>
              <w:top w:val="nil"/>
              <w:left w:val="nil"/>
              <w:bottom w:val="single" w:sz="4" w:space="0" w:color="auto"/>
              <w:right w:val="nil"/>
            </w:tcBorders>
            <w:noWrap/>
            <w:vAlign w:val="center"/>
            <w:hideMark/>
          </w:tcPr>
          <w:p w14:paraId="797685A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0.7987</w:t>
            </w:r>
          </w:p>
        </w:tc>
        <w:tc>
          <w:tcPr>
            <w:tcW w:w="0" w:type="auto"/>
            <w:tcBorders>
              <w:top w:val="nil"/>
              <w:left w:val="nil"/>
              <w:bottom w:val="single" w:sz="4" w:space="0" w:color="auto"/>
              <w:right w:val="nil"/>
            </w:tcBorders>
            <w:noWrap/>
            <w:vAlign w:val="center"/>
            <w:hideMark/>
          </w:tcPr>
          <w:p w14:paraId="52F187D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0.0001</w:t>
            </w:r>
          </w:p>
        </w:tc>
        <w:tc>
          <w:tcPr>
            <w:tcW w:w="0" w:type="auto"/>
            <w:tcBorders>
              <w:top w:val="nil"/>
              <w:left w:val="nil"/>
              <w:bottom w:val="single" w:sz="4" w:space="0" w:color="auto"/>
              <w:right w:val="nil"/>
            </w:tcBorders>
            <w:noWrap/>
            <w:vAlign w:val="center"/>
            <w:hideMark/>
          </w:tcPr>
          <w:p w14:paraId="16F63EC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309" w:type="dxa"/>
            <w:tcBorders>
              <w:top w:val="nil"/>
              <w:left w:val="nil"/>
              <w:bottom w:val="single" w:sz="4" w:space="0" w:color="auto"/>
              <w:right w:val="nil"/>
            </w:tcBorders>
            <w:noWrap/>
            <w:vAlign w:val="center"/>
            <w:hideMark/>
          </w:tcPr>
          <w:p w14:paraId="7FD2CD5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0.0003</w:t>
            </w:r>
          </w:p>
        </w:tc>
      </w:tr>
      <w:tr w:rsidR="00DF5B90" w:rsidRPr="00DF5B90" w14:paraId="78A24530" w14:textId="77777777" w:rsidTr="00DF5B90">
        <w:trPr>
          <w:trHeight w:val="300"/>
          <w:jc w:val="center"/>
        </w:trPr>
        <w:tc>
          <w:tcPr>
            <w:tcW w:w="0" w:type="auto"/>
            <w:vMerge w:val="restart"/>
            <w:tcBorders>
              <w:top w:val="single" w:sz="4" w:space="0" w:color="auto"/>
              <w:left w:val="nil"/>
              <w:bottom w:val="single" w:sz="4" w:space="0" w:color="auto"/>
              <w:right w:val="nil"/>
            </w:tcBorders>
            <w:noWrap/>
            <w:vAlign w:val="center"/>
            <w:hideMark/>
          </w:tcPr>
          <w:p w14:paraId="5015ACB4"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Nikkei</w:t>
            </w:r>
          </w:p>
        </w:tc>
        <w:tc>
          <w:tcPr>
            <w:tcW w:w="0" w:type="auto"/>
            <w:tcBorders>
              <w:top w:val="single" w:sz="4" w:space="0" w:color="auto"/>
              <w:left w:val="nil"/>
              <w:bottom w:val="nil"/>
              <w:right w:val="nil"/>
            </w:tcBorders>
            <w:noWrap/>
            <w:vAlign w:val="center"/>
            <w:hideMark/>
          </w:tcPr>
          <w:p w14:paraId="6A8F4569"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1566CD0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0.0001</w:t>
            </w:r>
          </w:p>
        </w:tc>
        <w:tc>
          <w:tcPr>
            <w:tcW w:w="0" w:type="auto"/>
            <w:tcBorders>
              <w:top w:val="single" w:sz="4" w:space="0" w:color="auto"/>
              <w:left w:val="nil"/>
              <w:bottom w:val="nil"/>
              <w:right w:val="nil"/>
            </w:tcBorders>
            <w:noWrap/>
            <w:vAlign w:val="center"/>
            <w:hideMark/>
          </w:tcPr>
          <w:p w14:paraId="23D5218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0.0002</w:t>
            </w:r>
          </w:p>
        </w:tc>
        <w:tc>
          <w:tcPr>
            <w:tcW w:w="0" w:type="auto"/>
            <w:tcBorders>
              <w:top w:val="single" w:sz="4" w:space="0" w:color="auto"/>
              <w:left w:val="nil"/>
              <w:bottom w:val="nil"/>
              <w:right w:val="nil"/>
            </w:tcBorders>
            <w:noWrap/>
            <w:vAlign w:val="center"/>
            <w:hideMark/>
          </w:tcPr>
          <w:p w14:paraId="4273D53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-1.3E-07</w:t>
            </w:r>
          </w:p>
        </w:tc>
        <w:tc>
          <w:tcPr>
            <w:tcW w:w="0" w:type="auto"/>
            <w:tcBorders>
              <w:top w:val="single" w:sz="4" w:space="0" w:color="auto"/>
              <w:left w:val="nil"/>
              <w:bottom w:val="nil"/>
              <w:right w:val="nil"/>
            </w:tcBorders>
            <w:noWrap/>
            <w:vAlign w:val="center"/>
            <w:hideMark/>
          </w:tcPr>
          <w:p w14:paraId="70C6858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-0.0683</w:t>
            </w:r>
          </w:p>
        </w:tc>
        <w:tc>
          <w:tcPr>
            <w:tcW w:w="0" w:type="auto"/>
            <w:tcBorders>
              <w:top w:val="single" w:sz="4" w:space="0" w:color="auto"/>
              <w:left w:val="nil"/>
              <w:bottom w:val="nil"/>
              <w:right w:val="nil"/>
            </w:tcBorders>
            <w:noWrap/>
            <w:vAlign w:val="center"/>
            <w:hideMark/>
          </w:tcPr>
          <w:p w14:paraId="0AFD65E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1.0677</w:t>
            </w:r>
          </w:p>
        </w:tc>
        <w:tc>
          <w:tcPr>
            <w:tcW w:w="1309" w:type="dxa"/>
            <w:tcBorders>
              <w:top w:val="single" w:sz="4" w:space="0" w:color="auto"/>
              <w:left w:val="nil"/>
              <w:bottom w:val="nil"/>
              <w:right w:val="nil"/>
            </w:tcBorders>
            <w:vAlign w:val="center"/>
            <w:hideMark/>
          </w:tcPr>
          <w:p w14:paraId="363A60D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1.2922</w:t>
            </w:r>
          </w:p>
        </w:tc>
      </w:tr>
      <w:tr w:rsidR="00DF5B90" w:rsidRPr="00DF5B90" w14:paraId="63B33904"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044532E9"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6DBEBA7B"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4904F67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0.3747</w:t>
            </w:r>
          </w:p>
        </w:tc>
        <w:tc>
          <w:tcPr>
            <w:tcW w:w="0" w:type="auto"/>
            <w:noWrap/>
            <w:vAlign w:val="center"/>
            <w:hideMark/>
          </w:tcPr>
          <w:p w14:paraId="5E70481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0.7419</w:t>
            </w:r>
          </w:p>
        </w:tc>
        <w:tc>
          <w:tcPr>
            <w:tcW w:w="0" w:type="auto"/>
            <w:noWrap/>
            <w:vAlign w:val="center"/>
            <w:hideMark/>
          </w:tcPr>
          <w:p w14:paraId="148B574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-0.2135</w:t>
            </w:r>
          </w:p>
        </w:tc>
        <w:tc>
          <w:tcPr>
            <w:tcW w:w="0" w:type="auto"/>
            <w:noWrap/>
            <w:vAlign w:val="center"/>
            <w:hideMark/>
          </w:tcPr>
          <w:p w14:paraId="40A10BD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-2.6399</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7D506CB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2777.01</w:t>
            </w:r>
            <w:r w:rsidRPr="00DF5B90">
              <w:rPr>
                <w:rFonts w:asciiTheme="minorHAnsi" w:eastAsia="Times New Roman" w:hAnsiTheme="minorHAnsi" w:cstheme="minorHAnsi"/>
                <w:color w:val="000000"/>
                <w:vertAlign w:val="superscript"/>
                <w:lang w:val="id-ID"/>
              </w:rPr>
              <w:t>***</w:t>
            </w:r>
          </w:p>
        </w:tc>
        <w:tc>
          <w:tcPr>
            <w:tcW w:w="1309" w:type="dxa"/>
            <w:noWrap/>
            <w:vAlign w:val="center"/>
            <w:hideMark/>
          </w:tcPr>
          <w:p w14:paraId="1168272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3.6756</w:t>
            </w:r>
            <w:r w:rsidRPr="00DF5B90">
              <w:rPr>
                <w:rFonts w:asciiTheme="minorHAnsi" w:eastAsia="Times New Roman" w:hAnsiTheme="minorHAnsi" w:cstheme="minorHAnsi"/>
                <w:color w:val="000000"/>
                <w:vertAlign w:val="superscript"/>
                <w:lang w:val="id-ID"/>
              </w:rPr>
              <w:t>***</w:t>
            </w:r>
          </w:p>
        </w:tc>
      </w:tr>
      <w:tr w:rsidR="00DF5B90" w:rsidRPr="00DF5B90" w14:paraId="1C3DDA65"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6D9F4895"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12B07F2E"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180BD5B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0.7079</w:t>
            </w:r>
          </w:p>
        </w:tc>
        <w:tc>
          <w:tcPr>
            <w:tcW w:w="0" w:type="auto"/>
            <w:tcBorders>
              <w:top w:val="nil"/>
              <w:left w:val="nil"/>
              <w:bottom w:val="single" w:sz="4" w:space="0" w:color="auto"/>
              <w:right w:val="nil"/>
            </w:tcBorders>
            <w:noWrap/>
            <w:vAlign w:val="center"/>
            <w:hideMark/>
          </w:tcPr>
          <w:p w14:paraId="1912845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0.4582</w:t>
            </w:r>
          </w:p>
        </w:tc>
        <w:tc>
          <w:tcPr>
            <w:tcW w:w="0" w:type="auto"/>
            <w:tcBorders>
              <w:top w:val="nil"/>
              <w:left w:val="nil"/>
              <w:bottom w:val="single" w:sz="4" w:space="0" w:color="auto"/>
              <w:right w:val="nil"/>
            </w:tcBorders>
            <w:noWrap/>
            <w:vAlign w:val="center"/>
            <w:hideMark/>
          </w:tcPr>
          <w:p w14:paraId="766B62D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0.8309</w:t>
            </w:r>
          </w:p>
        </w:tc>
        <w:tc>
          <w:tcPr>
            <w:tcW w:w="0" w:type="auto"/>
            <w:tcBorders>
              <w:top w:val="nil"/>
              <w:left w:val="nil"/>
              <w:bottom w:val="single" w:sz="4" w:space="0" w:color="auto"/>
              <w:right w:val="nil"/>
            </w:tcBorders>
            <w:noWrap/>
            <w:vAlign w:val="center"/>
            <w:hideMark/>
          </w:tcPr>
          <w:p w14:paraId="10BC4B5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0.0083</w:t>
            </w:r>
          </w:p>
        </w:tc>
        <w:tc>
          <w:tcPr>
            <w:tcW w:w="0" w:type="auto"/>
            <w:tcBorders>
              <w:top w:val="nil"/>
              <w:left w:val="nil"/>
              <w:bottom w:val="single" w:sz="4" w:space="0" w:color="auto"/>
              <w:right w:val="nil"/>
            </w:tcBorders>
            <w:noWrap/>
            <w:vAlign w:val="center"/>
            <w:hideMark/>
          </w:tcPr>
          <w:p w14:paraId="22A241A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309" w:type="dxa"/>
            <w:tcBorders>
              <w:top w:val="nil"/>
              <w:left w:val="nil"/>
              <w:bottom w:val="single" w:sz="4" w:space="0" w:color="auto"/>
              <w:right w:val="nil"/>
            </w:tcBorders>
            <w:noWrap/>
            <w:vAlign w:val="center"/>
            <w:hideMark/>
          </w:tcPr>
          <w:p w14:paraId="45BDC51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0.0002</w:t>
            </w:r>
          </w:p>
        </w:tc>
      </w:tr>
      <w:tr w:rsidR="00DF5B90" w:rsidRPr="00DF5B90" w14:paraId="053B341A" w14:textId="77777777" w:rsidTr="00DF5B90">
        <w:trPr>
          <w:trHeight w:val="300"/>
          <w:jc w:val="center"/>
        </w:trPr>
        <w:tc>
          <w:tcPr>
            <w:tcW w:w="0" w:type="auto"/>
            <w:vMerge w:val="restart"/>
            <w:tcBorders>
              <w:top w:val="single" w:sz="4" w:space="0" w:color="auto"/>
              <w:left w:val="nil"/>
              <w:bottom w:val="nil"/>
              <w:right w:val="nil"/>
            </w:tcBorders>
            <w:noWrap/>
            <w:vAlign w:val="center"/>
            <w:hideMark/>
          </w:tcPr>
          <w:p w14:paraId="0BF01788"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Kospi</w:t>
            </w:r>
          </w:p>
        </w:tc>
        <w:tc>
          <w:tcPr>
            <w:tcW w:w="0" w:type="auto"/>
            <w:tcBorders>
              <w:top w:val="single" w:sz="4" w:space="0" w:color="auto"/>
              <w:left w:val="nil"/>
              <w:bottom w:val="nil"/>
              <w:right w:val="nil"/>
            </w:tcBorders>
            <w:noWrap/>
            <w:vAlign w:val="center"/>
            <w:hideMark/>
          </w:tcPr>
          <w:p w14:paraId="14C370C9"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28CA813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0.0001</w:t>
            </w:r>
          </w:p>
        </w:tc>
        <w:tc>
          <w:tcPr>
            <w:tcW w:w="0" w:type="auto"/>
            <w:tcBorders>
              <w:top w:val="single" w:sz="4" w:space="0" w:color="auto"/>
              <w:left w:val="nil"/>
              <w:bottom w:val="nil"/>
              <w:right w:val="nil"/>
            </w:tcBorders>
            <w:noWrap/>
            <w:vAlign w:val="center"/>
            <w:hideMark/>
          </w:tcPr>
          <w:p w14:paraId="7BCC360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0.0005</w:t>
            </w:r>
          </w:p>
        </w:tc>
        <w:tc>
          <w:tcPr>
            <w:tcW w:w="0" w:type="auto"/>
            <w:tcBorders>
              <w:top w:val="single" w:sz="4" w:space="0" w:color="auto"/>
              <w:left w:val="nil"/>
              <w:bottom w:val="nil"/>
              <w:right w:val="nil"/>
            </w:tcBorders>
            <w:noWrap/>
            <w:vAlign w:val="center"/>
            <w:hideMark/>
          </w:tcPr>
          <w:p w14:paraId="6440BD7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-2.2E-07</w:t>
            </w:r>
          </w:p>
        </w:tc>
        <w:tc>
          <w:tcPr>
            <w:tcW w:w="0" w:type="auto"/>
            <w:tcBorders>
              <w:top w:val="single" w:sz="4" w:space="0" w:color="auto"/>
              <w:left w:val="nil"/>
              <w:bottom w:val="nil"/>
              <w:right w:val="nil"/>
            </w:tcBorders>
            <w:noWrap/>
            <w:vAlign w:val="center"/>
            <w:hideMark/>
          </w:tcPr>
          <w:p w14:paraId="22B0ACA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-0.0661</w:t>
            </w:r>
          </w:p>
        </w:tc>
        <w:tc>
          <w:tcPr>
            <w:tcW w:w="0" w:type="auto"/>
            <w:tcBorders>
              <w:top w:val="single" w:sz="4" w:space="0" w:color="auto"/>
              <w:left w:val="nil"/>
              <w:bottom w:val="nil"/>
              <w:right w:val="nil"/>
            </w:tcBorders>
            <w:noWrap/>
            <w:vAlign w:val="center"/>
            <w:hideMark/>
          </w:tcPr>
          <w:p w14:paraId="6EDBA41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1.0793</w:t>
            </w:r>
          </w:p>
        </w:tc>
        <w:tc>
          <w:tcPr>
            <w:tcW w:w="1309" w:type="dxa"/>
            <w:tcBorders>
              <w:top w:val="single" w:sz="4" w:space="0" w:color="auto"/>
              <w:left w:val="nil"/>
              <w:bottom w:val="nil"/>
              <w:right w:val="nil"/>
            </w:tcBorders>
            <w:vAlign w:val="center"/>
            <w:hideMark/>
          </w:tcPr>
          <w:p w14:paraId="7B33972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1.3045</w:t>
            </w:r>
          </w:p>
        </w:tc>
      </w:tr>
      <w:tr w:rsidR="00DF5B90" w:rsidRPr="00DF5B90" w14:paraId="29EAB6E6" w14:textId="77777777" w:rsidTr="00DF5B90">
        <w:trPr>
          <w:trHeight w:val="300"/>
          <w:jc w:val="center"/>
        </w:trPr>
        <w:tc>
          <w:tcPr>
            <w:tcW w:w="0" w:type="auto"/>
            <w:vMerge/>
            <w:tcBorders>
              <w:top w:val="single" w:sz="4" w:space="0" w:color="auto"/>
              <w:left w:val="nil"/>
              <w:bottom w:val="nil"/>
              <w:right w:val="nil"/>
            </w:tcBorders>
            <w:vAlign w:val="center"/>
            <w:hideMark/>
          </w:tcPr>
          <w:p w14:paraId="4B4A7714"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02C7057F"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282A9AB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0.3344</w:t>
            </w:r>
          </w:p>
        </w:tc>
        <w:tc>
          <w:tcPr>
            <w:tcW w:w="0" w:type="auto"/>
            <w:noWrap/>
            <w:vAlign w:val="center"/>
            <w:hideMark/>
          </w:tcPr>
          <w:p w14:paraId="057D9C6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2.5115</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3EE5B79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-0.9255</w:t>
            </w:r>
          </w:p>
        </w:tc>
        <w:tc>
          <w:tcPr>
            <w:tcW w:w="0" w:type="auto"/>
            <w:noWrap/>
            <w:vAlign w:val="center"/>
            <w:hideMark/>
          </w:tcPr>
          <w:p w14:paraId="0DC1011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-12.5550</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40536BA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4709.83</w:t>
            </w:r>
            <w:r w:rsidRPr="00DF5B90">
              <w:rPr>
                <w:rFonts w:asciiTheme="minorHAnsi" w:eastAsia="Times New Roman" w:hAnsiTheme="minorHAnsi" w:cstheme="minorHAnsi"/>
                <w:color w:val="000000"/>
                <w:vertAlign w:val="superscript"/>
                <w:lang w:val="id-ID"/>
              </w:rPr>
              <w:t>***</w:t>
            </w:r>
          </w:p>
        </w:tc>
        <w:tc>
          <w:tcPr>
            <w:tcW w:w="1309" w:type="dxa"/>
            <w:noWrap/>
            <w:vAlign w:val="center"/>
            <w:hideMark/>
          </w:tcPr>
          <w:p w14:paraId="5B56BF0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4.0338</w:t>
            </w:r>
            <w:r w:rsidRPr="00DF5B90">
              <w:rPr>
                <w:rFonts w:asciiTheme="minorHAnsi" w:eastAsia="Times New Roman" w:hAnsiTheme="minorHAnsi" w:cstheme="minorHAnsi"/>
                <w:color w:val="000000"/>
                <w:vertAlign w:val="superscript"/>
                <w:lang w:val="id-ID"/>
              </w:rPr>
              <w:t>***</w:t>
            </w:r>
          </w:p>
        </w:tc>
      </w:tr>
      <w:tr w:rsidR="00DF5B90" w:rsidRPr="00DF5B90" w14:paraId="4D251702" w14:textId="77777777" w:rsidTr="00DF5B90">
        <w:trPr>
          <w:trHeight w:val="300"/>
          <w:jc w:val="center"/>
        </w:trPr>
        <w:tc>
          <w:tcPr>
            <w:tcW w:w="0" w:type="auto"/>
            <w:vMerge/>
            <w:tcBorders>
              <w:top w:val="single" w:sz="4" w:space="0" w:color="auto"/>
              <w:left w:val="nil"/>
              <w:bottom w:val="nil"/>
              <w:right w:val="nil"/>
            </w:tcBorders>
            <w:vAlign w:val="center"/>
            <w:hideMark/>
          </w:tcPr>
          <w:p w14:paraId="2C77631B"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7B21DC92"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noWrap/>
            <w:vAlign w:val="center"/>
            <w:hideMark/>
          </w:tcPr>
          <w:p w14:paraId="5D17BE1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0.7381</w:t>
            </w:r>
          </w:p>
        </w:tc>
        <w:tc>
          <w:tcPr>
            <w:tcW w:w="0" w:type="auto"/>
            <w:noWrap/>
            <w:vAlign w:val="center"/>
            <w:hideMark/>
          </w:tcPr>
          <w:p w14:paraId="72E4EF6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0.0120</w:t>
            </w:r>
          </w:p>
        </w:tc>
        <w:tc>
          <w:tcPr>
            <w:tcW w:w="0" w:type="auto"/>
            <w:noWrap/>
            <w:vAlign w:val="center"/>
            <w:hideMark/>
          </w:tcPr>
          <w:p w14:paraId="53C0CA8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0.3547</w:t>
            </w:r>
          </w:p>
        </w:tc>
        <w:tc>
          <w:tcPr>
            <w:tcW w:w="0" w:type="auto"/>
            <w:noWrap/>
            <w:vAlign w:val="center"/>
            <w:hideMark/>
          </w:tcPr>
          <w:p w14:paraId="2625CEB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noWrap/>
            <w:vAlign w:val="center"/>
            <w:hideMark/>
          </w:tcPr>
          <w:p w14:paraId="13792FF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309" w:type="dxa"/>
            <w:noWrap/>
            <w:vAlign w:val="center"/>
            <w:hideMark/>
          </w:tcPr>
          <w:p w14:paraId="2B328BA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0.0001</w:t>
            </w:r>
          </w:p>
        </w:tc>
      </w:tr>
      <w:tr w:rsidR="00DF5B90" w:rsidRPr="00DF5B90" w14:paraId="71C18256" w14:textId="77777777" w:rsidTr="00DF5B90">
        <w:trPr>
          <w:trHeight w:val="300"/>
          <w:jc w:val="center"/>
        </w:trPr>
        <w:tc>
          <w:tcPr>
            <w:tcW w:w="0" w:type="auto"/>
            <w:vMerge w:val="restart"/>
            <w:tcBorders>
              <w:top w:val="single" w:sz="4" w:space="0" w:color="auto"/>
              <w:left w:val="nil"/>
              <w:bottom w:val="single" w:sz="4" w:space="0" w:color="000000"/>
              <w:right w:val="nil"/>
            </w:tcBorders>
            <w:noWrap/>
            <w:vAlign w:val="center"/>
            <w:hideMark/>
          </w:tcPr>
          <w:p w14:paraId="22F0732E"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SSEC</w:t>
            </w:r>
          </w:p>
        </w:tc>
        <w:tc>
          <w:tcPr>
            <w:tcW w:w="0" w:type="auto"/>
            <w:tcBorders>
              <w:top w:val="single" w:sz="4" w:space="0" w:color="auto"/>
              <w:left w:val="nil"/>
              <w:bottom w:val="nil"/>
              <w:right w:val="nil"/>
            </w:tcBorders>
            <w:noWrap/>
            <w:vAlign w:val="center"/>
            <w:hideMark/>
          </w:tcPr>
          <w:p w14:paraId="7D7F822D"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1FB1E9B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6.1E-05</w:t>
            </w:r>
          </w:p>
        </w:tc>
        <w:tc>
          <w:tcPr>
            <w:tcW w:w="0" w:type="auto"/>
            <w:tcBorders>
              <w:top w:val="single" w:sz="4" w:space="0" w:color="auto"/>
              <w:left w:val="nil"/>
              <w:bottom w:val="nil"/>
              <w:right w:val="nil"/>
            </w:tcBorders>
            <w:noWrap/>
            <w:vAlign w:val="center"/>
            <w:hideMark/>
          </w:tcPr>
          <w:p w14:paraId="075FE49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-0.0003</w:t>
            </w:r>
          </w:p>
        </w:tc>
        <w:tc>
          <w:tcPr>
            <w:tcW w:w="0" w:type="auto"/>
            <w:tcBorders>
              <w:top w:val="single" w:sz="4" w:space="0" w:color="auto"/>
              <w:left w:val="nil"/>
              <w:bottom w:val="nil"/>
              <w:right w:val="nil"/>
            </w:tcBorders>
            <w:noWrap/>
            <w:vAlign w:val="center"/>
            <w:hideMark/>
          </w:tcPr>
          <w:p w14:paraId="04D0C61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2.0E-07</w:t>
            </w:r>
          </w:p>
        </w:tc>
        <w:tc>
          <w:tcPr>
            <w:tcW w:w="0" w:type="auto"/>
            <w:tcBorders>
              <w:top w:val="single" w:sz="4" w:space="0" w:color="auto"/>
              <w:left w:val="nil"/>
              <w:bottom w:val="nil"/>
              <w:right w:val="nil"/>
            </w:tcBorders>
            <w:noWrap/>
            <w:vAlign w:val="center"/>
            <w:hideMark/>
          </w:tcPr>
          <w:p w14:paraId="584CA01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-0.1091</w:t>
            </w:r>
          </w:p>
        </w:tc>
        <w:tc>
          <w:tcPr>
            <w:tcW w:w="0" w:type="auto"/>
            <w:tcBorders>
              <w:top w:val="single" w:sz="4" w:space="0" w:color="auto"/>
              <w:left w:val="nil"/>
              <w:bottom w:val="nil"/>
              <w:right w:val="nil"/>
            </w:tcBorders>
            <w:noWrap/>
            <w:vAlign w:val="center"/>
            <w:hideMark/>
          </w:tcPr>
          <w:p w14:paraId="0EA6B1F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1.0821</w:t>
            </w:r>
          </w:p>
        </w:tc>
        <w:tc>
          <w:tcPr>
            <w:tcW w:w="1309" w:type="dxa"/>
            <w:tcBorders>
              <w:top w:val="single" w:sz="4" w:space="0" w:color="auto"/>
              <w:left w:val="nil"/>
              <w:bottom w:val="nil"/>
              <w:right w:val="nil"/>
            </w:tcBorders>
            <w:vAlign w:val="center"/>
            <w:hideMark/>
          </w:tcPr>
          <w:p w14:paraId="2C05B36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1.3174</w:t>
            </w:r>
          </w:p>
        </w:tc>
      </w:tr>
      <w:tr w:rsidR="00DF5B90" w:rsidRPr="00DF5B90" w14:paraId="4EEC85E7" w14:textId="77777777" w:rsidTr="00DF5B90">
        <w:trPr>
          <w:trHeight w:val="300"/>
          <w:jc w:val="center"/>
        </w:trPr>
        <w:tc>
          <w:tcPr>
            <w:tcW w:w="0" w:type="auto"/>
            <w:vMerge/>
            <w:tcBorders>
              <w:top w:val="single" w:sz="4" w:space="0" w:color="auto"/>
              <w:left w:val="nil"/>
              <w:bottom w:val="single" w:sz="4" w:space="0" w:color="000000"/>
              <w:right w:val="nil"/>
            </w:tcBorders>
            <w:vAlign w:val="center"/>
            <w:hideMark/>
          </w:tcPr>
          <w:p w14:paraId="27B2155B"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75E9FE20"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2CC7091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0.1766</w:t>
            </w:r>
          </w:p>
        </w:tc>
        <w:tc>
          <w:tcPr>
            <w:tcW w:w="0" w:type="auto"/>
            <w:noWrap/>
            <w:vAlign w:val="center"/>
            <w:hideMark/>
          </w:tcPr>
          <w:p w14:paraId="6AB372F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-1.1248</w:t>
            </w:r>
          </w:p>
        </w:tc>
        <w:tc>
          <w:tcPr>
            <w:tcW w:w="0" w:type="auto"/>
            <w:noWrap/>
            <w:vAlign w:val="center"/>
            <w:hideMark/>
          </w:tcPr>
          <w:p w14:paraId="014E6AD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1.4267</w:t>
            </w:r>
          </w:p>
        </w:tc>
        <w:tc>
          <w:tcPr>
            <w:tcW w:w="0" w:type="auto"/>
            <w:noWrap/>
            <w:vAlign w:val="center"/>
            <w:hideMark/>
          </w:tcPr>
          <w:p w14:paraId="386660C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-287.72</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4A9C5B0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5729.48</w:t>
            </w:r>
            <w:r w:rsidRPr="00DF5B90">
              <w:rPr>
                <w:rFonts w:asciiTheme="minorHAnsi" w:eastAsia="Times New Roman" w:hAnsiTheme="minorHAnsi" w:cstheme="minorHAnsi"/>
                <w:color w:val="000000"/>
                <w:vertAlign w:val="superscript"/>
                <w:lang w:val="id-ID"/>
              </w:rPr>
              <w:t>***</w:t>
            </w:r>
          </w:p>
        </w:tc>
        <w:tc>
          <w:tcPr>
            <w:tcW w:w="1309" w:type="dxa"/>
            <w:noWrap/>
            <w:vAlign w:val="center"/>
            <w:hideMark/>
          </w:tcPr>
          <w:p w14:paraId="6B5C4C6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4.0538</w:t>
            </w:r>
            <w:r w:rsidRPr="00DF5B90">
              <w:rPr>
                <w:rFonts w:asciiTheme="minorHAnsi" w:eastAsia="Times New Roman" w:hAnsiTheme="minorHAnsi" w:cstheme="minorHAnsi"/>
                <w:color w:val="000000"/>
                <w:vertAlign w:val="superscript"/>
                <w:lang w:val="id-ID"/>
              </w:rPr>
              <w:t>***</w:t>
            </w:r>
          </w:p>
        </w:tc>
      </w:tr>
      <w:tr w:rsidR="00DF5B90" w:rsidRPr="00DF5B90" w14:paraId="313C2742" w14:textId="77777777" w:rsidTr="00DF5B90">
        <w:trPr>
          <w:trHeight w:val="315"/>
          <w:jc w:val="center"/>
        </w:trPr>
        <w:tc>
          <w:tcPr>
            <w:tcW w:w="0" w:type="auto"/>
            <w:vMerge/>
            <w:tcBorders>
              <w:top w:val="single" w:sz="4" w:space="0" w:color="auto"/>
              <w:left w:val="nil"/>
              <w:bottom w:val="single" w:sz="4" w:space="0" w:color="000000"/>
              <w:right w:val="nil"/>
            </w:tcBorders>
            <w:vAlign w:val="center"/>
            <w:hideMark/>
          </w:tcPr>
          <w:p w14:paraId="62D9D172"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5944FD25"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46B0628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0.8598</w:t>
            </w:r>
          </w:p>
        </w:tc>
        <w:tc>
          <w:tcPr>
            <w:tcW w:w="0" w:type="auto"/>
            <w:tcBorders>
              <w:top w:val="nil"/>
              <w:left w:val="nil"/>
              <w:bottom w:val="single" w:sz="4" w:space="0" w:color="auto"/>
              <w:right w:val="nil"/>
            </w:tcBorders>
            <w:noWrap/>
            <w:vAlign w:val="center"/>
            <w:hideMark/>
          </w:tcPr>
          <w:p w14:paraId="77C00EE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0.2607</w:t>
            </w:r>
          </w:p>
        </w:tc>
        <w:tc>
          <w:tcPr>
            <w:tcW w:w="0" w:type="auto"/>
            <w:tcBorders>
              <w:top w:val="nil"/>
              <w:left w:val="nil"/>
              <w:bottom w:val="single" w:sz="4" w:space="0" w:color="auto"/>
              <w:right w:val="nil"/>
            </w:tcBorders>
            <w:noWrap/>
            <w:vAlign w:val="center"/>
            <w:hideMark/>
          </w:tcPr>
          <w:p w14:paraId="1E08D9E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0.1537</w:t>
            </w:r>
          </w:p>
        </w:tc>
        <w:tc>
          <w:tcPr>
            <w:tcW w:w="0" w:type="auto"/>
            <w:tcBorders>
              <w:top w:val="nil"/>
              <w:left w:val="nil"/>
              <w:bottom w:val="single" w:sz="4" w:space="0" w:color="auto"/>
              <w:right w:val="nil"/>
            </w:tcBorders>
            <w:noWrap/>
            <w:vAlign w:val="center"/>
            <w:hideMark/>
          </w:tcPr>
          <w:p w14:paraId="549B99D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0" w:type="auto"/>
            <w:tcBorders>
              <w:top w:val="nil"/>
              <w:left w:val="nil"/>
              <w:bottom w:val="single" w:sz="4" w:space="0" w:color="auto"/>
              <w:right w:val="nil"/>
            </w:tcBorders>
            <w:noWrap/>
            <w:vAlign w:val="center"/>
            <w:hideMark/>
          </w:tcPr>
          <w:p w14:paraId="706934F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309" w:type="dxa"/>
            <w:tcBorders>
              <w:top w:val="nil"/>
              <w:left w:val="nil"/>
              <w:bottom w:val="single" w:sz="4" w:space="0" w:color="auto"/>
              <w:right w:val="nil"/>
            </w:tcBorders>
            <w:noWrap/>
            <w:vAlign w:val="center"/>
            <w:hideMark/>
          </w:tcPr>
          <w:p w14:paraId="0F22484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0.0001</w:t>
            </w:r>
          </w:p>
        </w:tc>
      </w:tr>
    </w:tbl>
    <w:p w14:paraId="6BBAE9CA" w14:textId="77777777" w:rsidR="00DF5B90" w:rsidRPr="00DF5B90" w:rsidRDefault="00DF5B90" w:rsidP="00DF5B90">
      <w:pPr>
        <w:spacing w:after="0" w:line="240" w:lineRule="auto"/>
        <w:jc w:val="both"/>
        <w:rPr>
          <w:rFonts w:asciiTheme="minorHAnsi" w:eastAsiaTheme="minorEastAsia" w:hAnsiTheme="minorHAnsi" w:cstheme="minorHAnsi"/>
          <w:noProof/>
          <w:lang w:val="en-US" w:eastAsia="en-US"/>
        </w:rPr>
      </w:pPr>
      <w:r w:rsidRPr="00DF5B90">
        <w:rPr>
          <w:rFonts w:asciiTheme="minorHAnsi" w:eastAsiaTheme="minorEastAsia" w:hAnsiTheme="minorHAnsi" w:cstheme="minorHAnsi"/>
          <w:lang w:val="id-ID"/>
        </w:rPr>
        <w:t>***</w:t>
      </w:r>
      <w:r w:rsidRPr="00DF5B90">
        <w:rPr>
          <w:rFonts w:asciiTheme="minorHAnsi" w:hAnsiTheme="minorHAnsi" w:cstheme="minorHAnsi"/>
          <w:lang w:val="id-ID"/>
        </w:rPr>
        <w:t xml:space="preserve"> </w:t>
      </w:r>
      <w:r w:rsidRPr="00DF5B90">
        <w:rPr>
          <w:rFonts w:asciiTheme="minorHAnsi" w:eastAsiaTheme="minorEastAsia" w:hAnsiTheme="minorHAnsi" w:cstheme="minorHAnsi"/>
        </w:rPr>
        <w:t>Significant at 1% level</w:t>
      </w:r>
    </w:p>
    <w:p w14:paraId="7CA7C9EA" w14:textId="77777777" w:rsidR="00DF5B90" w:rsidRPr="00DF5B90" w:rsidRDefault="00DF5B90" w:rsidP="00DF5B90">
      <w:pPr>
        <w:spacing w:after="0" w:line="240" w:lineRule="auto"/>
        <w:jc w:val="both"/>
        <w:rPr>
          <w:rFonts w:asciiTheme="minorHAnsi" w:eastAsiaTheme="minorEastAsia" w:hAnsiTheme="minorHAnsi" w:cstheme="minorHAnsi"/>
        </w:rPr>
      </w:pPr>
      <w:r w:rsidRPr="00DF5B90">
        <w:rPr>
          <w:rFonts w:asciiTheme="minorHAnsi" w:eastAsiaTheme="minorEastAsia" w:hAnsiTheme="minorHAnsi" w:cstheme="minorHAnsi"/>
          <w:lang w:val="id-ID"/>
        </w:rPr>
        <w:t>**</w:t>
      </w:r>
      <w:r w:rsidRPr="00DF5B90">
        <w:rPr>
          <w:rFonts w:asciiTheme="minorHAnsi" w:eastAsiaTheme="minorEastAsia" w:hAnsiTheme="minorHAnsi" w:cstheme="minorHAnsi"/>
        </w:rPr>
        <w:t xml:space="preserve"> Significant at 5% level</w:t>
      </w:r>
    </w:p>
    <w:p w14:paraId="4BFA06A0" w14:textId="77777777" w:rsidR="00DF5B90" w:rsidRPr="00DF5B90" w:rsidRDefault="00DF5B90" w:rsidP="00DF5B90">
      <w:pPr>
        <w:spacing w:line="240" w:lineRule="auto"/>
        <w:jc w:val="both"/>
        <w:rPr>
          <w:rFonts w:asciiTheme="minorHAnsi" w:eastAsiaTheme="minorEastAsia" w:hAnsiTheme="minorHAnsi" w:cstheme="minorHAnsi"/>
          <w:lang w:val="id-ID"/>
        </w:rPr>
      </w:pPr>
      <w:r w:rsidRPr="00DF5B90">
        <w:rPr>
          <w:rFonts w:asciiTheme="minorHAnsi" w:eastAsiaTheme="minorEastAsia" w:hAnsiTheme="minorHAnsi" w:cstheme="minorHAnsi"/>
          <w:lang w:val="id-ID"/>
        </w:rPr>
        <w:t>*</w:t>
      </w:r>
      <w:r w:rsidRPr="00DF5B90">
        <w:rPr>
          <w:rFonts w:asciiTheme="minorHAnsi" w:eastAsiaTheme="minorEastAsia" w:hAnsiTheme="minorHAnsi" w:cstheme="minorHAnsi"/>
        </w:rPr>
        <w:t xml:space="preserve"> Significant at 10% level</w:t>
      </w:r>
    </w:p>
    <w:p w14:paraId="51DD0243" w14:textId="77777777" w:rsidR="00DF5B90" w:rsidRPr="00DF5B90" w:rsidRDefault="00DF5B90" w:rsidP="00BA7D9E">
      <w:pPr>
        <w:spacing w:line="240" w:lineRule="auto"/>
        <w:ind w:firstLine="284"/>
        <w:jc w:val="both"/>
        <w:rPr>
          <w:rFonts w:asciiTheme="minorHAnsi" w:eastAsiaTheme="minorHAnsi" w:hAnsiTheme="minorHAnsi" w:cstheme="minorHAnsi"/>
          <w:lang w:val="en-US"/>
        </w:rPr>
      </w:pPr>
      <w:r w:rsidRPr="00DF5B90">
        <w:rPr>
          <w:rFonts w:asciiTheme="minorHAnsi" w:hAnsiTheme="minorHAnsi" w:cstheme="minorHAnsi"/>
          <w:lang w:val="id-ID"/>
        </w:rPr>
        <w:t>Table 10 shows the analysis of the effect of stock market volatility on the US Dollar Index using the GARCH (1,1) test for the whole period. Over the period, each variable follows the GARCH pattern. JKSE, STI, SETI, and Nikkei have a negative influence on the US Dollar Index at the 5% significance level. Meanwhile, SSEC negatively influences the US Dollar Index at the 1% significance level.</w:t>
      </w:r>
    </w:p>
    <w:p w14:paraId="26ACB1E3" w14:textId="77777777" w:rsidR="00DF5B90" w:rsidRPr="00BA7D9E" w:rsidRDefault="00DF5B90" w:rsidP="00DF5B90">
      <w:pPr>
        <w:pStyle w:val="Keterangan"/>
        <w:keepNext/>
        <w:jc w:val="center"/>
        <w:rPr>
          <w:rFonts w:asciiTheme="minorHAnsi" w:hAnsiTheme="minorHAnsi" w:cstheme="minorHAnsi"/>
          <w:sz w:val="24"/>
          <w:szCs w:val="24"/>
          <w:lang w:val="id-ID"/>
        </w:rPr>
      </w:pPr>
      <w:bookmarkStart w:id="39" w:name="_Toc168426051"/>
      <w:bookmarkStart w:id="40" w:name="_Toc170310512"/>
      <w:bookmarkStart w:id="41" w:name="_Toc171071279"/>
      <w:bookmarkStart w:id="42" w:name="_Toc171072604"/>
      <w:r w:rsidRPr="00BA7D9E">
        <w:rPr>
          <w:rFonts w:asciiTheme="minorHAnsi" w:hAnsiTheme="minorHAnsi" w:cstheme="minorHAnsi"/>
          <w:sz w:val="24"/>
          <w:szCs w:val="24"/>
          <w:lang w:val="id-ID"/>
        </w:rPr>
        <w:t>Ta</w:t>
      </w:r>
      <w:r w:rsidRPr="00BA7D9E">
        <w:rPr>
          <w:rFonts w:asciiTheme="minorHAnsi" w:hAnsiTheme="minorHAnsi" w:cstheme="minorHAnsi"/>
          <w:sz w:val="24"/>
          <w:szCs w:val="24"/>
        </w:rPr>
        <w:t>b</w:t>
      </w:r>
      <w:r w:rsidRPr="00BA7D9E">
        <w:rPr>
          <w:rFonts w:asciiTheme="minorHAnsi" w:hAnsiTheme="minorHAnsi" w:cstheme="minorHAnsi"/>
          <w:sz w:val="24"/>
          <w:szCs w:val="24"/>
          <w:lang w:val="id-ID"/>
        </w:rPr>
        <w:t>l</w:t>
      </w:r>
      <w:r w:rsidRPr="00BA7D9E">
        <w:rPr>
          <w:rFonts w:asciiTheme="minorHAnsi" w:hAnsiTheme="minorHAnsi" w:cstheme="minorHAnsi"/>
          <w:sz w:val="24"/>
          <w:szCs w:val="24"/>
        </w:rPr>
        <w:t>e</w:t>
      </w:r>
      <w:r w:rsidRPr="00BA7D9E">
        <w:rPr>
          <w:rFonts w:asciiTheme="minorHAnsi" w:hAnsiTheme="minorHAnsi" w:cstheme="minorHAnsi"/>
          <w:sz w:val="24"/>
          <w:szCs w:val="24"/>
          <w:lang w:val="id-ID"/>
        </w:rPr>
        <w:t xml:space="preserve"> </w:t>
      </w:r>
      <w:r w:rsidRPr="00BA7D9E">
        <w:rPr>
          <w:rFonts w:asciiTheme="minorHAnsi" w:hAnsiTheme="minorHAnsi" w:cstheme="minorHAnsi"/>
          <w:sz w:val="24"/>
          <w:szCs w:val="24"/>
        </w:rPr>
        <w:fldChar w:fldCharType="begin"/>
      </w:r>
      <w:r w:rsidRPr="00BA7D9E">
        <w:rPr>
          <w:rFonts w:asciiTheme="minorHAnsi" w:hAnsiTheme="minorHAnsi" w:cstheme="minorHAnsi"/>
          <w:sz w:val="24"/>
          <w:szCs w:val="24"/>
          <w:lang w:val="id-ID"/>
        </w:rPr>
        <w:instrText xml:space="preserve"> SEQ Table \* ARABIC </w:instrText>
      </w:r>
      <w:r w:rsidRPr="00BA7D9E">
        <w:rPr>
          <w:rFonts w:asciiTheme="minorHAnsi" w:hAnsiTheme="minorHAnsi" w:cstheme="minorHAnsi"/>
          <w:sz w:val="24"/>
          <w:szCs w:val="24"/>
        </w:rPr>
        <w:fldChar w:fldCharType="separate"/>
      </w:r>
      <w:r w:rsidRPr="00BA7D9E">
        <w:rPr>
          <w:rFonts w:asciiTheme="minorHAnsi" w:hAnsiTheme="minorHAnsi" w:cstheme="minorHAnsi"/>
          <w:sz w:val="24"/>
          <w:szCs w:val="24"/>
          <w:lang w:val="id-ID"/>
        </w:rPr>
        <w:t>10</w:t>
      </w:r>
      <w:bookmarkEnd w:id="39"/>
      <w:bookmarkEnd w:id="40"/>
      <w:bookmarkEnd w:id="41"/>
      <w:bookmarkEnd w:id="42"/>
      <w:r w:rsidRPr="00BA7D9E">
        <w:rPr>
          <w:rFonts w:asciiTheme="minorHAnsi" w:hAnsiTheme="minorHAnsi" w:cstheme="minorHAnsi"/>
          <w:sz w:val="24"/>
          <w:szCs w:val="24"/>
          <w:lang w:val="id-ID"/>
        </w:rPr>
        <w:fldChar w:fldCharType="end"/>
      </w:r>
      <w:r w:rsidRPr="00BA7D9E">
        <w:rPr>
          <w:rFonts w:asciiTheme="minorHAnsi" w:hAnsiTheme="minorHAnsi" w:cstheme="minorHAnsi"/>
          <w:sz w:val="24"/>
          <w:szCs w:val="24"/>
          <w:lang w:val="id-ID"/>
        </w:rPr>
        <w:t xml:space="preserve"> </w:t>
      </w:r>
    </w:p>
    <w:p w14:paraId="4A311A5F" w14:textId="77777777" w:rsidR="00DF5B90" w:rsidRPr="00BA7D9E" w:rsidRDefault="00DF5B90" w:rsidP="00DF5B90">
      <w:pPr>
        <w:pStyle w:val="Keterangan"/>
        <w:keepNext/>
        <w:jc w:val="center"/>
        <w:rPr>
          <w:rFonts w:asciiTheme="minorHAnsi" w:hAnsiTheme="minorHAnsi" w:cstheme="minorHAnsi"/>
          <w:sz w:val="24"/>
          <w:szCs w:val="24"/>
          <w:lang w:val="id-ID"/>
        </w:rPr>
      </w:pPr>
      <w:r w:rsidRPr="00BA7D9E">
        <w:rPr>
          <w:rFonts w:asciiTheme="minorHAnsi" w:hAnsiTheme="minorHAnsi" w:cstheme="minorHAnsi"/>
          <w:sz w:val="24"/>
          <w:szCs w:val="24"/>
          <w:lang w:val="id-ID"/>
        </w:rPr>
        <w:t>The Impact of Stock Market Volatility on the US Dollar Index in All Periods</w:t>
      </w:r>
    </w:p>
    <w:tbl>
      <w:tblPr>
        <w:tblW w:w="9356" w:type="dxa"/>
        <w:jc w:val="center"/>
        <w:tblLook w:val="04A0" w:firstRow="1" w:lastRow="0" w:firstColumn="1" w:lastColumn="0" w:noHBand="0" w:noVBand="1"/>
      </w:tblPr>
      <w:tblGrid>
        <w:gridCol w:w="820"/>
        <w:gridCol w:w="1275"/>
        <w:gridCol w:w="1125"/>
        <w:gridCol w:w="1500"/>
        <w:gridCol w:w="955"/>
        <w:gridCol w:w="1125"/>
        <w:gridCol w:w="1247"/>
        <w:gridCol w:w="1310"/>
      </w:tblGrid>
      <w:tr w:rsidR="00DF5B90" w:rsidRPr="00DF5B90" w14:paraId="5E70A7D3" w14:textId="77777777" w:rsidTr="00DF5B90">
        <w:trPr>
          <w:trHeight w:val="300"/>
          <w:jc w:val="center"/>
        </w:trPr>
        <w:tc>
          <w:tcPr>
            <w:tcW w:w="9356" w:type="dxa"/>
            <w:gridSpan w:val="8"/>
            <w:tcBorders>
              <w:top w:val="single" w:sz="8" w:space="0" w:color="auto"/>
              <w:left w:val="nil"/>
              <w:bottom w:val="nil"/>
              <w:right w:val="nil"/>
            </w:tcBorders>
            <w:noWrap/>
            <w:vAlign w:val="center"/>
            <w:hideMark/>
          </w:tcPr>
          <w:p w14:paraId="58CD7E3C"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All Period</w:t>
            </w:r>
          </w:p>
        </w:tc>
      </w:tr>
      <w:tr w:rsidR="00DF5B90" w:rsidRPr="00DF5B90" w14:paraId="13597E21" w14:textId="77777777" w:rsidTr="00DF5B90">
        <w:trPr>
          <w:trHeight w:val="300"/>
          <w:jc w:val="center"/>
        </w:trPr>
        <w:tc>
          <w:tcPr>
            <w:tcW w:w="0" w:type="auto"/>
            <w:gridSpan w:val="2"/>
            <w:vMerge w:val="restart"/>
            <w:tcBorders>
              <w:top w:val="single" w:sz="4" w:space="0" w:color="auto"/>
              <w:left w:val="nil"/>
              <w:bottom w:val="single" w:sz="4" w:space="0" w:color="auto"/>
              <w:right w:val="nil"/>
            </w:tcBorders>
            <w:noWrap/>
            <w:vAlign w:val="center"/>
            <w:hideMark/>
          </w:tcPr>
          <w:p w14:paraId="22E3364D"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en-US"/>
              </w:rPr>
            </w:pPr>
            <w:r w:rsidRPr="00DF5B90">
              <w:rPr>
                <w:rFonts w:asciiTheme="minorHAnsi" w:eastAsia="Times New Roman" w:hAnsiTheme="minorHAnsi" w:cstheme="minorHAnsi"/>
                <w:b/>
                <w:bCs/>
                <w:color w:val="000000"/>
              </w:rPr>
              <w:t>Independent</w:t>
            </w:r>
          </w:p>
          <w:p w14:paraId="01A6E9FD" w14:textId="77777777" w:rsidR="00DF5B90" w:rsidRPr="00DF5B90" w:rsidRDefault="00DF5B90" w:rsidP="00DF5B90">
            <w:pPr>
              <w:spacing w:after="0" w:line="240" w:lineRule="auto"/>
              <w:jc w:val="center"/>
              <w:rPr>
                <w:rFonts w:asciiTheme="minorHAnsi" w:eastAsia="Times New Roman" w:hAnsiTheme="minorHAnsi" w:cstheme="minorHAnsi"/>
                <w:b/>
                <w:bCs/>
                <w:color w:val="000000"/>
              </w:rPr>
            </w:pPr>
            <w:r w:rsidRPr="00DF5B90">
              <w:rPr>
                <w:rFonts w:asciiTheme="minorHAnsi" w:eastAsia="Times New Roman" w:hAnsiTheme="minorHAnsi" w:cstheme="minorHAnsi"/>
                <w:b/>
                <w:bCs/>
                <w:color w:val="000000"/>
              </w:rPr>
              <w:t>Variable</w:t>
            </w:r>
          </w:p>
        </w:tc>
        <w:tc>
          <w:tcPr>
            <w:tcW w:w="0" w:type="auto"/>
            <w:gridSpan w:val="2"/>
            <w:tcBorders>
              <w:top w:val="single" w:sz="4" w:space="0" w:color="auto"/>
              <w:left w:val="nil"/>
              <w:bottom w:val="single" w:sz="4" w:space="0" w:color="auto"/>
              <w:right w:val="nil"/>
            </w:tcBorders>
            <w:vAlign w:val="center"/>
            <w:hideMark/>
          </w:tcPr>
          <w:p w14:paraId="7B6B435B"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Mean Equation</w:t>
            </w:r>
          </w:p>
        </w:tc>
        <w:tc>
          <w:tcPr>
            <w:tcW w:w="0" w:type="auto"/>
            <w:gridSpan w:val="3"/>
            <w:tcBorders>
              <w:top w:val="single" w:sz="4" w:space="0" w:color="auto"/>
              <w:left w:val="nil"/>
              <w:bottom w:val="single" w:sz="4" w:space="0" w:color="auto"/>
              <w:right w:val="nil"/>
            </w:tcBorders>
            <w:noWrap/>
            <w:vAlign w:val="center"/>
            <w:hideMark/>
          </w:tcPr>
          <w:p w14:paraId="5D03FFF5"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Variance Equation</w:t>
            </w:r>
          </w:p>
        </w:tc>
        <w:tc>
          <w:tcPr>
            <w:tcW w:w="1309" w:type="dxa"/>
            <w:vMerge w:val="restart"/>
            <w:tcBorders>
              <w:top w:val="single" w:sz="4" w:space="0" w:color="auto"/>
              <w:left w:val="nil"/>
              <w:bottom w:val="single" w:sz="4" w:space="0" w:color="auto"/>
              <w:right w:val="nil"/>
            </w:tcBorders>
            <w:vAlign w:val="center"/>
            <w:hideMark/>
          </w:tcPr>
          <w:p w14:paraId="7D7F2FCB"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GED Parameter</w:t>
            </w:r>
          </w:p>
        </w:tc>
      </w:tr>
      <w:tr w:rsidR="00DF5B90" w:rsidRPr="00DF5B90" w14:paraId="3C0B8C49" w14:textId="77777777" w:rsidTr="00DF5B90">
        <w:trPr>
          <w:trHeight w:val="315"/>
          <w:jc w:val="center"/>
        </w:trPr>
        <w:tc>
          <w:tcPr>
            <w:tcW w:w="0" w:type="auto"/>
            <w:gridSpan w:val="2"/>
            <w:vMerge/>
            <w:tcBorders>
              <w:top w:val="single" w:sz="4" w:space="0" w:color="auto"/>
              <w:left w:val="nil"/>
              <w:bottom w:val="single" w:sz="4" w:space="0" w:color="auto"/>
              <w:right w:val="nil"/>
            </w:tcBorders>
            <w:vAlign w:val="center"/>
            <w:hideMark/>
          </w:tcPr>
          <w:p w14:paraId="6B48635F" w14:textId="77777777" w:rsidR="00DF5B90" w:rsidRPr="00DF5B90" w:rsidRDefault="00DF5B90" w:rsidP="00DF5B90">
            <w:pPr>
              <w:spacing w:after="0" w:line="240" w:lineRule="auto"/>
              <w:rPr>
                <w:rFonts w:asciiTheme="minorHAnsi" w:eastAsia="Times New Roman" w:hAnsiTheme="minorHAnsi" w:cstheme="minorHAnsi"/>
                <w:b/>
                <w:bCs/>
                <w:color w:val="000000"/>
                <w:lang w:val="en-US"/>
              </w:rPr>
            </w:pPr>
          </w:p>
        </w:tc>
        <w:tc>
          <w:tcPr>
            <w:tcW w:w="0" w:type="auto"/>
            <w:tcBorders>
              <w:top w:val="nil"/>
              <w:left w:val="nil"/>
              <w:bottom w:val="single" w:sz="4" w:space="0" w:color="auto"/>
              <w:right w:val="nil"/>
            </w:tcBorders>
            <w:vAlign w:val="center"/>
            <w:hideMark/>
          </w:tcPr>
          <w:p w14:paraId="531913DE"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C</w:t>
            </w:r>
          </w:p>
        </w:tc>
        <w:tc>
          <w:tcPr>
            <w:tcW w:w="0" w:type="auto"/>
            <w:tcBorders>
              <w:top w:val="nil"/>
              <w:left w:val="nil"/>
              <w:bottom w:val="single" w:sz="4" w:space="0" w:color="auto"/>
              <w:right w:val="nil"/>
            </w:tcBorders>
            <w:vAlign w:val="center"/>
            <w:hideMark/>
          </w:tcPr>
          <w:p w14:paraId="041C1C45"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Independent</w:t>
            </w:r>
          </w:p>
          <w:p w14:paraId="457536C4"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Variable</w:t>
            </w:r>
          </w:p>
          <w:p w14:paraId="3CC2E3C8"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en-US"/>
              </w:rPr>
            </w:pPr>
            <w:r w:rsidRPr="00DF5B90">
              <w:rPr>
                <w:rFonts w:asciiTheme="minorHAnsi" w:eastAsia="Times New Roman" w:hAnsiTheme="minorHAnsi" w:cstheme="minorHAnsi"/>
                <w:b/>
                <w:bCs/>
                <w:color w:val="000000"/>
                <w:lang w:val="id-ID"/>
              </w:rPr>
              <w:t>(Volatility)</w:t>
            </w:r>
          </w:p>
        </w:tc>
        <w:tc>
          <w:tcPr>
            <w:tcW w:w="0" w:type="auto"/>
            <w:tcBorders>
              <w:top w:val="nil"/>
              <w:left w:val="nil"/>
              <w:bottom w:val="single" w:sz="4" w:space="0" w:color="auto"/>
              <w:right w:val="nil"/>
            </w:tcBorders>
            <w:noWrap/>
            <w:vAlign w:val="center"/>
            <w:hideMark/>
          </w:tcPr>
          <w:p w14:paraId="1BA93CAF"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C</w:t>
            </w:r>
          </w:p>
        </w:tc>
        <w:tc>
          <w:tcPr>
            <w:tcW w:w="0" w:type="auto"/>
            <w:tcBorders>
              <w:top w:val="nil"/>
              <w:left w:val="nil"/>
              <w:bottom w:val="single" w:sz="4" w:space="0" w:color="auto"/>
              <w:right w:val="nil"/>
            </w:tcBorders>
            <w:noWrap/>
            <w:vAlign w:val="center"/>
            <w:hideMark/>
          </w:tcPr>
          <w:p w14:paraId="4689D4EC" w14:textId="77777777"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Resid</w:t>
            </w:r>
          </w:p>
        </w:tc>
        <w:tc>
          <w:tcPr>
            <w:tcW w:w="0" w:type="auto"/>
            <w:tcBorders>
              <w:top w:val="nil"/>
              <w:left w:val="nil"/>
              <w:bottom w:val="single" w:sz="4" w:space="0" w:color="auto"/>
              <w:right w:val="nil"/>
            </w:tcBorders>
            <w:noWrap/>
            <w:vAlign w:val="center"/>
            <w:hideMark/>
          </w:tcPr>
          <w:p w14:paraId="30BA4949" w14:textId="6FCD9943" w:rsidR="00DF5B90" w:rsidRPr="00DF5B90" w:rsidRDefault="00DF5B90" w:rsidP="00DF5B90">
            <w:pPr>
              <w:spacing w:after="0" w:line="240" w:lineRule="auto"/>
              <w:jc w:val="center"/>
              <w:rPr>
                <w:rFonts w:asciiTheme="minorHAnsi" w:eastAsia="Times New Roman" w:hAnsiTheme="minorHAnsi" w:cstheme="minorHAnsi"/>
                <w:b/>
                <w:bCs/>
                <w:color w:val="000000"/>
                <w:lang w:val="id-ID"/>
              </w:rPr>
            </w:pPr>
            <w:r w:rsidRPr="00DF5B90">
              <w:rPr>
                <w:rFonts w:asciiTheme="minorHAnsi" w:eastAsia="Times New Roman" w:hAnsiTheme="minorHAnsi" w:cstheme="minorHAnsi"/>
                <w:b/>
                <w:bCs/>
                <w:color w:val="000000"/>
                <w:lang w:val="id-ID"/>
              </w:rPr>
              <w:t>G</w:t>
            </w:r>
            <w:r w:rsidR="006E23DC">
              <w:rPr>
                <w:rFonts w:asciiTheme="minorHAnsi" w:eastAsia="Times New Roman" w:hAnsiTheme="minorHAnsi" w:cstheme="minorHAnsi"/>
                <w:b/>
                <w:bCs/>
                <w:color w:val="000000"/>
                <w:lang w:val="id-ID"/>
              </w:rPr>
              <w:t>ARCH</w:t>
            </w:r>
          </w:p>
        </w:tc>
        <w:tc>
          <w:tcPr>
            <w:tcW w:w="0" w:type="auto"/>
            <w:vMerge/>
            <w:tcBorders>
              <w:top w:val="single" w:sz="4" w:space="0" w:color="auto"/>
              <w:left w:val="nil"/>
              <w:bottom w:val="single" w:sz="4" w:space="0" w:color="auto"/>
              <w:right w:val="nil"/>
            </w:tcBorders>
            <w:vAlign w:val="center"/>
            <w:hideMark/>
          </w:tcPr>
          <w:p w14:paraId="759A5068" w14:textId="77777777" w:rsidR="00DF5B90" w:rsidRPr="00DF5B90" w:rsidRDefault="00DF5B90" w:rsidP="00DF5B90">
            <w:pPr>
              <w:spacing w:after="0" w:line="240" w:lineRule="auto"/>
              <w:rPr>
                <w:rFonts w:asciiTheme="minorHAnsi" w:eastAsia="Times New Roman" w:hAnsiTheme="minorHAnsi" w:cstheme="minorHAnsi"/>
                <w:b/>
                <w:bCs/>
                <w:color w:val="000000"/>
                <w:lang w:val="id-ID"/>
              </w:rPr>
            </w:pPr>
          </w:p>
        </w:tc>
      </w:tr>
      <w:tr w:rsidR="00DF5B90" w:rsidRPr="00DF5B90" w14:paraId="19B109A9" w14:textId="77777777" w:rsidTr="00DF5B90">
        <w:trPr>
          <w:trHeight w:val="300"/>
          <w:jc w:val="center"/>
        </w:trPr>
        <w:tc>
          <w:tcPr>
            <w:tcW w:w="0" w:type="auto"/>
            <w:vMerge w:val="restart"/>
            <w:tcBorders>
              <w:top w:val="single" w:sz="4" w:space="0" w:color="auto"/>
              <w:left w:val="nil"/>
              <w:bottom w:val="single" w:sz="4" w:space="0" w:color="auto"/>
              <w:right w:val="nil"/>
            </w:tcBorders>
            <w:noWrap/>
            <w:vAlign w:val="center"/>
            <w:hideMark/>
          </w:tcPr>
          <w:p w14:paraId="22119294"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JKSE</w:t>
            </w:r>
          </w:p>
        </w:tc>
        <w:tc>
          <w:tcPr>
            <w:tcW w:w="0" w:type="auto"/>
            <w:tcBorders>
              <w:top w:val="single" w:sz="4" w:space="0" w:color="auto"/>
              <w:left w:val="nil"/>
              <w:bottom w:val="nil"/>
              <w:right w:val="nil"/>
            </w:tcBorders>
            <w:noWrap/>
            <w:vAlign w:val="center"/>
            <w:hideMark/>
          </w:tcPr>
          <w:p w14:paraId="17310B3D"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4F88E3F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0.0003</w:t>
            </w:r>
          </w:p>
        </w:tc>
        <w:tc>
          <w:tcPr>
            <w:tcW w:w="0" w:type="auto"/>
            <w:tcBorders>
              <w:top w:val="single" w:sz="4" w:space="0" w:color="auto"/>
              <w:left w:val="nil"/>
              <w:bottom w:val="nil"/>
              <w:right w:val="nil"/>
            </w:tcBorders>
            <w:noWrap/>
            <w:vAlign w:val="center"/>
            <w:hideMark/>
          </w:tcPr>
          <w:p w14:paraId="519EA5D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-0.0004</w:t>
            </w:r>
          </w:p>
        </w:tc>
        <w:tc>
          <w:tcPr>
            <w:tcW w:w="0" w:type="auto"/>
            <w:tcBorders>
              <w:top w:val="single" w:sz="4" w:space="0" w:color="auto"/>
              <w:left w:val="nil"/>
              <w:bottom w:val="nil"/>
              <w:right w:val="nil"/>
            </w:tcBorders>
            <w:noWrap/>
            <w:vAlign w:val="center"/>
            <w:hideMark/>
          </w:tcPr>
          <w:p w14:paraId="4E4E0A6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3.2E-07</w:t>
            </w:r>
          </w:p>
        </w:tc>
        <w:tc>
          <w:tcPr>
            <w:tcW w:w="0" w:type="auto"/>
            <w:tcBorders>
              <w:top w:val="single" w:sz="4" w:space="0" w:color="auto"/>
              <w:left w:val="nil"/>
              <w:bottom w:val="nil"/>
              <w:right w:val="nil"/>
            </w:tcBorders>
            <w:noWrap/>
            <w:vAlign w:val="center"/>
            <w:hideMark/>
          </w:tcPr>
          <w:p w14:paraId="22F188E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0.0349</w:t>
            </w:r>
          </w:p>
        </w:tc>
        <w:tc>
          <w:tcPr>
            <w:tcW w:w="0" w:type="auto"/>
            <w:tcBorders>
              <w:top w:val="single" w:sz="4" w:space="0" w:color="auto"/>
              <w:left w:val="nil"/>
              <w:bottom w:val="nil"/>
              <w:right w:val="nil"/>
            </w:tcBorders>
            <w:noWrap/>
            <w:vAlign w:val="center"/>
            <w:hideMark/>
          </w:tcPr>
          <w:p w14:paraId="271CDE7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0.9531</w:t>
            </w:r>
          </w:p>
        </w:tc>
        <w:tc>
          <w:tcPr>
            <w:tcW w:w="1309" w:type="dxa"/>
            <w:tcBorders>
              <w:top w:val="single" w:sz="4" w:space="0" w:color="auto"/>
              <w:left w:val="nil"/>
              <w:bottom w:val="nil"/>
              <w:right w:val="nil"/>
            </w:tcBorders>
            <w:vAlign w:val="center"/>
            <w:hideMark/>
          </w:tcPr>
          <w:p w14:paraId="198EE34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1.2605</w:t>
            </w:r>
          </w:p>
        </w:tc>
      </w:tr>
      <w:tr w:rsidR="00DF5B90" w:rsidRPr="00DF5B90" w14:paraId="2D3024E4"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37CC5217"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347610F3"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307516E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1.7720</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16FBEFC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-2.1037</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5A2ACC6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1.2206</w:t>
            </w:r>
          </w:p>
        </w:tc>
        <w:tc>
          <w:tcPr>
            <w:tcW w:w="0" w:type="auto"/>
            <w:noWrap/>
            <w:vAlign w:val="center"/>
            <w:hideMark/>
          </w:tcPr>
          <w:p w14:paraId="36EFA7B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1.8670</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2300EDD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40.0477</w:t>
            </w:r>
            <w:r w:rsidRPr="00DF5B90">
              <w:rPr>
                <w:rFonts w:asciiTheme="minorHAnsi" w:eastAsia="Times New Roman" w:hAnsiTheme="minorHAnsi" w:cstheme="minorHAnsi"/>
                <w:color w:val="000000"/>
                <w:vertAlign w:val="superscript"/>
                <w:lang w:val="id-ID"/>
              </w:rPr>
              <w:t>***</w:t>
            </w:r>
          </w:p>
        </w:tc>
        <w:tc>
          <w:tcPr>
            <w:tcW w:w="1309" w:type="dxa"/>
            <w:noWrap/>
            <w:vAlign w:val="center"/>
            <w:hideMark/>
          </w:tcPr>
          <w:p w14:paraId="75B1485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12.6753</w:t>
            </w:r>
            <w:r w:rsidRPr="00DF5B90">
              <w:rPr>
                <w:rFonts w:asciiTheme="minorHAnsi" w:eastAsia="Times New Roman" w:hAnsiTheme="minorHAnsi" w:cstheme="minorHAnsi"/>
                <w:color w:val="000000"/>
                <w:vertAlign w:val="superscript"/>
                <w:lang w:val="id-ID"/>
              </w:rPr>
              <w:t>***</w:t>
            </w:r>
          </w:p>
        </w:tc>
      </w:tr>
      <w:tr w:rsidR="00DF5B90" w:rsidRPr="00DF5B90" w14:paraId="06680461" w14:textId="77777777" w:rsidTr="00DF5B90">
        <w:trPr>
          <w:trHeight w:val="300"/>
          <w:jc w:val="center"/>
        </w:trPr>
        <w:tc>
          <w:tcPr>
            <w:tcW w:w="0" w:type="auto"/>
            <w:vMerge/>
            <w:tcBorders>
              <w:top w:val="single" w:sz="4" w:space="0" w:color="auto"/>
              <w:left w:val="nil"/>
              <w:bottom w:val="single" w:sz="4" w:space="0" w:color="auto"/>
              <w:right w:val="nil"/>
            </w:tcBorders>
            <w:vAlign w:val="center"/>
            <w:hideMark/>
          </w:tcPr>
          <w:p w14:paraId="2B04142C"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5686B18D"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085658B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0.0764</w:t>
            </w:r>
          </w:p>
        </w:tc>
        <w:tc>
          <w:tcPr>
            <w:tcW w:w="0" w:type="auto"/>
            <w:tcBorders>
              <w:top w:val="nil"/>
              <w:left w:val="nil"/>
              <w:bottom w:val="single" w:sz="4" w:space="0" w:color="auto"/>
              <w:right w:val="nil"/>
            </w:tcBorders>
            <w:noWrap/>
            <w:vAlign w:val="center"/>
            <w:hideMark/>
          </w:tcPr>
          <w:p w14:paraId="739582C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0.0354</w:t>
            </w:r>
          </w:p>
        </w:tc>
        <w:tc>
          <w:tcPr>
            <w:tcW w:w="0" w:type="auto"/>
            <w:tcBorders>
              <w:top w:val="nil"/>
              <w:left w:val="nil"/>
              <w:bottom w:val="single" w:sz="4" w:space="0" w:color="auto"/>
              <w:right w:val="nil"/>
            </w:tcBorders>
            <w:noWrap/>
            <w:vAlign w:val="center"/>
            <w:hideMark/>
          </w:tcPr>
          <w:p w14:paraId="49C6C52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0.2222</w:t>
            </w:r>
          </w:p>
        </w:tc>
        <w:tc>
          <w:tcPr>
            <w:tcW w:w="0" w:type="auto"/>
            <w:tcBorders>
              <w:top w:val="nil"/>
              <w:left w:val="nil"/>
              <w:bottom w:val="single" w:sz="4" w:space="0" w:color="auto"/>
              <w:right w:val="nil"/>
            </w:tcBorders>
            <w:noWrap/>
            <w:vAlign w:val="center"/>
            <w:hideMark/>
          </w:tcPr>
          <w:p w14:paraId="6986B10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0.0619</w:t>
            </w:r>
          </w:p>
        </w:tc>
        <w:tc>
          <w:tcPr>
            <w:tcW w:w="0" w:type="auto"/>
            <w:tcBorders>
              <w:top w:val="nil"/>
              <w:left w:val="nil"/>
              <w:bottom w:val="single" w:sz="4" w:space="0" w:color="auto"/>
              <w:right w:val="nil"/>
            </w:tcBorders>
            <w:noWrap/>
            <w:vAlign w:val="center"/>
            <w:hideMark/>
          </w:tcPr>
          <w:p w14:paraId="6F41378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309" w:type="dxa"/>
            <w:tcBorders>
              <w:top w:val="nil"/>
              <w:left w:val="nil"/>
              <w:bottom w:val="single" w:sz="4" w:space="0" w:color="auto"/>
              <w:right w:val="nil"/>
            </w:tcBorders>
            <w:noWrap/>
            <w:vAlign w:val="center"/>
            <w:hideMark/>
          </w:tcPr>
          <w:p w14:paraId="33FCDAF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0BB557A8" w14:textId="77777777" w:rsidTr="00DF5B90">
        <w:trPr>
          <w:trHeight w:val="300"/>
          <w:jc w:val="center"/>
        </w:trPr>
        <w:tc>
          <w:tcPr>
            <w:tcW w:w="0" w:type="auto"/>
            <w:vMerge w:val="restart"/>
            <w:tcBorders>
              <w:top w:val="single" w:sz="4" w:space="0" w:color="auto"/>
              <w:left w:val="nil"/>
              <w:bottom w:val="single" w:sz="4" w:space="0" w:color="000000"/>
              <w:right w:val="nil"/>
            </w:tcBorders>
            <w:noWrap/>
            <w:vAlign w:val="center"/>
            <w:hideMark/>
          </w:tcPr>
          <w:p w14:paraId="5F7CB2E3"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KLSE</w:t>
            </w:r>
          </w:p>
        </w:tc>
        <w:tc>
          <w:tcPr>
            <w:tcW w:w="0" w:type="auto"/>
            <w:tcBorders>
              <w:top w:val="single" w:sz="4" w:space="0" w:color="auto"/>
              <w:left w:val="nil"/>
              <w:bottom w:val="nil"/>
              <w:right w:val="nil"/>
            </w:tcBorders>
            <w:noWrap/>
            <w:vAlign w:val="center"/>
            <w:hideMark/>
          </w:tcPr>
          <w:p w14:paraId="4DE78A67"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46B5666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0.0003</w:t>
            </w:r>
          </w:p>
        </w:tc>
        <w:tc>
          <w:tcPr>
            <w:tcW w:w="0" w:type="auto"/>
            <w:tcBorders>
              <w:top w:val="single" w:sz="4" w:space="0" w:color="auto"/>
              <w:left w:val="nil"/>
              <w:bottom w:val="nil"/>
              <w:right w:val="nil"/>
            </w:tcBorders>
            <w:noWrap/>
            <w:vAlign w:val="center"/>
            <w:hideMark/>
          </w:tcPr>
          <w:p w14:paraId="3825BD0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-0.0003</w:t>
            </w:r>
          </w:p>
        </w:tc>
        <w:tc>
          <w:tcPr>
            <w:tcW w:w="0" w:type="auto"/>
            <w:tcBorders>
              <w:top w:val="single" w:sz="4" w:space="0" w:color="auto"/>
              <w:left w:val="nil"/>
              <w:bottom w:val="nil"/>
              <w:right w:val="nil"/>
            </w:tcBorders>
            <w:noWrap/>
            <w:vAlign w:val="center"/>
            <w:hideMark/>
          </w:tcPr>
          <w:p w14:paraId="1AD29AC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3.2E-07</w:t>
            </w:r>
          </w:p>
        </w:tc>
        <w:tc>
          <w:tcPr>
            <w:tcW w:w="0" w:type="auto"/>
            <w:tcBorders>
              <w:top w:val="single" w:sz="4" w:space="0" w:color="auto"/>
              <w:left w:val="nil"/>
              <w:bottom w:val="nil"/>
              <w:right w:val="nil"/>
            </w:tcBorders>
            <w:noWrap/>
            <w:vAlign w:val="center"/>
            <w:hideMark/>
          </w:tcPr>
          <w:p w14:paraId="1C8986B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0.0329</w:t>
            </w:r>
          </w:p>
        </w:tc>
        <w:tc>
          <w:tcPr>
            <w:tcW w:w="0" w:type="auto"/>
            <w:tcBorders>
              <w:top w:val="single" w:sz="4" w:space="0" w:color="auto"/>
              <w:left w:val="nil"/>
              <w:bottom w:val="nil"/>
              <w:right w:val="nil"/>
            </w:tcBorders>
            <w:noWrap/>
            <w:vAlign w:val="center"/>
            <w:hideMark/>
          </w:tcPr>
          <w:p w14:paraId="6301BE9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0.9550</w:t>
            </w:r>
          </w:p>
        </w:tc>
        <w:tc>
          <w:tcPr>
            <w:tcW w:w="1309" w:type="dxa"/>
            <w:tcBorders>
              <w:top w:val="single" w:sz="4" w:space="0" w:color="auto"/>
              <w:left w:val="nil"/>
              <w:bottom w:val="nil"/>
              <w:right w:val="nil"/>
            </w:tcBorders>
            <w:vAlign w:val="center"/>
            <w:hideMark/>
          </w:tcPr>
          <w:p w14:paraId="54F9BC3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1.2651</w:t>
            </w:r>
          </w:p>
        </w:tc>
      </w:tr>
      <w:tr w:rsidR="00DF5B90" w:rsidRPr="00DF5B90" w14:paraId="4C6628AA" w14:textId="77777777" w:rsidTr="00DF5B90">
        <w:trPr>
          <w:trHeight w:val="300"/>
          <w:jc w:val="center"/>
        </w:trPr>
        <w:tc>
          <w:tcPr>
            <w:tcW w:w="0" w:type="auto"/>
            <w:vMerge/>
            <w:tcBorders>
              <w:top w:val="single" w:sz="4" w:space="0" w:color="auto"/>
              <w:left w:val="nil"/>
              <w:bottom w:val="single" w:sz="4" w:space="0" w:color="000000"/>
              <w:right w:val="nil"/>
            </w:tcBorders>
            <w:vAlign w:val="center"/>
            <w:hideMark/>
          </w:tcPr>
          <w:p w14:paraId="46F06FD1"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10FE9014"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10E9F90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1.7024</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7B02558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-1.4980</w:t>
            </w:r>
          </w:p>
        </w:tc>
        <w:tc>
          <w:tcPr>
            <w:tcW w:w="0" w:type="auto"/>
            <w:noWrap/>
            <w:vAlign w:val="center"/>
            <w:hideMark/>
          </w:tcPr>
          <w:p w14:paraId="2397344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1.2747</w:t>
            </w:r>
          </w:p>
        </w:tc>
        <w:tc>
          <w:tcPr>
            <w:tcW w:w="0" w:type="auto"/>
            <w:noWrap/>
            <w:vAlign w:val="center"/>
            <w:hideMark/>
          </w:tcPr>
          <w:p w14:paraId="7ABCFF0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1.8462</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3F907FB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41.6955</w:t>
            </w:r>
            <w:r w:rsidRPr="00DF5B90">
              <w:rPr>
                <w:rFonts w:asciiTheme="minorHAnsi" w:eastAsia="Times New Roman" w:hAnsiTheme="minorHAnsi" w:cstheme="minorHAnsi"/>
                <w:color w:val="000000"/>
                <w:vertAlign w:val="superscript"/>
                <w:lang w:val="id-ID"/>
              </w:rPr>
              <w:t>***</w:t>
            </w:r>
          </w:p>
        </w:tc>
        <w:tc>
          <w:tcPr>
            <w:tcW w:w="1309" w:type="dxa"/>
            <w:noWrap/>
            <w:vAlign w:val="center"/>
            <w:hideMark/>
          </w:tcPr>
          <w:p w14:paraId="2580771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12.9655</w:t>
            </w:r>
            <w:r w:rsidRPr="00DF5B90">
              <w:rPr>
                <w:rFonts w:asciiTheme="minorHAnsi" w:eastAsia="Times New Roman" w:hAnsiTheme="minorHAnsi" w:cstheme="minorHAnsi"/>
                <w:color w:val="000000"/>
                <w:vertAlign w:val="superscript"/>
                <w:lang w:val="id-ID"/>
              </w:rPr>
              <w:t>***</w:t>
            </w:r>
          </w:p>
        </w:tc>
      </w:tr>
      <w:tr w:rsidR="00DF5B90" w:rsidRPr="00DF5B90" w14:paraId="75DF4CBF" w14:textId="77777777" w:rsidTr="00DF5B90">
        <w:trPr>
          <w:trHeight w:val="300"/>
          <w:jc w:val="center"/>
        </w:trPr>
        <w:tc>
          <w:tcPr>
            <w:tcW w:w="0" w:type="auto"/>
            <w:vMerge/>
            <w:tcBorders>
              <w:top w:val="single" w:sz="4" w:space="0" w:color="auto"/>
              <w:left w:val="nil"/>
              <w:bottom w:val="single" w:sz="4" w:space="0" w:color="000000"/>
              <w:right w:val="nil"/>
            </w:tcBorders>
            <w:vAlign w:val="center"/>
            <w:hideMark/>
          </w:tcPr>
          <w:p w14:paraId="0632E424"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6966FF82"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2F65148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0.0887</w:t>
            </w:r>
          </w:p>
        </w:tc>
        <w:tc>
          <w:tcPr>
            <w:tcW w:w="0" w:type="auto"/>
            <w:tcBorders>
              <w:top w:val="nil"/>
              <w:left w:val="nil"/>
              <w:bottom w:val="single" w:sz="4" w:space="0" w:color="auto"/>
              <w:right w:val="nil"/>
            </w:tcBorders>
            <w:noWrap/>
            <w:vAlign w:val="center"/>
            <w:hideMark/>
          </w:tcPr>
          <w:p w14:paraId="53D1C4B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0.1341</w:t>
            </w:r>
          </w:p>
        </w:tc>
        <w:tc>
          <w:tcPr>
            <w:tcW w:w="0" w:type="auto"/>
            <w:tcBorders>
              <w:top w:val="nil"/>
              <w:left w:val="nil"/>
              <w:bottom w:val="single" w:sz="4" w:space="0" w:color="auto"/>
              <w:right w:val="nil"/>
            </w:tcBorders>
            <w:noWrap/>
            <w:vAlign w:val="center"/>
            <w:hideMark/>
          </w:tcPr>
          <w:p w14:paraId="31740DA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0.2024</w:t>
            </w:r>
          </w:p>
        </w:tc>
        <w:tc>
          <w:tcPr>
            <w:tcW w:w="0" w:type="auto"/>
            <w:tcBorders>
              <w:top w:val="nil"/>
              <w:left w:val="nil"/>
              <w:bottom w:val="single" w:sz="4" w:space="0" w:color="auto"/>
              <w:right w:val="nil"/>
            </w:tcBorders>
            <w:noWrap/>
            <w:vAlign w:val="center"/>
            <w:hideMark/>
          </w:tcPr>
          <w:p w14:paraId="4C3D68F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0.0649</w:t>
            </w:r>
          </w:p>
        </w:tc>
        <w:tc>
          <w:tcPr>
            <w:tcW w:w="0" w:type="auto"/>
            <w:tcBorders>
              <w:top w:val="nil"/>
              <w:left w:val="nil"/>
              <w:bottom w:val="single" w:sz="4" w:space="0" w:color="auto"/>
              <w:right w:val="nil"/>
            </w:tcBorders>
            <w:noWrap/>
            <w:vAlign w:val="center"/>
            <w:hideMark/>
          </w:tcPr>
          <w:p w14:paraId="6AF15BC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309" w:type="dxa"/>
            <w:tcBorders>
              <w:top w:val="nil"/>
              <w:left w:val="nil"/>
              <w:bottom w:val="single" w:sz="4" w:space="0" w:color="auto"/>
              <w:right w:val="nil"/>
            </w:tcBorders>
            <w:noWrap/>
            <w:vAlign w:val="center"/>
            <w:hideMark/>
          </w:tcPr>
          <w:p w14:paraId="485B693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2878AD97" w14:textId="77777777" w:rsidTr="00DF5B90">
        <w:trPr>
          <w:trHeight w:val="300"/>
          <w:jc w:val="center"/>
        </w:trPr>
        <w:tc>
          <w:tcPr>
            <w:tcW w:w="0" w:type="auto"/>
            <w:vMerge w:val="restart"/>
            <w:noWrap/>
            <w:vAlign w:val="center"/>
            <w:hideMark/>
          </w:tcPr>
          <w:p w14:paraId="12903453"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PSEi</w:t>
            </w:r>
          </w:p>
        </w:tc>
        <w:tc>
          <w:tcPr>
            <w:tcW w:w="0" w:type="auto"/>
            <w:noWrap/>
            <w:vAlign w:val="center"/>
            <w:hideMark/>
          </w:tcPr>
          <w:p w14:paraId="41340E39"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noWrap/>
            <w:vAlign w:val="center"/>
            <w:hideMark/>
          </w:tcPr>
          <w:p w14:paraId="051271C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0.0003</w:t>
            </w:r>
          </w:p>
        </w:tc>
        <w:tc>
          <w:tcPr>
            <w:tcW w:w="0" w:type="auto"/>
            <w:noWrap/>
            <w:vAlign w:val="center"/>
            <w:hideMark/>
          </w:tcPr>
          <w:p w14:paraId="2FA3CDA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0.0002</w:t>
            </w:r>
          </w:p>
        </w:tc>
        <w:tc>
          <w:tcPr>
            <w:tcW w:w="0" w:type="auto"/>
            <w:noWrap/>
            <w:vAlign w:val="center"/>
            <w:hideMark/>
          </w:tcPr>
          <w:p w14:paraId="3A15BB9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3.4E-07</w:t>
            </w:r>
          </w:p>
        </w:tc>
        <w:tc>
          <w:tcPr>
            <w:tcW w:w="0" w:type="auto"/>
            <w:noWrap/>
            <w:vAlign w:val="center"/>
            <w:hideMark/>
          </w:tcPr>
          <w:p w14:paraId="6ECA589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0.0343</w:t>
            </w:r>
          </w:p>
        </w:tc>
        <w:tc>
          <w:tcPr>
            <w:tcW w:w="0" w:type="auto"/>
            <w:noWrap/>
            <w:vAlign w:val="center"/>
            <w:hideMark/>
          </w:tcPr>
          <w:p w14:paraId="63B640D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0.9528</w:t>
            </w:r>
          </w:p>
        </w:tc>
        <w:tc>
          <w:tcPr>
            <w:tcW w:w="1309" w:type="dxa"/>
            <w:vAlign w:val="center"/>
            <w:hideMark/>
          </w:tcPr>
          <w:p w14:paraId="61E1A4B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1.2383</w:t>
            </w:r>
          </w:p>
        </w:tc>
      </w:tr>
      <w:tr w:rsidR="00DF5B90" w:rsidRPr="00DF5B90" w14:paraId="65C680FC" w14:textId="77777777" w:rsidTr="00DF5B90">
        <w:trPr>
          <w:trHeight w:val="300"/>
          <w:jc w:val="center"/>
        </w:trPr>
        <w:tc>
          <w:tcPr>
            <w:tcW w:w="0" w:type="auto"/>
            <w:vMerge/>
            <w:vAlign w:val="center"/>
            <w:hideMark/>
          </w:tcPr>
          <w:p w14:paraId="38A83AAB"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28DF9088"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23B8862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1.7836</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78FF4A5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0.9308</w:t>
            </w:r>
          </w:p>
        </w:tc>
        <w:tc>
          <w:tcPr>
            <w:tcW w:w="0" w:type="auto"/>
            <w:noWrap/>
            <w:vAlign w:val="center"/>
            <w:hideMark/>
          </w:tcPr>
          <w:p w14:paraId="74D443C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1.3029</w:t>
            </w:r>
          </w:p>
        </w:tc>
        <w:tc>
          <w:tcPr>
            <w:tcW w:w="0" w:type="auto"/>
            <w:noWrap/>
            <w:vAlign w:val="center"/>
            <w:hideMark/>
          </w:tcPr>
          <w:p w14:paraId="0E38DE1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1.8781</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36AE00F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40.4917</w:t>
            </w:r>
            <w:r w:rsidRPr="00DF5B90">
              <w:rPr>
                <w:rFonts w:asciiTheme="minorHAnsi" w:eastAsia="Times New Roman" w:hAnsiTheme="minorHAnsi" w:cstheme="minorHAnsi"/>
                <w:color w:val="000000"/>
                <w:vertAlign w:val="superscript"/>
                <w:lang w:val="id-ID"/>
              </w:rPr>
              <w:t>***</w:t>
            </w:r>
          </w:p>
        </w:tc>
        <w:tc>
          <w:tcPr>
            <w:tcW w:w="1309" w:type="dxa"/>
            <w:noWrap/>
            <w:vAlign w:val="center"/>
            <w:hideMark/>
          </w:tcPr>
          <w:p w14:paraId="4C68A67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13.0767</w:t>
            </w:r>
            <w:r w:rsidRPr="00DF5B90">
              <w:rPr>
                <w:rFonts w:asciiTheme="minorHAnsi" w:eastAsia="Times New Roman" w:hAnsiTheme="minorHAnsi" w:cstheme="minorHAnsi"/>
                <w:color w:val="000000"/>
                <w:vertAlign w:val="superscript"/>
                <w:lang w:val="id-ID"/>
              </w:rPr>
              <w:t>***</w:t>
            </w:r>
          </w:p>
        </w:tc>
      </w:tr>
      <w:tr w:rsidR="00DF5B90" w:rsidRPr="00DF5B90" w14:paraId="2E472D06" w14:textId="77777777" w:rsidTr="00DF5B90">
        <w:trPr>
          <w:trHeight w:val="300"/>
          <w:jc w:val="center"/>
        </w:trPr>
        <w:tc>
          <w:tcPr>
            <w:tcW w:w="0" w:type="auto"/>
            <w:vMerge/>
            <w:vAlign w:val="center"/>
            <w:hideMark/>
          </w:tcPr>
          <w:p w14:paraId="0B4F4361"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7AD88F11"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noWrap/>
            <w:vAlign w:val="center"/>
            <w:hideMark/>
          </w:tcPr>
          <w:p w14:paraId="60F56D2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0.0745</w:t>
            </w:r>
          </w:p>
        </w:tc>
        <w:tc>
          <w:tcPr>
            <w:tcW w:w="0" w:type="auto"/>
            <w:noWrap/>
            <w:vAlign w:val="center"/>
            <w:hideMark/>
          </w:tcPr>
          <w:p w14:paraId="4269FD5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0.3520</w:t>
            </w:r>
          </w:p>
        </w:tc>
        <w:tc>
          <w:tcPr>
            <w:tcW w:w="0" w:type="auto"/>
            <w:noWrap/>
            <w:vAlign w:val="center"/>
            <w:hideMark/>
          </w:tcPr>
          <w:p w14:paraId="7728A99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0.1926</w:t>
            </w:r>
          </w:p>
        </w:tc>
        <w:tc>
          <w:tcPr>
            <w:tcW w:w="0" w:type="auto"/>
            <w:noWrap/>
            <w:vAlign w:val="center"/>
            <w:hideMark/>
          </w:tcPr>
          <w:p w14:paraId="6DFF5F3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0.0604</w:t>
            </w:r>
          </w:p>
        </w:tc>
        <w:tc>
          <w:tcPr>
            <w:tcW w:w="0" w:type="auto"/>
            <w:noWrap/>
            <w:vAlign w:val="center"/>
            <w:hideMark/>
          </w:tcPr>
          <w:p w14:paraId="78F4E54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309" w:type="dxa"/>
            <w:noWrap/>
            <w:vAlign w:val="center"/>
            <w:hideMark/>
          </w:tcPr>
          <w:p w14:paraId="660D7B7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3BCB595F" w14:textId="77777777" w:rsidTr="00DF5B90">
        <w:trPr>
          <w:trHeight w:val="300"/>
          <w:jc w:val="center"/>
        </w:trPr>
        <w:tc>
          <w:tcPr>
            <w:tcW w:w="0" w:type="auto"/>
            <w:vMerge w:val="restart"/>
            <w:tcBorders>
              <w:top w:val="single" w:sz="4" w:space="0" w:color="auto"/>
              <w:left w:val="nil"/>
              <w:bottom w:val="single" w:sz="4" w:space="0" w:color="000000"/>
              <w:right w:val="nil"/>
            </w:tcBorders>
            <w:noWrap/>
            <w:vAlign w:val="center"/>
            <w:hideMark/>
          </w:tcPr>
          <w:p w14:paraId="7B970502"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STI</w:t>
            </w:r>
          </w:p>
        </w:tc>
        <w:tc>
          <w:tcPr>
            <w:tcW w:w="0" w:type="auto"/>
            <w:tcBorders>
              <w:top w:val="single" w:sz="4" w:space="0" w:color="auto"/>
              <w:left w:val="nil"/>
              <w:bottom w:val="nil"/>
              <w:right w:val="nil"/>
            </w:tcBorders>
            <w:noWrap/>
            <w:vAlign w:val="center"/>
            <w:hideMark/>
          </w:tcPr>
          <w:p w14:paraId="6BA82904"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2D3A721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0.0003</w:t>
            </w:r>
          </w:p>
        </w:tc>
        <w:tc>
          <w:tcPr>
            <w:tcW w:w="0" w:type="auto"/>
            <w:tcBorders>
              <w:top w:val="single" w:sz="4" w:space="0" w:color="auto"/>
              <w:left w:val="nil"/>
              <w:bottom w:val="nil"/>
              <w:right w:val="nil"/>
            </w:tcBorders>
            <w:noWrap/>
            <w:vAlign w:val="center"/>
            <w:hideMark/>
          </w:tcPr>
          <w:p w14:paraId="3636DA8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-0.0004</w:t>
            </w:r>
          </w:p>
        </w:tc>
        <w:tc>
          <w:tcPr>
            <w:tcW w:w="0" w:type="auto"/>
            <w:tcBorders>
              <w:top w:val="single" w:sz="4" w:space="0" w:color="auto"/>
              <w:left w:val="nil"/>
              <w:bottom w:val="nil"/>
              <w:right w:val="nil"/>
            </w:tcBorders>
            <w:noWrap/>
            <w:vAlign w:val="center"/>
            <w:hideMark/>
          </w:tcPr>
          <w:p w14:paraId="7169690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3.2E-07</w:t>
            </w:r>
          </w:p>
        </w:tc>
        <w:tc>
          <w:tcPr>
            <w:tcW w:w="0" w:type="auto"/>
            <w:tcBorders>
              <w:top w:val="single" w:sz="4" w:space="0" w:color="auto"/>
              <w:left w:val="nil"/>
              <w:bottom w:val="nil"/>
              <w:right w:val="nil"/>
            </w:tcBorders>
            <w:noWrap/>
            <w:vAlign w:val="center"/>
            <w:hideMark/>
          </w:tcPr>
          <w:p w14:paraId="73EEBCB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0.0350</w:t>
            </w:r>
          </w:p>
        </w:tc>
        <w:tc>
          <w:tcPr>
            <w:tcW w:w="0" w:type="auto"/>
            <w:tcBorders>
              <w:top w:val="single" w:sz="4" w:space="0" w:color="auto"/>
              <w:left w:val="nil"/>
              <w:bottom w:val="nil"/>
              <w:right w:val="nil"/>
            </w:tcBorders>
            <w:noWrap/>
            <w:vAlign w:val="center"/>
            <w:hideMark/>
          </w:tcPr>
          <w:p w14:paraId="28CA482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0.9528</w:t>
            </w:r>
          </w:p>
        </w:tc>
        <w:tc>
          <w:tcPr>
            <w:tcW w:w="1309" w:type="dxa"/>
            <w:tcBorders>
              <w:top w:val="single" w:sz="4" w:space="0" w:color="auto"/>
              <w:left w:val="nil"/>
              <w:bottom w:val="nil"/>
              <w:right w:val="nil"/>
            </w:tcBorders>
            <w:vAlign w:val="center"/>
            <w:hideMark/>
          </w:tcPr>
          <w:p w14:paraId="733E659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1.2793</w:t>
            </w:r>
          </w:p>
        </w:tc>
      </w:tr>
      <w:tr w:rsidR="00DF5B90" w:rsidRPr="00DF5B90" w14:paraId="067A8C65" w14:textId="77777777" w:rsidTr="00DF5B90">
        <w:trPr>
          <w:trHeight w:val="300"/>
          <w:jc w:val="center"/>
        </w:trPr>
        <w:tc>
          <w:tcPr>
            <w:tcW w:w="0" w:type="auto"/>
            <w:vMerge/>
            <w:tcBorders>
              <w:top w:val="single" w:sz="4" w:space="0" w:color="auto"/>
              <w:left w:val="nil"/>
              <w:bottom w:val="single" w:sz="4" w:space="0" w:color="000000"/>
              <w:right w:val="nil"/>
            </w:tcBorders>
            <w:vAlign w:val="center"/>
            <w:hideMark/>
          </w:tcPr>
          <w:p w14:paraId="0330685C"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7320328A"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353FBCE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1.7340</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693F334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-2.3767</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389DFAB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1.1889</w:t>
            </w:r>
          </w:p>
        </w:tc>
        <w:tc>
          <w:tcPr>
            <w:tcW w:w="0" w:type="auto"/>
            <w:noWrap/>
            <w:vAlign w:val="center"/>
            <w:hideMark/>
          </w:tcPr>
          <w:p w14:paraId="1FA7F78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1.8632</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09CECC1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39.3139</w:t>
            </w:r>
            <w:r w:rsidRPr="00DF5B90">
              <w:rPr>
                <w:rFonts w:asciiTheme="minorHAnsi" w:eastAsia="Times New Roman" w:hAnsiTheme="minorHAnsi" w:cstheme="minorHAnsi"/>
                <w:color w:val="000000"/>
                <w:vertAlign w:val="superscript"/>
                <w:lang w:val="id-ID"/>
              </w:rPr>
              <w:t>***</w:t>
            </w:r>
          </w:p>
        </w:tc>
        <w:tc>
          <w:tcPr>
            <w:tcW w:w="1309" w:type="dxa"/>
            <w:noWrap/>
            <w:vAlign w:val="center"/>
            <w:hideMark/>
          </w:tcPr>
          <w:p w14:paraId="5D79032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12.6698</w:t>
            </w:r>
            <w:r w:rsidRPr="00DF5B90">
              <w:rPr>
                <w:rFonts w:asciiTheme="minorHAnsi" w:eastAsia="Times New Roman" w:hAnsiTheme="minorHAnsi" w:cstheme="minorHAnsi"/>
                <w:color w:val="000000"/>
                <w:vertAlign w:val="superscript"/>
                <w:lang w:val="id-ID"/>
              </w:rPr>
              <w:t>***</w:t>
            </w:r>
          </w:p>
        </w:tc>
      </w:tr>
      <w:tr w:rsidR="00DF5B90" w:rsidRPr="00DF5B90" w14:paraId="44687E0C" w14:textId="77777777" w:rsidTr="00DF5B90">
        <w:trPr>
          <w:trHeight w:val="300"/>
          <w:jc w:val="center"/>
        </w:trPr>
        <w:tc>
          <w:tcPr>
            <w:tcW w:w="0" w:type="auto"/>
            <w:vMerge/>
            <w:tcBorders>
              <w:top w:val="single" w:sz="4" w:space="0" w:color="auto"/>
              <w:left w:val="nil"/>
              <w:bottom w:val="single" w:sz="4" w:space="0" w:color="000000"/>
              <w:right w:val="nil"/>
            </w:tcBorders>
            <w:vAlign w:val="center"/>
            <w:hideMark/>
          </w:tcPr>
          <w:p w14:paraId="2668AC06"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189C37E6"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3C19449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0.0829</w:t>
            </w:r>
          </w:p>
        </w:tc>
        <w:tc>
          <w:tcPr>
            <w:tcW w:w="0" w:type="auto"/>
            <w:tcBorders>
              <w:top w:val="nil"/>
              <w:left w:val="nil"/>
              <w:bottom w:val="single" w:sz="4" w:space="0" w:color="auto"/>
              <w:right w:val="nil"/>
            </w:tcBorders>
            <w:noWrap/>
            <w:vAlign w:val="center"/>
            <w:hideMark/>
          </w:tcPr>
          <w:p w14:paraId="30699DD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0.0175</w:t>
            </w:r>
          </w:p>
        </w:tc>
        <w:tc>
          <w:tcPr>
            <w:tcW w:w="0" w:type="auto"/>
            <w:tcBorders>
              <w:top w:val="nil"/>
              <w:left w:val="nil"/>
              <w:bottom w:val="single" w:sz="4" w:space="0" w:color="auto"/>
              <w:right w:val="nil"/>
            </w:tcBorders>
            <w:noWrap/>
            <w:vAlign w:val="center"/>
            <w:hideMark/>
          </w:tcPr>
          <w:p w14:paraId="5ED8148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0.2345</w:t>
            </w:r>
          </w:p>
        </w:tc>
        <w:tc>
          <w:tcPr>
            <w:tcW w:w="0" w:type="auto"/>
            <w:tcBorders>
              <w:top w:val="nil"/>
              <w:left w:val="nil"/>
              <w:bottom w:val="single" w:sz="4" w:space="0" w:color="auto"/>
              <w:right w:val="nil"/>
            </w:tcBorders>
            <w:noWrap/>
            <w:vAlign w:val="center"/>
            <w:hideMark/>
          </w:tcPr>
          <w:p w14:paraId="22990C7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0.0624</w:t>
            </w:r>
          </w:p>
        </w:tc>
        <w:tc>
          <w:tcPr>
            <w:tcW w:w="0" w:type="auto"/>
            <w:tcBorders>
              <w:top w:val="nil"/>
              <w:left w:val="nil"/>
              <w:bottom w:val="single" w:sz="4" w:space="0" w:color="auto"/>
              <w:right w:val="nil"/>
            </w:tcBorders>
            <w:noWrap/>
            <w:vAlign w:val="center"/>
            <w:hideMark/>
          </w:tcPr>
          <w:p w14:paraId="6480D1C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309" w:type="dxa"/>
            <w:tcBorders>
              <w:top w:val="nil"/>
              <w:left w:val="nil"/>
              <w:bottom w:val="single" w:sz="4" w:space="0" w:color="auto"/>
              <w:right w:val="nil"/>
            </w:tcBorders>
            <w:noWrap/>
            <w:vAlign w:val="center"/>
            <w:hideMark/>
          </w:tcPr>
          <w:p w14:paraId="3CFCAC3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2F6A0B69" w14:textId="77777777" w:rsidTr="00DF5B90">
        <w:trPr>
          <w:trHeight w:val="300"/>
          <w:jc w:val="center"/>
        </w:trPr>
        <w:tc>
          <w:tcPr>
            <w:tcW w:w="0" w:type="auto"/>
            <w:vMerge w:val="restart"/>
            <w:noWrap/>
            <w:vAlign w:val="center"/>
            <w:hideMark/>
          </w:tcPr>
          <w:p w14:paraId="77B85CAF"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SETI</w:t>
            </w:r>
          </w:p>
        </w:tc>
        <w:tc>
          <w:tcPr>
            <w:tcW w:w="0" w:type="auto"/>
            <w:noWrap/>
            <w:vAlign w:val="center"/>
            <w:hideMark/>
          </w:tcPr>
          <w:p w14:paraId="76C8ACF7"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noWrap/>
            <w:vAlign w:val="center"/>
            <w:hideMark/>
          </w:tcPr>
          <w:p w14:paraId="0BA088A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0.0003</w:t>
            </w:r>
          </w:p>
        </w:tc>
        <w:tc>
          <w:tcPr>
            <w:tcW w:w="0" w:type="auto"/>
            <w:noWrap/>
            <w:vAlign w:val="center"/>
            <w:hideMark/>
          </w:tcPr>
          <w:p w14:paraId="28A6369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-0.0003</w:t>
            </w:r>
          </w:p>
        </w:tc>
        <w:tc>
          <w:tcPr>
            <w:tcW w:w="0" w:type="auto"/>
            <w:noWrap/>
            <w:vAlign w:val="center"/>
            <w:hideMark/>
          </w:tcPr>
          <w:p w14:paraId="0B884DB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3.6E-07</w:t>
            </w:r>
          </w:p>
        </w:tc>
        <w:tc>
          <w:tcPr>
            <w:tcW w:w="0" w:type="auto"/>
            <w:noWrap/>
            <w:vAlign w:val="center"/>
            <w:hideMark/>
          </w:tcPr>
          <w:p w14:paraId="071A34A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0.0348</w:t>
            </w:r>
          </w:p>
        </w:tc>
        <w:tc>
          <w:tcPr>
            <w:tcW w:w="0" w:type="auto"/>
            <w:noWrap/>
            <w:vAlign w:val="center"/>
            <w:hideMark/>
          </w:tcPr>
          <w:p w14:paraId="1363D0D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0.9514</w:t>
            </w:r>
          </w:p>
        </w:tc>
        <w:tc>
          <w:tcPr>
            <w:tcW w:w="1309" w:type="dxa"/>
            <w:vAlign w:val="center"/>
            <w:hideMark/>
          </w:tcPr>
          <w:p w14:paraId="774F11C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1.2715</w:t>
            </w:r>
          </w:p>
        </w:tc>
      </w:tr>
      <w:tr w:rsidR="00DF5B90" w:rsidRPr="00DF5B90" w14:paraId="1B8648E0" w14:textId="77777777" w:rsidTr="00DF5B90">
        <w:trPr>
          <w:trHeight w:val="300"/>
          <w:jc w:val="center"/>
        </w:trPr>
        <w:tc>
          <w:tcPr>
            <w:tcW w:w="0" w:type="auto"/>
            <w:vMerge/>
            <w:vAlign w:val="center"/>
            <w:hideMark/>
          </w:tcPr>
          <w:p w14:paraId="12448866"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6A316EF1"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057A151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1.7505</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3788627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-2.1154</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0635FE7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1.3070</w:t>
            </w:r>
          </w:p>
        </w:tc>
        <w:tc>
          <w:tcPr>
            <w:tcW w:w="0" w:type="auto"/>
            <w:noWrap/>
            <w:vAlign w:val="center"/>
            <w:hideMark/>
          </w:tcPr>
          <w:p w14:paraId="606F0A0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1.8443</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1EE03AE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38.6474</w:t>
            </w:r>
            <w:r w:rsidRPr="00DF5B90">
              <w:rPr>
                <w:rFonts w:asciiTheme="minorHAnsi" w:eastAsia="Times New Roman" w:hAnsiTheme="minorHAnsi" w:cstheme="minorHAnsi"/>
                <w:color w:val="000000"/>
                <w:vertAlign w:val="superscript"/>
                <w:lang w:val="id-ID"/>
              </w:rPr>
              <w:t>***</w:t>
            </w:r>
          </w:p>
        </w:tc>
        <w:tc>
          <w:tcPr>
            <w:tcW w:w="1309" w:type="dxa"/>
            <w:noWrap/>
            <w:vAlign w:val="center"/>
            <w:hideMark/>
          </w:tcPr>
          <w:p w14:paraId="1B40AF0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12.8137</w:t>
            </w:r>
            <w:r w:rsidRPr="00DF5B90">
              <w:rPr>
                <w:rFonts w:asciiTheme="minorHAnsi" w:eastAsia="Times New Roman" w:hAnsiTheme="minorHAnsi" w:cstheme="minorHAnsi"/>
                <w:color w:val="000000"/>
                <w:vertAlign w:val="superscript"/>
                <w:lang w:val="id-ID"/>
              </w:rPr>
              <w:t>***</w:t>
            </w:r>
          </w:p>
        </w:tc>
      </w:tr>
      <w:tr w:rsidR="00DF5B90" w:rsidRPr="00DF5B90" w14:paraId="6AABE507" w14:textId="77777777" w:rsidTr="00DF5B90">
        <w:trPr>
          <w:trHeight w:val="300"/>
          <w:jc w:val="center"/>
        </w:trPr>
        <w:tc>
          <w:tcPr>
            <w:tcW w:w="0" w:type="auto"/>
            <w:vMerge/>
            <w:vAlign w:val="center"/>
            <w:hideMark/>
          </w:tcPr>
          <w:p w14:paraId="09A683DB"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541D312A"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noWrap/>
            <w:vAlign w:val="center"/>
            <w:hideMark/>
          </w:tcPr>
          <w:p w14:paraId="7EF3F27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0.0800</w:t>
            </w:r>
          </w:p>
        </w:tc>
        <w:tc>
          <w:tcPr>
            <w:tcW w:w="0" w:type="auto"/>
            <w:noWrap/>
            <w:vAlign w:val="center"/>
            <w:hideMark/>
          </w:tcPr>
          <w:p w14:paraId="6FA9DA1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0.0344</w:t>
            </w:r>
          </w:p>
        </w:tc>
        <w:tc>
          <w:tcPr>
            <w:tcW w:w="0" w:type="auto"/>
            <w:noWrap/>
            <w:vAlign w:val="center"/>
            <w:hideMark/>
          </w:tcPr>
          <w:p w14:paraId="6221290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0.1912</w:t>
            </w:r>
          </w:p>
        </w:tc>
        <w:tc>
          <w:tcPr>
            <w:tcW w:w="0" w:type="auto"/>
            <w:noWrap/>
            <w:vAlign w:val="center"/>
            <w:hideMark/>
          </w:tcPr>
          <w:p w14:paraId="2D2FEF0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0.0651</w:t>
            </w:r>
          </w:p>
        </w:tc>
        <w:tc>
          <w:tcPr>
            <w:tcW w:w="0" w:type="auto"/>
            <w:noWrap/>
            <w:vAlign w:val="center"/>
            <w:hideMark/>
          </w:tcPr>
          <w:p w14:paraId="22F282B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309" w:type="dxa"/>
            <w:noWrap/>
            <w:vAlign w:val="center"/>
            <w:hideMark/>
          </w:tcPr>
          <w:p w14:paraId="4C8D7AC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0D530805" w14:textId="77777777" w:rsidTr="00DF5B90">
        <w:trPr>
          <w:trHeight w:val="300"/>
          <w:jc w:val="center"/>
        </w:trPr>
        <w:tc>
          <w:tcPr>
            <w:tcW w:w="0" w:type="auto"/>
            <w:vMerge w:val="restart"/>
            <w:tcBorders>
              <w:top w:val="single" w:sz="4" w:space="0" w:color="auto"/>
              <w:left w:val="nil"/>
              <w:bottom w:val="single" w:sz="4" w:space="0" w:color="000000"/>
              <w:right w:val="nil"/>
            </w:tcBorders>
            <w:noWrap/>
            <w:vAlign w:val="center"/>
            <w:hideMark/>
          </w:tcPr>
          <w:p w14:paraId="5F7E3B59"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VN 30</w:t>
            </w:r>
          </w:p>
        </w:tc>
        <w:tc>
          <w:tcPr>
            <w:tcW w:w="0" w:type="auto"/>
            <w:tcBorders>
              <w:top w:val="single" w:sz="4" w:space="0" w:color="auto"/>
              <w:left w:val="nil"/>
              <w:bottom w:val="nil"/>
              <w:right w:val="nil"/>
            </w:tcBorders>
            <w:noWrap/>
            <w:vAlign w:val="center"/>
            <w:hideMark/>
          </w:tcPr>
          <w:p w14:paraId="08B79E33"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073CCE5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0.0003</w:t>
            </w:r>
          </w:p>
        </w:tc>
        <w:tc>
          <w:tcPr>
            <w:tcW w:w="0" w:type="auto"/>
            <w:tcBorders>
              <w:top w:val="single" w:sz="4" w:space="0" w:color="auto"/>
              <w:left w:val="nil"/>
              <w:bottom w:val="nil"/>
              <w:right w:val="nil"/>
            </w:tcBorders>
            <w:noWrap/>
            <w:vAlign w:val="center"/>
            <w:hideMark/>
          </w:tcPr>
          <w:p w14:paraId="42C4A1D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0.0002</w:t>
            </w:r>
          </w:p>
        </w:tc>
        <w:tc>
          <w:tcPr>
            <w:tcW w:w="0" w:type="auto"/>
            <w:tcBorders>
              <w:top w:val="single" w:sz="4" w:space="0" w:color="auto"/>
              <w:left w:val="nil"/>
              <w:bottom w:val="nil"/>
              <w:right w:val="nil"/>
            </w:tcBorders>
            <w:noWrap/>
            <w:vAlign w:val="center"/>
            <w:hideMark/>
          </w:tcPr>
          <w:p w14:paraId="0C81A4D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3.3E-07</w:t>
            </w:r>
          </w:p>
        </w:tc>
        <w:tc>
          <w:tcPr>
            <w:tcW w:w="0" w:type="auto"/>
            <w:tcBorders>
              <w:top w:val="single" w:sz="4" w:space="0" w:color="auto"/>
              <w:left w:val="nil"/>
              <w:bottom w:val="nil"/>
              <w:right w:val="nil"/>
            </w:tcBorders>
            <w:noWrap/>
            <w:vAlign w:val="center"/>
            <w:hideMark/>
          </w:tcPr>
          <w:p w14:paraId="649D05D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0.0326</w:t>
            </w:r>
          </w:p>
        </w:tc>
        <w:tc>
          <w:tcPr>
            <w:tcW w:w="0" w:type="auto"/>
            <w:tcBorders>
              <w:top w:val="single" w:sz="4" w:space="0" w:color="auto"/>
              <w:left w:val="nil"/>
              <w:bottom w:val="nil"/>
              <w:right w:val="nil"/>
            </w:tcBorders>
            <w:noWrap/>
            <w:vAlign w:val="center"/>
            <w:hideMark/>
          </w:tcPr>
          <w:p w14:paraId="76F53AF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0.9552</w:t>
            </w:r>
          </w:p>
        </w:tc>
        <w:tc>
          <w:tcPr>
            <w:tcW w:w="1309" w:type="dxa"/>
            <w:tcBorders>
              <w:top w:val="single" w:sz="4" w:space="0" w:color="auto"/>
              <w:left w:val="nil"/>
              <w:bottom w:val="nil"/>
              <w:right w:val="nil"/>
            </w:tcBorders>
            <w:vAlign w:val="center"/>
            <w:hideMark/>
          </w:tcPr>
          <w:p w14:paraId="38E3918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1.2228</w:t>
            </w:r>
          </w:p>
        </w:tc>
      </w:tr>
      <w:tr w:rsidR="00DF5B90" w:rsidRPr="00DF5B90" w14:paraId="7E7ECD02" w14:textId="77777777" w:rsidTr="00DF5B90">
        <w:trPr>
          <w:trHeight w:val="300"/>
          <w:jc w:val="center"/>
        </w:trPr>
        <w:tc>
          <w:tcPr>
            <w:tcW w:w="0" w:type="auto"/>
            <w:vMerge/>
            <w:tcBorders>
              <w:top w:val="single" w:sz="4" w:space="0" w:color="auto"/>
              <w:left w:val="nil"/>
              <w:bottom w:val="single" w:sz="4" w:space="0" w:color="000000"/>
              <w:right w:val="nil"/>
            </w:tcBorders>
            <w:vAlign w:val="center"/>
            <w:hideMark/>
          </w:tcPr>
          <w:p w14:paraId="456753B9"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2803CAFB"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348ED2C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2.0069</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6639F79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1.3261</w:t>
            </w:r>
          </w:p>
        </w:tc>
        <w:tc>
          <w:tcPr>
            <w:tcW w:w="0" w:type="auto"/>
            <w:noWrap/>
            <w:vAlign w:val="center"/>
            <w:hideMark/>
          </w:tcPr>
          <w:p w14:paraId="58DC0BA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1.2841</w:t>
            </w:r>
          </w:p>
        </w:tc>
        <w:tc>
          <w:tcPr>
            <w:tcW w:w="0" w:type="auto"/>
            <w:noWrap/>
            <w:vAlign w:val="center"/>
            <w:hideMark/>
          </w:tcPr>
          <w:p w14:paraId="0CB827E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1.8322</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0FDF12F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41.6924</w:t>
            </w:r>
            <w:r w:rsidRPr="00DF5B90">
              <w:rPr>
                <w:rFonts w:asciiTheme="minorHAnsi" w:eastAsia="Times New Roman" w:hAnsiTheme="minorHAnsi" w:cstheme="minorHAnsi"/>
                <w:color w:val="000000"/>
                <w:vertAlign w:val="superscript"/>
                <w:lang w:val="id-ID"/>
              </w:rPr>
              <w:t>***</w:t>
            </w:r>
          </w:p>
        </w:tc>
        <w:tc>
          <w:tcPr>
            <w:tcW w:w="1309" w:type="dxa"/>
            <w:noWrap/>
            <w:vAlign w:val="center"/>
            <w:hideMark/>
          </w:tcPr>
          <w:p w14:paraId="7BE7965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13.0694</w:t>
            </w:r>
            <w:r w:rsidRPr="00DF5B90">
              <w:rPr>
                <w:rFonts w:asciiTheme="minorHAnsi" w:eastAsia="Times New Roman" w:hAnsiTheme="minorHAnsi" w:cstheme="minorHAnsi"/>
                <w:color w:val="000000"/>
                <w:vertAlign w:val="superscript"/>
                <w:lang w:val="id-ID"/>
              </w:rPr>
              <w:t>***</w:t>
            </w:r>
          </w:p>
        </w:tc>
      </w:tr>
      <w:tr w:rsidR="00DF5B90" w:rsidRPr="00DF5B90" w14:paraId="3B7EC812" w14:textId="77777777" w:rsidTr="00DF5B90">
        <w:trPr>
          <w:trHeight w:val="300"/>
          <w:jc w:val="center"/>
        </w:trPr>
        <w:tc>
          <w:tcPr>
            <w:tcW w:w="0" w:type="auto"/>
            <w:vMerge/>
            <w:tcBorders>
              <w:top w:val="single" w:sz="4" w:space="0" w:color="auto"/>
              <w:left w:val="nil"/>
              <w:bottom w:val="single" w:sz="4" w:space="0" w:color="000000"/>
              <w:right w:val="nil"/>
            </w:tcBorders>
            <w:vAlign w:val="center"/>
            <w:hideMark/>
          </w:tcPr>
          <w:p w14:paraId="618BC46E"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49FB8FCB"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52C844C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0.0448</w:t>
            </w:r>
          </w:p>
        </w:tc>
        <w:tc>
          <w:tcPr>
            <w:tcW w:w="0" w:type="auto"/>
            <w:tcBorders>
              <w:top w:val="nil"/>
              <w:left w:val="nil"/>
              <w:bottom w:val="single" w:sz="4" w:space="0" w:color="auto"/>
              <w:right w:val="nil"/>
            </w:tcBorders>
            <w:noWrap/>
            <w:vAlign w:val="center"/>
            <w:hideMark/>
          </w:tcPr>
          <w:p w14:paraId="68042F1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0.1848</w:t>
            </w:r>
          </w:p>
        </w:tc>
        <w:tc>
          <w:tcPr>
            <w:tcW w:w="0" w:type="auto"/>
            <w:tcBorders>
              <w:top w:val="nil"/>
              <w:left w:val="nil"/>
              <w:bottom w:val="single" w:sz="4" w:space="0" w:color="auto"/>
              <w:right w:val="nil"/>
            </w:tcBorders>
            <w:noWrap/>
            <w:vAlign w:val="center"/>
            <w:hideMark/>
          </w:tcPr>
          <w:p w14:paraId="038F24D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0.1991</w:t>
            </w:r>
          </w:p>
        </w:tc>
        <w:tc>
          <w:tcPr>
            <w:tcW w:w="0" w:type="auto"/>
            <w:tcBorders>
              <w:top w:val="nil"/>
              <w:left w:val="nil"/>
              <w:bottom w:val="single" w:sz="4" w:space="0" w:color="auto"/>
              <w:right w:val="nil"/>
            </w:tcBorders>
            <w:noWrap/>
            <w:vAlign w:val="center"/>
            <w:hideMark/>
          </w:tcPr>
          <w:p w14:paraId="2584979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0.0669</w:t>
            </w:r>
          </w:p>
        </w:tc>
        <w:tc>
          <w:tcPr>
            <w:tcW w:w="0" w:type="auto"/>
            <w:tcBorders>
              <w:top w:val="nil"/>
              <w:left w:val="nil"/>
              <w:bottom w:val="single" w:sz="4" w:space="0" w:color="auto"/>
              <w:right w:val="nil"/>
            </w:tcBorders>
            <w:noWrap/>
            <w:vAlign w:val="center"/>
            <w:hideMark/>
          </w:tcPr>
          <w:p w14:paraId="6AB7FC4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309" w:type="dxa"/>
            <w:tcBorders>
              <w:top w:val="nil"/>
              <w:left w:val="nil"/>
              <w:bottom w:val="single" w:sz="4" w:space="0" w:color="auto"/>
              <w:right w:val="nil"/>
            </w:tcBorders>
            <w:noWrap/>
            <w:vAlign w:val="center"/>
            <w:hideMark/>
          </w:tcPr>
          <w:p w14:paraId="2F57199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525A1893" w14:textId="77777777" w:rsidTr="00DF5B90">
        <w:trPr>
          <w:trHeight w:val="300"/>
          <w:jc w:val="center"/>
        </w:trPr>
        <w:tc>
          <w:tcPr>
            <w:tcW w:w="0" w:type="auto"/>
            <w:vMerge w:val="restart"/>
            <w:noWrap/>
            <w:vAlign w:val="center"/>
            <w:hideMark/>
          </w:tcPr>
          <w:p w14:paraId="09CE362E"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LSX</w:t>
            </w:r>
          </w:p>
        </w:tc>
        <w:tc>
          <w:tcPr>
            <w:tcW w:w="0" w:type="auto"/>
            <w:noWrap/>
            <w:vAlign w:val="center"/>
            <w:hideMark/>
          </w:tcPr>
          <w:p w14:paraId="47013BCE"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noWrap/>
            <w:vAlign w:val="center"/>
            <w:hideMark/>
          </w:tcPr>
          <w:p w14:paraId="1560376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0.0003</w:t>
            </w:r>
          </w:p>
        </w:tc>
        <w:tc>
          <w:tcPr>
            <w:tcW w:w="0" w:type="auto"/>
            <w:noWrap/>
            <w:vAlign w:val="center"/>
            <w:hideMark/>
          </w:tcPr>
          <w:p w14:paraId="273A8E5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0.0003</w:t>
            </w:r>
          </w:p>
        </w:tc>
        <w:tc>
          <w:tcPr>
            <w:tcW w:w="0" w:type="auto"/>
            <w:noWrap/>
            <w:vAlign w:val="center"/>
            <w:hideMark/>
          </w:tcPr>
          <w:p w14:paraId="0C7449C0"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3.7E-07</w:t>
            </w:r>
          </w:p>
        </w:tc>
        <w:tc>
          <w:tcPr>
            <w:tcW w:w="0" w:type="auto"/>
            <w:noWrap/>
            <w:vAlign w:val="center"/>
            <w:hideMark/>
          </w:tcPr>
          <w:p w14:paraId="643DF48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0.0344</w:t>
            </w:r>
          </w:p>
        </w:tc>
        <w:tc>
          <w:tcPr>
            <w:tcW w:w="0" w:type="auto"/>
            <w:noWrap/>
            <w:vAlign w:val="center"/>
            <w:hideMark/>
          </w:tcPr>
          <w:p w14:paraId="37DBF96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0.9520</w:t>
            </w:r>
          </w:p>
        </w:tc>
        <w:tc>
          <w:tcPr>
            <w:tcW w:w="1309" w:type="dxa"/>
            <w:vAlign w:val="center"/>
            <w:hideMark/>
          </w:tcPr>
          <w:p w14:paraId="0CFC9E8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1.2237</w:t>
            </w:r>
          </w:p>
        </w:tc>
      </w:tr>
      <w:tr w:rsidR="00DF5B90" w:rsidRPr="00DF5B90" w14:paraId="1A00955E" w14:textId="77777777" w:rsidTr="00DF5B90">
        <w:trPr>
          <w:trHeight w:val="300"/>
          <w:jc w:val="center"/>
        </w:trPr>
        <w:tc>
          <w:tcPr>
            <w:tcW w:w="0" w:type="auto"/>
            <w:vMerge/>
            <w:vAlign w:val="center"/>
            <w:hideMark/>
          </w:tcPr>
          <w:p w14:paraId="656DAB72"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3B5731C5"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1B1D27F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1.6936</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4893CB1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1.5998</w:t>
            </w:r>
          </w:p>
        </w:tc>
        <w:tc>
          <w:tcPr>
            <w:tcW w:w="0" w:type="auto"/>
            <w:noWrap/>
            <w:vAlign w:val="center"/>
            <w:hideMark/>
          </w:tcPr>
          <w:p w14:paraId="68E2CAF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1.3058</w:t>
            </w:r>
          </w:p>
        </w:tc>
        <w:tc>
          <w:tcPr>
            <w:tcW w:w="0" w:type="auto"/>
            <w:noWrap/>
            <w:vAlign w:val="center"/>
            <w:hideMark/>
          </w:tcPr>
          <w:p w14:paraId="5F91DDA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1.8207</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79F1C4D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39.1596</w:t>
            </w:r>
            <w:r w:rsidRPr="00DF5B90">
              <w:rPr>
                <w:rFonts w:asciiTheme="minorHAnsi" w:eastAsia="Times New Roman" w:hAnsiTheme="minorHAnsi" w:cstheme="minorHAnsi"/>
                <w:color w:val="000000"/>
                <w:vertAlign w:val="superscript"/>
                <w:lang w:val="id-ID"/>
              </w:rPr>
              <w:t>***</w:t>
            </w:r>
          </w:p>
        </w:tc>
        <w:tc>
          <w:tcPr>
            <w:tcW w:w="1309" w:type="dxa"/>
            <w:noWrap/>
            <w:vAlign w:val="center"/>
            <w:hideMark/>
          </w:tcPr>
          <w:p w14:paraId="4B1905C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12.8991</w:t>
            </w:r>
            <w:r w:rsidRPr="00DF5B90">
              <w:rPr>
                <w:rFonts w:asciiTheme="minorHAnsi" w:eastAsia="Times New Roman" w:hAnsiTheme="minorHAnsi" w:cstheme="minorHAnsi"/>
                <w:color w:val="000000"/>
                <w:vertAlign w:val="superscript"/>
                <w:lang w:val="id-ID"/>
              </w:rPr>
              <w:t>***</w:t>
            </w:r>
          </w:p>
        </w:tc>
      </w:tr>
      <w:tr w:rsidR="00DF5B90" w:rsidRPr="00DF5B90" w14:paraId="2B864A34" w14:textId="77777777" w:rsidTr="00DF5B90">
        <w:trPr>
          <w:trHeight w:val="300"/>
          <w:jc w:val="center"/>
        </w:trPr>
        <w:tc>
          <w:tcPr>
            <w:tcW w:w="0" w:type="auto"/>
            <w:vMerge/>
            <w:vAlign w:val="center"/>
            <w:hideMark/>
          </w:tcPr>
          <w:p w14:paraId="236EEF59"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71E0E5A6"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noWrap/>
            <w:vAlign w:val="center"/>
            <w:hideMark/>
          </w:tcPr>
          <w:p w14:paraId="5BD6F39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0.0903</w:t>
            </w:r>
          </w:p>
        </w:tc>
        <w:tc>
          <w:tcPr>
            <w:tcW w:w="0" w:type="auto"/>
            <w:noWrap/>
            <w:vAlign w:val="center"/>
            <w:hideMark/>
          </w:tcPr>
          <w:p w14:paraId="604C8D7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0.1096</w:t>
            </w:r>
          </w:p>
        </w:tc>
        <w:tc>
          <w:tcPr>
            <w:tcW w:w="0" w:type="auto"/>
            <w:noWrap/>
            <w:vAlign w:val="center"/>
            <w:hideMark/>
          </w:tcPr>
          <w:p w14:paraId="73DD3B9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0.1916</w:t>
            </w:r>
          </w:p>
        </w:tc>
        <w:tc>
          <w:tcPr>
            <w:tcW w:w="0" w:type="auto"/>
            <w:noWrap/>
            <w:vAlign w:val="center"/>
            <w:hideMark/>
          </w:tcPr>
          <w:p w14:paraId="0943223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0.0687</w:t>
            </w:r>
          </w:p>
        </w:tc>
        <w:tc>
          <w:tcPr>
            <w:tcW w:w="0" w:type="auto"/>
            <w:noWrap/>
            <w:vAlign w:val="center"/>
            <w:hideMark/>
          </w:tcPr>
          <w:p w14:paraId="6F853BA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309" w:type="dxa"/>
            <w:noWrap/>
            <w:vAlign w:val="center"/>
            <w:hideMark/>
          </w:tcPr>
          <w:p w14:paraId="654F3A8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4540D0CB" w14:textId="77777777" w:rsidTr="00DF5B90">
        <w:trPr>
          <w:trHeight w:val="300"/>
          <w:jc w:val="center"/>
        </w:trPr>
        <w:tc>
          <w:tcPr>
            <w:tcW w:w="0" w:type="auto"/>
            <w:vMerge w:val="restart"/>
            <w:tcBorders>
              <w:top w:val="single" w:sz="4" w:space="0" w:color="auto"/>
              <w:left w:val="nil"/>
              <w:bottom w:val="single" w:sz="4" w:space="0" w:color="000000"/>
              <w:right w:val="nil"/>
            </w:tcBorders>
            <w:noWrap/>
            <w:vAlign w:val="center"/>
            <w:hideMark/>
          </w:tcPr>
          <w:p w14:paraId="59D986F4"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Nikkei</w:t>
            </w:r>
          </w:p>
        </w:tc>
        <w:tc>
          <w:tcPr>
            <w:tcW w:w="0" w:type="auto"/>
            <w:tcBorders>
              <w:top w:val="single" w:sz="4" w:space="0" w:color="auto"/>
              <w:left w:val="nil"/>
              <w:bottom w:val="nil"/>
              <w:right w:val="nil"/>
            </w:tcBorders>
            <w:noWrap/>
            <w:vAlign w:val="center"/>
            <w:hideMark/>
          </w:tcPr>
          <w:p w14:paraId="091B2539"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bottom w:val="nil"/>
              <w:right w:val="nil"/>
            </w:tcBorders>
            <w:noWrap/>
            <w:vAlign w:val="center"/>
            <w:hideMark/>
          </w:tcPr>
          <w:p w14:paraId="716FA25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0.0003</w:t>
            </w:r>
          </w:p>
        </w:tc>
        <w:tc>
          <w:tcPr>
            <w:tcW w:w="0" w:type="auto"/>
            <w:tcBorders>
              <w:top w:val="single" w:sz="4" w:space="0" w:color="auto"/>
              <w:left w:val="nil"/>
              <w:bottom w:val="nil"/>
              <w:right w:val="nil"/>
            </w:tcBorders>
            <w:noWrap/>
            <w:vAlign w:val="center"/>
            <w:hideMark/>
          </w:tcPr>
          <w:p w14:paraId="62B4E5D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-0.0004</w:t>
            </w:r>
          </w:p>
        </w:tc>
        <w:tc>
          <w:tcPr>
            <w:tcW w:w="0" w:type="auto"/>
            <w:tcBorders>
              <w:top w:val="single" w:sz="4" w:space="0" w:color="auto"/>
              <w:left w:val="nil"/>
              <w:bottom w:val="nil"/>
              <w:right w:val="nil"/>
            </w:tcBorders>
            <w:noWrap/>
            <w:vAlign w:val="center"/>
            <w:hideMark/>
          </w:tcPr>
          <w:p w14:paraId="50E3108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2.9E-07</w:t>
            </w:r>
          </w:p>
        </w:tc>
        <w:tc>
          <w:tcPr>
            <w:tcW w:w="0" w:type="auto"/>
            <w:tcBorders>
              <w:top w:val="single" w:sz="4" w:space="0" w:color="auto"/>
              <w:left w:val="nil"/>
              <w:bottom w:val="nil"/>
              <w:right w:val="nil"/>
            </w:tcBorders>
            <w:noWrap/>
            <w:vAlign w:val="center"/>
            <w:hideMark/>
          </w:tcPr>
          <w:p w14:paraId="31FEACB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0.0324</w:t>
            </w:r>
          </w:p>
        </w:tc>
        <w:tc>
          <w:tcPr>
            <w:tcW w:w="0" w:type="auto"/>
            <w:tcBorders>
              <w:top w:val="single" w:sz="4" w:space="0" w:color="auto"/>
              <w:left w:val="nil"/>
              <w:bottom w:val="nil"/>
              <w:right w:val="nil"/>
            </w:tcBorders>
            <w:noWrap/>
            <w:vAlign w:val="center"/>
            <w:hideMark/>
          </w:tcPr>
          <w:p w14:paraId="1234CAD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0.9564</w:t>
            </w:r>
          </w:p>
        </w:tc>
        <w:tc>
          <w:tcPr>
            <w:tcW w:w="1309" w:type="dxa"/>
            <w:tcBorders>
              <w:top w:val="single" w:sz="4" w:space="0" w:color="auto"/>
              <w:left w:val="nil"/>
              <w:bottom w:val="nil"/>
              <w:right w:val="nil"/>
            </w:tcBorders>
            <w:vAlign w:val="center"/>
            <w:hideMark/>
          </w:tcPr>
          <w:p w14:paraId="0E5746B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1.2702</w:t>
            </w:r>
          </w:p>
        </w:tc>
      </w:tr>
      <w:tr w:rsidR="00DF5B90" w:rsidRPr="00DF5B90" w14:paraId="69A935C6" w14:textId="77777777" w:rsidTr="00DF5B90">
        <w:trPr>
          <w:trHeight w:val="300"/>
          <w:jc w:val="center"/>
        </w:trPr>
        <w:tc>
          <w:tcPr>
            <w:tcW w:w="0" w:type="auto"/>
            <w:vMerge/>
            <w:tcBorders>
              <w:top w:val="single" w:sz="4" w:space="0" w:color="auto"/>
              <w:left w:val="nil"/>
              <w:bottom w:val="single" w:sz="4" w:space="0" w:color="000000"/>
              <w:right w:val="nil"/>
            </w:tcBorders>
            <w:vAlign w:val="center"/>
            <w:hideMark/>
          </w:tcPr>
          <w:p w14:paraId="6296CE51"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4E75D9B5"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1A2DDE4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1.8296</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6CB433D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-2.4630</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58366D5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1.1967</w:t>
            </w:r>
          </w:p>
        </w:tc>
        <w:tc>
          <w:tcPr>
            <w:tcW w:w="0" w:type="auto"/>
            <w:noWrap/>
            <w:vAlign w:val="center"/>
            <w:hideMark/>
          </w:tcPr>
          <w:p w14:paraId="3B0E7F1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1.8359</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362EB4A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41.8374</w:t>
            </w:r>
            <w:r w:rsidRPr="00DF5B90">
              <w:rPr>
                <w:rFonts w:asciiTheme="minorHAnsi" w:eastAsia="Times New Roman" w:hAnsiTheme="minorHAnsi" w:cstheme="minorHAnsi"/>
                <w:color w:val="000000"/>
                <w:vertAlign w:val="superscript"/>
                <w:lang w:val="id-ID"/>
              </w:rPr>
              <w:t>***</w:t>
            </w:r>
          </w:p>
        </w:tc>
        <w:tc>
          <w:tcPr>
            <w:tcW w:w="1309" w:type="dxa"/>
            <w:noWrap/>
            <w:vAlign w:val="center"/>
            <w:hideMark/>
          </w:tcPr>
          <w:p w14:paraId="38D54AF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13.1625</w:t>
            </w:r>
            <w:r w:rsidRPr="00DF5B90">
              <w:rPr>
                <w:rFonts w:asciiTheme="minorHAnsi" w:eastAsia="Times New Roman" w:hAnsiTheme="minorHAnsi" w:cstheme="minorHAnsi"/>
                <w:color w:val="000000"/>
                <w:vertAlign w:val="superscript"/>
                <w:lang w:val="id-ID"/>
              </w:rPr>
              <w:t>***</w:t>
            </w:r>
          </w:p>
        </w:tc>
      </w:tr>
      <w:tr w:rsidR="00DF5B90" w:rsidRPr="00DF5B90" w14:paraId="65E000E3" w14:textId="77777777" w:rsidTr="00DF5B90">
        <w:trPr>
          <w:trHeight w:val="300"/>
          <w:jc w:val="center"/>
        </w:trPr>
        <w:tc>
          <w:tcPr>
            <w:tcW w:w="0" w:type="auto"/>
            <w:vMerge/>
            <w:tcBorders>
              <w:top w:val="single" w:sz="4" w:space="0" w:color="auto"/>
              <w:left w:val="nil"/>
              <w:bottom w:val="single" w:sz="4" w:space="0" w:color="000000"/>
              <w:right w:val="nil"/>
            </w:tcBorders>
            <w:vAlign w:val="center"/>
            <w:hideMark/>
          </w:tcPr>
          <w:p w14:paraId="1B80E38B"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3AA61394"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1049E49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0.0673</w:t>
            </w:r>
          </w:p>
        </w:tc>
        <w:tc>
          <w:tcPr>
            <w:tcW w:w="0" w:type="auto"/>
            <w:tcBorders>
              <w:top w:val="nil"/>
              <w:left w:val="nil"/>
              <w:bottom w:val="single" w:sz="4" w:space="0" w:color="auto"/>
              <w:right w:val="nil"/>
            </w:tcBorders>
            <w:noWrap/>
            <w:vAlign w:val="center"/>
            <w:hideMark/>
          </w:tcPr>
          <w:p w14:paraId="7DD2534F"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0.0138</w:t>
            </w:r>
          </w:p>
        </w:tc>
        <w:tc>
          <w:tcPr>
            <w:tcW w:w="0" w:type="auto"/>
            <w:tcBorders>
              <w:top w:val="nil"/>
              <w:left w:val="nil"/>
              <w:bottom w:val="single" w:sz="4" w:space="0" w:color="auto"/>
              <w:right w:val="nil"/>
            </w:tcBorders>
            <w:noWrap/>
            <w:vAlign w:val="center"/>
            <w:hideMark/>
          </w:tcPr>
          <w:p w14:paraId="08D2E63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0.2314</w:t>
            </w:r>
          </w:p>
        </w:tc>
        <w:tc>
          <w:tcPr>
            <w:tcW w:w="0" w:type="auto"/>
            <w:tcBorders>
              <w:top w:val="nil"/>
              <w:left w:val="nil"/>
              <w:bottom w:val="single" w:sz="4" w:space="0" w:color="auto"/>
              <w:right w:val="nil"/>
            </w:tcBorders>
            <w:noWrap/>
            <w:vAlign w:val="center"/>
            <w:hideMark/>
          </w:tcPr>
          <w:p w14:paraId="1DD7018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0.0664</w:t>
            </w:r>
          </w:p>
        </w:tc>
        <w:tc>
          <w:tcPr>
            <w:tcW w:w="0" w:type="auto"/>
            <w:tcBorders>
              <w:top w:val="nil"/>
              <w:left w:val="nil"/>
              <w:bottom w:val="single" w:sz="4" w:space="0" w:color="auto"/>
              <w:right w:val="nil"/>
            </w:tcBorders>
            <w:noWrap/>
            <w:vAlign w:val="center"/>
            <w:hideMark/>
          </w:tcPr>
          <w:p w14:paraId="5C629CA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309" w:type="dxa"/>
            <w:tcBorders>
              <w:top w:val="nil"/>
              <w:left w:val="nil"/>
              <w:bottom w:val="single" w:sz="4" w:space="0" w:color="auto"/>
              <w:right w:val="nil"/>
            </w:tcBorders>
            <w:noWrap/>
            <w:vAlign w:val="center"/>
            <w:hideMark/>
          </w:tcPr>
          <w:p w14:paraId="4E2112E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61AE5F60" w14:textId="77777777" w:rsidTr="00DF5B90">
        <w:trPr>
          <w:trHeight w:val="300"/>
          <w:jc w:val="center"/>
        </w:trPr>
        <w:tc>
          <w:tcPr>
            <w:tcW w:w="0" w:type="auto"/>
            <w:vMerge w:val="restart"/>
            <w:tcBorders>
              <w:top w:val="nil"/>
              <w:left w:val="nil"/>
              <w:bottom w:val="single" w:sz="4" w:space="0" w:color="auto"/>
              <w:right w:val="nil"/>
            </w:tcBorders>
            <w:noWrap/>
            <w:vAlign w:val="center"/>
            <w:hideMark/>
          </w:tcPr>
          <w:p w14:paraId="5D8EE8CB"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Kospi</w:t>
            </w:r>
          </w:p>
        </w:tc>
        <w:tc>
          <w:tcPr>
            <w:tcW w:w="0" w:type="auto"/>
            <w:noWrap/>
            <w:vAlign w:val="center"/>
            <w:hideMark/>
          </w:tcPr>
          <w:p w14:paraId="4E8595E7"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noWrap/>
            <w:vAlign w:val="center"/>
            <w:hideMark/>
          </w:tcPr>
          <w:p w14:paraId="75D496C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0.0003</w:t>
            </w:r>
          </w:p>
        </w:tc>
        <w:tc>
          <w:tcPr>
            <w:tcW w:w="0" w:type="auto"/>
            <w:noWrap/>
            <w:vAlign w:val="center"/>
            <w:hideMark/>
          </w:tcPr>
          <w:p w14:paraId="77AA5F8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-0.0004</w:t>
            </w:r>
          </w:p>
        </w:tc>
        <w:tc>
          <w:tcPr>
            <w:tcW w:w="0" w:type="auto"/>
            <w:noWrap/>
            <w:vAlign w:val="center"/>
            <w:hideMark/>
          </w:tcPr>
          <w:p w14:paraId="5E1EF60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3.0E-07</w:t>
            </w:r>
          </w:p>
        </w:tc>
        <w:tc>
          <w:tcPr>
            <w:tcW w:w="0" w:type="auto"/>
            <w:noWrap/>
            <w:vAlign w:val="center"/>
            <w:hideMark/>
          </w:tcPr>
          <w:p w14:paraId="64D1A23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0.0312</w:t>
            </w:r>
          </w:p>
        </w:tc>
        <w:tc>
          <w:tcPr>
            <w:tcW w:w="0" w:type="auto"/>
            <w:noWrap/>
            <w:vAlign w:val="center"/>
            <w:hideMark/>
          </w:tcPr>
          <w:p w14:paraId="5948135B"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0.9574</w:t>
            </w:r>
          </w:p>
        </w:tc>
        <w:tc>
          <w:tcPr>
            <w:tcW w:w="1309" w:type="dxa"/>
            <w:vAlign w:val="center"/>
            <w:hideMark/>
          </w:tcPr>
          <w:p w14:paraId="3D1B76E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1.2807</w:t>
            </w:r>
          </w:p>
        </w:tc>
      </w:tr>
      <w:tr w:rsidR="00DF5B90" w:rsidRPr="00DF5B90" w14:paraId="025E660C" w14:textId="77777777" w:rsidTr="00DF5B90">
        <w:trPr>
          <w:trHeight w:val="300"/>
          <w:jc w:val="center"/>
        </w:trPr>
        <w:tc>
          <w:tcPr>
            <w:tcW w:w="0" w:type="auto"/>
            <w:vMerge/>
            <w:tcBorders>
              <w:top w:val="nil"/>
              <w:left w:val="nil"/>
              <w:bottom w:val="single" w:sz="4" w:space="0" w:color="auto"/>
              <w:right w:val="nil"/>
            </w:tcBorders>
            <w:vAlign w:val="center"/>
            <w:hideMark/>
          </w:tcPr>
          <w:p w14:paraId="798DDAAF"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520B7298"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1C38175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1.6039</w:t>
            </w:r>
          </w:p>
        </w:tc>
        <w:tc>
          <w:tcPr>
            <w:tcW w:w="0" w:type="auto"/>
            <w:noWrap/>
            <w:vAlign w:val="center"/>
            <w:hideMark/>
          </w:tcPr>
          <w:p w14:paraId="2EE47AE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-2.3922</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0E4C24B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1.2252</w:t>
            </w:r>
          </w:p>
        </w:tc>
        <w:tc>
          <w:tcPr>
            <w:tcW w:w="0" w:type="auto"/>
            <w:noWrap/>
            <w:vAlign w:val="center"/>
            <w:hideMark/>
          </w:tcPr>
          <w:p w14:paraId="1A298C2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1.8134</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46F2577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42.7265</w:t>
            </w:r>
            <w:r w:rsidRPr="00DF5B90">
              <w:rPr>
                <w:rFonts w:asciiTheme="minorHAnsi" w:eastAsia="Times New Roman" w:hAnsiTheme="minorHAnsi" w:cstheme="minorHAnsi"/>
                <w:color w:val="000000"/>
                <w:vertAlign w:val="superscript"/>
                <w:lang w:val="id-ID"/>
              </w:rPr>
              <w:t>***</w:t>
            </w:r>
          </w:p>
        </w:tc>
        <w:tc>
          <w:tcPr>
            <w:tcW w:w="1309" w:type="dxa"/>
            <w:noWrap/>
            <w:vAlign w:val="center"/>
            <w:hideMark/>
          </w:tcPr>
          <w:p w14:paraId="5A12128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13.2075</w:t>
            </w:r>
            <w:r w:rsidRPr="00DF5B90">
              <w:rPr>
                <w:rFonts w:asciiTheme="minorHAnsi" w:eastAsia="Times New Roman" w:hAnsiTheme="minorHAnsi" w:cstheme="minorHAnsi"/>
                <w:color w:val="000000"/>
                <w:vertAlign w:val="superscript"/>
                <w:lang w:val="id-ID"/>
              </w:rPr>
              <w:t>***</w:t>
            </w:r>
          </w:p>
        </w:tc>
      </w:tr>
      <w:tr w:rsidR="00DF5B90" w:rsidRPr="00DF5B90" w14:paraId="25676FF6" w14:textId="77777777" w:rsidTr="00BA7D9E">
        <w:trPr>
          <w:trHeight w:val="300"/>
          <w:jc w:val="center"/>
        </w:trPr>
        <w:tc>
          <w:tcPr>
            <w:tcW w:w="0" w:type="auto"/>
            <w:vMerge/>
            <w:tcBorders>
              <w:top w:val="nil"/>
              <w:left w:val="nil"/>
              <w:bottom w:val="single" w:sz="4" w:space="0" w:color="auto"/>
              <w:right w:val="nil"/>
            </w:tcBorders>
            <w:vAlign w:val="center"/>
            <w:hideMark/>
          </w:tcPr>
          <w:p w14:paraId="7A7D7E06"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top w:val="nil"/>
              <w:left w:val="nil"/>
              <w:bottom w:val="single" w:sz="4" w:space="0" w:color="auto"/>
              <w:right w:val="nil"/>
            </w:tcBorders>
            <w:noWrap/>
            <w:vAlign w:val="center"/>
            <w:hideMark/>
          </w:tcPr>
          <w:p w14:paraId="3B5897B4"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top w:val="nil"/>
              <w:left w:val="nil"/>
              <w:bottom w:val="single" w:sz="4" w:space="0" w:color="auto"/>
              <w:right w:val="nil"/>
            </w:tcBorders>
            <w:noWrap/>
            <w:vAlign w:val="center"/>
            <w:hideMark/>
          </w:tcPr>
          <w:p w14:paraId="50C0B7F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0.1087</w:t>
            </w:r>
          </w:p>
        </w:tc>
        <w:tc>
          <w:tcPr>
            <w:tcW w:w="0" w:type="auto"/>
            <w:tcBorders>
              <w:top w:val="nil"/>
              <w:left w:val="nil"/>
              <w:bottom w:val="single" w:sz="4" w:space="0" w:color="auto"/>
              <w:right w:val="nil"/>
            </w:tcBorders>
            <w:noWrap/>
            <w:vAlign w:val="center"/>
            <w:hideMark/>
          </w:tcPr>
          <w:p w14:paraId="0C5E8E4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0.0167</w:t>
            </w:r>
          </w:p>
        </w:tc>
        <w:tc>
          <w:tcPr>
            <w:tcW w:w="0" w:type="auto"/>
            <w:tcBorders>
              <w:top w:val="nil"/>
              <w:left w:val="nil"/>
              <w:bottom w:val="single" w:sz="4" w:space="0" w:color="auto"/>
              <w:right w:val="nil"/>
            </w:tcBorders>
            <w:noWrap/>
            <w:vAlign w:val="center"/>
            <w:hideMark/>
          </w:tcPr>
          <w:p w14:paraId="2285ADF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0.2205</w:t>
            </w:r>
          </w:p>
        </w:tc>
        <w:tc>
          <w:tcPr>
            <w:tcW w:w="0" w:type="auto"/>
            <w:tcBorders>
              <w:top w:val="nil"/>
              <w:left w:val="nil"/>
              <w:bottom w:val="single" w:sz="4" w:space="0" w:color="auto"/>
              <w:right w:val="nil"/>
            </w:tcBorders>
            <w:noWrap/>
            <w:vAlign w:val="center"/>
            <w:hideMark/>
          </w:tcPr>
          <w:p w14:paraId="7D70751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0.0698</w:t>
            </w:r>
          </w:p>
        </w:tc>
        <w:tc>
          <w:tcPr>
            <w:tcW w:w="0" w:type="auto"/>
            <w:tcBorders>
              <w:top w:val="nil"/>
              <w:left w:val="nil"/>
              <w:bottom w:val="single" w:sz="4" w:space="0" w:color="auto"/>
              <w:right w:val="nil"/>
            </w:tcBorders>
            <w:noWrap/>
            <w:vAlign w:val="center"/>
            <w:hideMark/>
          </w:tcPr>
          <w:p w14:paraId="5E49A7D5"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309" w:type="dxa"/>
            <w:tcBorders>
              <w:top w:val="nil"/>
              <w:left w:val="nil"/>
              <w:bottom w:val="single" w:sz="4" w:space="0" w:color="auto"/>
              <w:right w:val="nil"/>
            </w:tcBorders>
            <w:noWrap/>
            <w:vAlign w:val="center"/>
            <w:hideMark/>
          </w:tcPr>
          <w:p w14:paraId="4AB88F8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r w:rsidR="00DF5B90" w:rsidRPr="00DF5B90" w14:paraId="3FE5CE5F" w14:textId="77777777" w:rsidTr="00BA7D9E">
        <w:trPr>
          <w:trHeight w:val="300"/>
          <w:jc w:val="center"/>
        </w:trPr>
        <w:tc>
          <w:tcPr>
            <w:tcW w:w="0" w:type="auto"/>
            <w:vMerge w:val="restart"/>
            <w:tcBorders>
              <w:top w:val="single" w:sz="4" w:space="0" w:color="auto"/>
              <w:left w:val="nil"/>
              <w:right w:val="nil"/>
            </w:tcBorders>
            <w:noWrap/>
            <w:vAlign w:val="center"/>
            <w:hideMark/>
          </w:tcPr>
          <w:p w14:paraId="0C3EE725" w14:textId="77777777" w:rsidR="00DF5B90" w:rsidRPr="00DF5B90" w:rsidRDefault="00DF5B90" w:rsidP="00DF5B90">
            <w:pPr>
              <w:spacing w:after="0" w:line="240" w:lineRule="auto"/>
              <w:jc w:val="center"/>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SSEC</w:t>
            </w:r>
          </w:p>
        </w:tc>
        <w:tc>
          <w:tcPr>
            <w:tcW w:w="0" w:type="auto"/>
            <w:tcBorders>
              <w:top w:val="single" w:sz="4" w:space="0" w:color="auto"/>
              <w:left w:val="nil"/>
              <w:right w:val="nil"/>
            </w:tcBorders>
            <w:noWrap/>
            <w:vAlign w:val="center"/>
            <w:hideMark/>
          </w:tcPr>
          <w:p w14:paraId="64362173"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 xml:space="preserve">Coefficient </w:t>
            </w:r>
          </w:p>
        </w:tc>
        <w:tc>
          <w:tcPr>
            <w:tcW w:w="0" w:type="auto"/>
            <w:tcBorders>
              <w:top w:val="single" w:sz="4" w:space="0" w:color="auto"/>
              <w:left w:val="nil"/>
              <w:right w:val="nil"/>
            </w:tcBorders>
            <w:noWrap/>
            <w:vAlign w:val="center"/>
            <w:hideMark/>
          </w:tcPr>
          <w:p w14:paraId="0BAE1CA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0.0003</w:t>
            </w:r>
          </w:p>
        </w:tc>
        <w:tc>
          <w:tcPr>
            <w:tcW w:w="0" w:type="auto"/>
            <w:tcBorders>
              <w:top w:val="single" w:sz="4" w:space="0" w:color="auto"/>
              <w:left w:val="nil"/>
              <w:right w:val="nil"/>
            </w:tcBorders>
            <w:noWrap/>
            <w:vAlign w:val="center"/>
            <w:hideMark/>
          </w:tcPr>
          <w:p w14:paraId="318E37B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-0.0005</w:t>
            </w:r>
          </w:p>
        </w:tc>
        <w:tc>
          <w:tcPr>
            <w:tcW w:w="0" w:type="auto"/>
            <w:tcBorders>
              <w:top w:val="single" w:sz="4" w:space="0" w:color="auto"/>
              <w:left w:val="nil"/>
              <w:right w:val="nil"/>
            </w:tcBorders>
            <w:noWrap/>
            <w:vAlign w:val="center"/>
            <w:hideMark/>
          </w:tcPr>
          <w:p w14:paraId="37FD3E4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3.3E-07</w:t>
            </w:r>
          </w:p>
        </w:tc>
        <w:tc>
          <w:tcPr>
            <w:tcW w:w="0" w:type="auto"/>
            <w:tcBorders>
              <w:top w:val="single" w:sz="4" w:space="0" w:color="auto"/>
              <w:left w:val="nil"/>
              <w:right w:val="nil"/>
            </w:tcBorders>
            <w:noWrap/>
            <w:vAlign w:val="center"/>
            <w:hideMark/>
          </w:tcPr>
          <w:p w14:paraId="094B03D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0.0352</w:t>
            </w:r>
          </w:p>
        </w:tc>
        <w:tc>
          <w:tcPr>
            <w:tcW w:w="0" w:type="auto"/>
            <w:tcBorders>
              <w:top w:val="single" w:sz="4" w:space="0" w:color="auto"/>
              <w:left w:val="nil"/>
              <w:right w:val="nil"/>
            </w:tcBorders>
            <w:noWrap/>
            <w:vAlign w:val="center"/>
            <w:hideMark/>
          </w:tcPr>
          <w:p w14:paraId="1DDFCF2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0.9521</w:t>
            </w:r>
          </w:p>
        </w:tc>
        <w:tc>
          <w:tcPr>
            <w:tcW w:w="1309" w:type="dxa"/>
            <w:tcBorders>
              <w:top w:val="single" w:sz="4" w:space="0" w:color="auto"/>
              <w:left w:val="nil"/>
              <w:right w:val="nil"/>
            </w:tcBorders>
            <w:vAlign w:val="center"/>
            <w:hideMark/>
          </w:tcPr>
          <w:p w14:paraId="2E1A3EB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1.2928</w:t>
            </w:r>
          </w:p>
        </w:tc>
      </w:tr>
      <w:tr w:rsidR="00DF5B90" w:rsidRPr="00DF5B90" w14:paraId="5EBF7BD5" w14:textId="77777777" w:rsidTr="00BA7D9E">
        <w:trPr>
          <w:trHeight w:val="300"/>
          <w:jc w:val="center"/>
        </w:trPr>
        <w:tc>
          <w:tcPr>
            <w:tcW w:w="0" w:type="auto"/>
            <w:vMerge/>
            <w:tcBorders>
              <w:left w:val="nil"/>
              <w:right w:val="nil"/>
            </w:tcBorders>
            <w:vAlign w:val="center"/>
            <w:hideMark/>
          </w:tcPr>
          <w:p w14:paraId="6E2AFA0F"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noWrap/>
            <w:vAlign w:val="center"/>
            <w:hideMark/>
          </w:tcPr>
          <w:p w14:paraId="01C812B4"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z-statistic</w:t>
            </w:r>
          </w:p>
        </w:tc>
        <w:tc>
          <w:tcPr>
            <w:tcW w:w="0" w:type="auto"/>
            <w:noWrap/>
            <w:vAlign w:val="center"/>
            <w:hideMark/>
          </w:tcPr>
          <w:p w14:paraId="7382439A"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1.7864</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67685E56"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-2.9242</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29F7EFAC"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1.2275</w:t>
            </w:r>
          </w:p>
        </w:tc>
        <w:tc>
          <w:tcPr>
            <w:tcW w:w="0" w:type="auto"/>
            <w:noWrap/>
            <w:vAlign w:val="center"/>
            <w:hideMark/>
          </w:tcPr>
          <w:p w14:paraId="27B25893"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1.8785</w:t>
            </w:r>
            <w:r w:rsidRPr="00DF5B90">
              <w:rPr>
                <w:rFonts w:asciiTheme="minorHAnsi" w:eastAsia="Times New Roman" w:hAnsiTheme="minorHAnsi" w:cstheme="minorHAnsi"/>
                <w:color w:val="000000"/>
                <w:vertAlign w:val="superscript"/>
                <w:lang w:val="id-ID"/>
              </w:rPr>
              <w:t>*</w:t>
            </w:r>
          </w:p>
        </w:tc>
        <w:tc>
          <w:tcPr>
            <w:tcW w:w="0" w:type="auto"/>
            <w:noWrap/>
            <w:vAlign w:val="center"/>
            <w:hideMark/>
          </w:tcPr>
          <w:p w14:paraId="7FFCD6FD"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38.9251</w:t>
            </w:r>
            <w:r w:rsidRPr="00DF5B90">
              <w:rPr>
                <w:rFonts w:asciiTheme="minorHAnsi" w:eastAsia="Times New Roman" w:hAnsiTheme="minorHAnsi" w:cstheme="minorHAnsi"/>
                <w:color w:val="000000"/>
                <w:vertAlign w:val="superscript"/>
                <w:lang w:val="id-ID"/>
              </w:rPr>
              <w:t>***</w:t>
            </w:r>
          </w:p>
        </w:tc>
        <w:tc>
          <w:tcPr>
            <w:tcW w:w="1309" w:type="dxa"/>
            <w:noWrap/>
            <w:vAlign w:val="center"/>
            <w:hideMark/>
          </w:tcPr>
          <w:p w14:paraId="21D0B514"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13.0435</w:t>
            </w:r>
            <w:r w:rsidRPr="00DF5B90">
              <w:rPr>
                <w:rFonts w:asciiTheme="minorHAnsi" w:eastAsia="Times New Roman" w:hAnsiTheme="minorHAnsi" w:cstheme="minorHAnsi"/>
                <w:color w:val="000000"/>
                <w:vertAlign w:val="superscript"/>
                <w:lang w:val="id-ID"/>
              </w:rPr>
              <w:t>***</w:t>
            </w:r>
          </w:p>
        </w:tc>
      </w:tr>
      <w:tr w:rsidR="00DF5B90" w:rsidRPr="00DF5B90" w14:paraId="531DBBE4" w14:textId="77777777" w:rsidTr="00BA7D9E">
        <w:trPr>
          <w:trHeight w:val="315"/>
          <w:jc w:val="center"/>
        </w:trPr>
        <w:tc>
          <w:tcPr>
            <w:tcW w:w="0" w:type="auto"/>
            <w:vMerge/>
            <w:tcBorders>
              <w:left w:val="nil"/>
              <w:bottom w:val="single" w:sz="4" w:space="0" w:color="auto"/>
              <w:right w:val="nil"/>
            </w:tcBorders>
            <w:vAlign w:val="center"/>
            <w:hideMark/>
          </w:tcPr>
          <w:p w14:paraId="72FE83BA" w14:textId="77777777" w:rsidR="00DF5B90" w:rsidRPr="00DF5B90" w:rsidRDefault="00DF5B90" w:rsidP="00DF5B90">
            <w:pPr>
              <w:spacing w:after="0" w:line="240" w:lineRule="auto"/>
              <w:rPr>
                <w:rFonts w:asciiTheme="minorHAnsi" w:eastAsia="Times New Roman" w:hAnsiTheme="minorHAnsi" w:cstheme="minorHAnsi"/>
                <w:color w:val="000000"/>
                <w:lang w:val="id-ID"/>
              </w:rPr>
            </w:pPr>
          </w:p>
        </w:tc>
        <w:tc>
          <w:tcPr>
            <w:tcW w:w="0" w:type="auto"/>
            <w:tcBorders>
              <w:left w:val="nil"/>
              <w:bottom w:val="single" w:sz="4" w:space="0" w:color="auto"/>
              <w:right w:val="nil"/>
            </w:tcBorders>
            <w:noWrap/>
            <w:vAlign w:val="center"/>
            <w:hideMark/>
          </w:tcPr>
          <w:p w14:paraId="29105F3F" w14:textId="77777777" w:rsidR="00DF5B90" w:rsidRPr="00DF5B90" w:rsidRDefault="00DF5B90" w:rsidP="00DF5B90">
            <w:pPr>
              <w:spacing w:after="0" w:line="240" w:lineRule="auto"/>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Prob.</w:t>
            </w:r>
          </w:p>
        </w:tc>
        <w:tc>
          <w:tcPr>
            <w:tcW w:w="0" w:type="auto"/>
            <w:tcBorders>
              <w:left w:val="nil"/>
              <w:bottom w:val="single" w:sz="4" w:space="0" w:color="auto"/>
              <w:right w:val="nil"/>
            </w:tcBorders>
            <w:noWrap/>
            <w:vAlign w:val="center"/>
            <w:hideMark/>
          </w:tcPr>
          <w:p w14:paraId="7422C448"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0.0740</w:t>
            </w:r>
          </w:p>
        </w:tc>
        <w:tc>
          <w:tcPr>
            <w:tcW w:w="0" w:type="auto"/>
            <w:tcBorders>
              <w:left w:val="nil"/>
              <w:bottom w:val="single" w:sz="4" w:space="0" w:color="auto"/>
              <w:right w:val="nil"/>
            </w:tcBorders>
            <w:noWrap/>
            <w:vAlign w:val="center"/>
            <w:hideMark/>
          </w:tcPr>
          <w:p w14:paraId="74D0FA89"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0.0035</w:t>
            </w:r>
          </w:p>
        </w:tc>
        <w:tc>
          <w:tcPr>
            <w:tcW w:w="0" w:type="auto"/>
            <w:tcBorders>
              <w:left w:val="nil"/>
              <w:bottom w:val="single" w:sz="4" w:space="0" w:color="auto"/>
              <w:right w:val="nil"/>
            </w:tcBorders>
            <w:noWrap/>
            <w:vAlign w:val="center"/>
            <w:hideMark/>
          </w:tcPr>
          <w:p w14:paraId="102847B1"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0.2196</w:t>
            </w:r>
          </w:p>
        </w:tc>
        <w:tc>
          <w:tcPr>
            <w:tcW w:w="0" w:type="auto"/>
            <w:tcBorders>
              <w:left w:val="nil"/>
              <w:bottom w:val="single" w:sz="4" w:space="0" w:color="auto"/>
              <w:right w:val="nil"/>
            </w:tcBorders>
            <w:noWrap/>
            <w:vAlign w:val="center"/>
            <w:hideMark/>
          </w:tcPr>
          <w:p w14:paraId="745316C2"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0.0603</w:t>
            </w:r>
          </w:p>
        </w:tc>
        <w:tc>
          <w:tcPr>
            <w:tcW w:w="0" w:type="auto"/>
            <w:tcBorders>
              <w:left w:val="nil"/>
              <w:bottom w:val="single" w:sz="4" w:space="0" w:color="auto"/>
              <w:right w:val="nil"/>
            </w:tcBorders>
            <w:noWrap/>
            <w:vAlign w:val="center"/>
            <w:hideMark/>
          </w:tcPr>
          <w:p w14:paraId="329CF8EE"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c>
          <w:tcPr>
            <w:tcW w:w="1309" w:type="dxa"/>
            <w:tcBorders>
              <w:left w:val="nil"/>
              <w:bottom w:val="single" w:sz="4" w:space="0" w:color="auto"/>
              <w:right w:val="nil"/>
            </w:tcBorders>
            <w:noWrap/>
            <w:vAlign w:val="center"/>
            <w:hideMark/>
          </w:tcPr>
          <w:p w14:paraId="4B067E07" w14:textId="77777777" w:rsidR="00DF5B90" w:rsidRPr="00DF5B90" w:rsidRDefault="00DF5B90" w:rsidP="00DF5B90">
            <w:pPr>
              <w:spacing w:after="0" w:line="240" w:lineRule="auto"/>
              <w:jc w:val="right"/>
              <w:rPr>
                <w:rFonts w:asciiTheme="minorHAnsi" w:eastAsia="Times New Roman" w:hAnsiTheme="minorHAnsi" w:cstheme="minorHAnsi"/>
                <w:color w:val="000000"/>
                <w:lang w:val="id-ID"/>
              </w:rPr>
            </w:pPr>
            <w:r w:rsidRPr="00DF5B90">
              <w:rPr>
                <w:rFonts w:asciiTheme="minorHAnsi" w:eastAsia="Times New Roman" w:hAnsiTheme="minorHAnsi" w:cstheme="minorHAnsi"/>
                <w:color w:val="000000"/>
                <w:lang w:val="id-ID"/>
              </w:rPr>
              <w:t>0.0000</w:t>
            </w:r>
          </w:p>
        </w:tc>
      </w:tr>
    </w:tbl>
    <w:p w14:paraId="36BE0281" w14:textId="77777777" w:rsidR="00DF5B90" w:rsidRPr="00DF5B90" w:rsidRDefault="00DF5B90" w:rsidP="00DF5B90">
      <w:pPr>
        <w:spacing w:after="0" w:line="240" w:lineRule="auto"/>
        <w:jc w:val="both"/>
        <w:rPr>
          <w:rFonts w:asciiTheme="minorHAnsi" w:eastAsiaTheme="minorEastAsia" w:hAnsiTheme="minorHAnsi" w:cstheme="minorHAnsi"/>
          <w:noProof/>
          <w:lang w:val="en-US" w:eastAsia="en-US"/>
        </w:rPr>
      </w:pPr>
      <w:r w:rsidRPr="00DF5B90">
        <w:rPr>
          <w:rFonts w:asciiTheme="minorHAnsi" w:eastAsiaTheme="minorEastAsia" w:hAnsiTheme="minorHAnsi" w:cstheme="minorHAnsi"/>
          <w:lang w:val="id-ID"/>
        </w:rPr>
        <w:t>***</w:t>
      </w:r>
      <w:r w:rsidRPr="00DF5B90">
        <w:rPr>
          <w:rFonts w:asciiTheme="minorHAnsi" w:hAnsiTheme="minorHAnsi" w:cstheme="minorHAnsi"/>
          <w:lang w:val="id-ID"/>
        </w:rPr>
        <w:t xml:space="preserve"> </w:t>
      </w:r>
      <w:r w:rsidRPr="00DF5B90">
        <w:rPr>
          <w:rFonts w:asciiTheme="minorHAnsi" w:eastAsiaTheme="minorEastAsia" w:hAnsiTheme="minorHAnsi" w:cstheme="minorHAnsi"/>
        </w:rPr>
        <w:t>Significant at 1% level</w:t>
      </w:r>
    </w:p>
    <w:p w14:paraId="3272DF30" w14:textId="77777777" w:rsidR="00DF5B90" w:rsidRPr="00DF5B90" w:rsidRDefault="00DF5B90" w:rsidP="00DF5B90">
      <w:pPr>
        <w:spacing w:after="0" w:line="240" w:lineRule="auto"/>
        <w:jc w:val="both"/>
        <w:rPr>
          <w:rFonts w:asciiTheme="minorHAnsi" w:eastAsiaTheme="minorEastAsia" w:hAnsiTheme="minorHAnsi" w:cstheme="minorHAnsi"/>
        </w:rPr>
      </w:pPr>
      <w:r w:rsidRPr="00DF5B90">
        <w:rPr>
          <w:rFonts w:asciiTheme="minorHAnsi" w:eastAsiaTheme="minorEastAsia" w:hAnsiTheme="minorHAnsi" w:cstheme="minorHAnsi"/>
          <w:lang w:val="id-ID"/>
        </w:rPr>
        <w:t>**</w:t>
      </w:r>
      <w:r w:rsidRPr="00DF5B90">
        <w:rPr>
          <w:rFonts w:asciiTheme="minorHAnsi" w:eastAsiaTheme="minorEastAsia" w:hAnsiTheme="minorHAnsi" w:cstheme="minorHAnsi"/>
        </w:rPr>
        <w:t xml:space="preserve"> Significant at 5% level</w:t>
      </w:r>
    </w:p>
    <w:p w14:paraId="772DACA3" w14:textId="77777777" w:rsidR="00BA7D9E" w:rsidRDefault="00DF5B90" w:rsidP="00BA7D9E">
      <w:pPr>
        <w:spacing w:line="240" w:lineRule="auto"/>
        <w:jc w:val="both"/>
        <w:rPr>
          <w:rFonts w:asciiTheme="minorHAnsi" w:eastAsiaTheme="minorEastAsia" w:hAnsiTheme="minorHAnsi" w:cstheme="minorHAnsi"/>
        </w:rPr>
      </w:pPr>
      <w:r w:rsidRPr="00DF5B90">
        <w:rPr>
          <w:rFonts w:asciiTheme="minorHAnsi" w:eastAsiaTheme="minorEastAsia" w:hAnsiTheme="minorHAnsi" w:cstheme="minorHAnsi"/>
          <w:lang w:val="id-ID"/>
        </w:rPr>
        <w:t>*</w:t>
      </w:r>
      <w:r w:rsidRPr="00DF5B90">
        <w:rPr>
          <w:rFonts w:asciiTheme="minorHAnsi" w:eastAsiaTheme="minorEastAsia" w:hAnsiTheme="minorHAnsi" w:cstheme="minorHAnsi"/>
        </w:rPr>
        <w:t xml:space="preserve"> Significant at 10% level</w:t>
      </w:r>
    </w:p>
    <w:p w14:paraId="35379E17" w14:textId="538A2EAE" w:rsidR="00DF5B90" w:rsidRPr="00BA7D9E" w:rsidRDefault="00DF5B90" w:rsidP="00BA7D9E">
      <w:pPr>
        <w:spacing w:after="0" w:line="240" w:lineRule="auto"/>
        <w:jc w:val="both"/>
        <w:rPr>
          <w:rFonts w:asciiTheme="minorHAnsi" w:eastAsiaTheme="minorEastAsia" w:hAnsiTheme="minorHAnsi" w:cstheme="minorHAnsi"/>
          <w:lang w:val="id-ID"/>
        </w:rPr>
      </w:pPr>
      <w:r w:rsidRPr="00DF5B90">
        <w:rPr>
          <w:rFonts w:asciiTheme="minorHAnsi" w:hAnsiTheme="minorHAnsi" w:cstheme="minorHAnsi"/>
          <w:b/>
          <w:bCs/>
          <w:lang w:val="id-ID"/>
        </w:rPr>
        <w:t>Discussion</w:t>
      </w:r>
    </w:p>
    <w:p w14:paraId="485F54F3" w14:textId="77777777" w:rsidR="00EA2DE4" w:rsidRDefault="00DF5B90" w:rsidP="00B7499B">
      <w:pPr>
        <w:spacing w:line="240" w:lineRule="auto"/>
        <w:ind w:firstLine="284"/>
        <w:jc w:val="both"/>
        <w:rPr>
          <w:rFonts w:asciiTheme="minorHAnsi" w:hAnsiTheme="minorHAnsi" w:cstheme="minorHAnsi"/>
          <w:shd w:val="clear" w:color="auto" w:fill="FFFFFF"/>
          <w:lang w:val="en-US"/>
        </w:rPr>
      </w:pPr>
      <w:r w:rsidRPr="00DF5B90">
        <w:rPr>
          <w:rFonts w:asciiTheme="minorHAnsi" w:hAnsiTheme="minorHAnsi" w:cstheme="minorHAnsi"/>
          <w:lang w:val="id-ID"/>
        </w:rPr>
        <w:t xml:space="preserve">The GARCH model is a volatility analysis technique that is an advanced form of development of the ARCH model. GARCH is more favorable than ARCH because it uses fewer parameters and performs better </w:t>
      </w:r>
      <w:r w:rsidRPr="00DF5B90">
        <w:rPr>
          <w:rFonts w:asciiTheme="minorHAnsi" w:hAnsiTheme="minorHAnsi" w:cstheme="minorHAnsi"/>
          <w:lang w:val="id-ID"/>
        </w:rPr>
        <w:fldChar w:fldCharType="begin" w:fldLock="1"/>
      </w:r>
      <w:r w:rsidRPr="00DF5B90">
        <w:rPr>
          <w:rFonts w:asciiTheme="minorHAnsi" w:hAnsiTheme="minorHAnsi" w:cstheme="minorHAnsi"/>
          <w:lang w:val="id-ID"/>
        </w:rPr>
        <w:instrText>ADDIN CSL_CITATION {"citationItems":[{"id":"ITEM-1","itemData":{"DOI":"10.17159/2413-3051/2021/v32i3a8852","ISSN":"2413-3051","abstract":"Volatility of the oil price has been around since the 1970s and an understanding of how it evolves provides insight into solving macroeconomic challenges. The main objective of this study was to analyse the volatility of South African oil prices using quarterly time series data from 2000 to 2020. The effect of growth in gross domestic product per capita, interest rate, inflation and money supply growth on oil price changes was assessed. Generalised autoregressive conditional heteroscedasticity (GARCH) was estimated and diagnostic tests – namely ARCH, normality and autocorrelation tests – were conducted. The GARCH (1,2) model was the best fit, based on the Alkaike information criterion. The result revealed that interest rates and money supply growth have a significant positive effect on oil price changes in South Africa, while growth in GDP per capita and inflation has an insignificant impact. Past one and two-quarters’ oil price volatility increases and decreases the current oil price volatility respectively. Based on the findings, a contractionary monetary policy is recommended in order to reduce the volatility of South African oil prices.","author":[{"dropping-particle":"","family":"Mofema","given":"Victor Mbua","non-dropping-particle":"","parse-names":false,"suffix":""},{"dropping-particle":"","family":"Mah","given":"Gisele","non-dropping-particle":"","parse-names":false,"suffix":""}],"container-title":"Journal of Energy in Southern Africa","id":"ITEM-1","issue":"3","issued":{"date-parts":[["2021","9","19"]]},"page":"67-75","title":"An empirical analysis of volatility in South African oil prices","type":"article-journal","volume":"32"},"uris":["http://www.mendeley.com/documents/?uuid=c0e4e0f9-981a-45fb-929f-603a4b2227be"]}],"mendeley":{"formattedCitation":"(Mofema &amp; Mah, 2021)","plainTextFormattedCitation":"(Mofema &amp; Mah, 2021)","previouslyFormattedCitation":"(Mofema &amp; Mah, 2021)"},"properties":{"noteIndex":0},"schema":"https://github.com/citation-style-language/schema/raw/master/csl-citation.json"}</w:instrText>
      </w:r>
      <w:r w:rsidRPr="00DF5B90">
        <w:rPr>
          <w:rFonts w:asciiTheme="minorHAnsi" w:hAnsiTheme="minorHAnsi" w:cstheme="minorHAnsi"/>
          <w:lang w:val="id-ID"/>
        </w:rPr>
        <w:fldChar w:fldCharType="separate"/>
      </w:r>
      <w:r w:rsidRPr="00DF5B90">
        <w:rPr>
          <w:rFonts w:asciiTheme="minorHAnsi" w:hAnsiTheme="minorHAnsi" w:cstheme="minorHAnsi"/>
          <w:noProof/>
          <w:lang w:val="id-ID"/>
        </w:rPr>
        <w:t>(Mofema &amp; Mah, 2021)</w:t>
      </w:r>
      <w:r w:rsidRPr="00DF5B90">
        <w:rPr>
          <w:rFonts w:asciiTheme="minorHAnsi" w:hAnsiTheme="minorHAnsi" w:cstheme="minorHAnsi"/>
          <w:lang w:val="id-ID"/>
        </w:rPr>
        <w:fldChar w:fldCharType="end"/>
      </w:r>
      <w:r w:rsidRPr="00DF5B90">
        <w:rPr>
          <w:rFonts w:asciiTheme="minorHAnsi" w:hAnsiTheme="minorHAnsi" w:cstheme="minorHAnsi"/>
          <w:lang w:val="id-ID"/>
        </w:rPr>
        <w:t xml:space="preserve">. </w:t>
      </w:r>
      <w:r w:rsidRPr="00DF5B90">
        <w:rPr>
          <w:rFonts w:asciiTheme="minorHAnsi" w:hAnsiTheme="minorHAnsi" w:cstheme="minorHAnsi"/>
        </w:rPr>
        <w:t xml:space="preserve">Based on the results of data testing using the GARCH model, stock volatility had no influence on gold prices before the Russian-Ukrainian war. In addition, the Russia-Ukraine war period shows that the volatility of PSEi, STI, and KOSPI positively influences gold prices. During the whole period, PSEi volatility also positively affected gold prices. This is in line with the research of </w:t>
      </w:r>
      <w:r w:rsidRPr="00DF5B90">
        <w:rPr>
          <w:rFonts w:asciiTheme="minorHAnsi" w:hAnsiTheme="minorHAnsi" w:cstheme="minorHAnsi"/>
          <w:shd w:val="clear" w:color="auto" w:fill="FFFFFF"/>
          <w:lang w:val="id-ID"/>
        </w:rPr>
        <w:fldChar w:fldCharType="begin" w:fldLock="1"/>
      </w:r>
      <w:r w:rsidRPr="00DF5B90">
        <w:rPr>
          <w:rFonts w:asciiTheme="minorHAnsi" w:hAnsiTheme="minorHAnsi" w:cstheme="minorHAnsi"/>
          <w:shd w:val="clear" w:color="auto" w:fill="FFFFFF"/>
          <w:lang w:val="id-ID"/>
        </w:rPr>
        <w:instrText>ADDIN CSL_CITATION {"citationItems":[{"id":"ITEM-1","itemData":{"DOI":"10.3390/math8010120","ISSN":"22277390","abstract":"This study aims to investigate the causality and dependence structure of gold shocks and Asian emerging stock markets. The positive and negative shocks of gold prices are quantified, and Granger causality-based Vector autoregressive and Copula approaches are employed to measure the causality and contagion effect, respectively, between the positive and negative gold shocks and Asian emerging stock markets' volatilities. In addition, the nonlinear link between gold and stock markets is of concern and this motivates us to propose a Smooth Transition Dynamic Copula that allows for the structural change in time-varying dependence between gold shocks and Asian stock markets' volatilities. Several Copula families are also considered, and the best-fit Copula model is used to explain the correlation or contagion effects. The findings of the study show that there is some significant causality between gold shocks and Asian stock markets' volatilities in some parts of the sample period. We also observe a stronger correlation during the global financial crisis when compared to the pre-and post-crisis periods. In addition, the tail dependence is found between Indian stock and negative gold shock and between Korean stock and negative gold shock, which indicated the existence of the risk contagion effects between gold and these two stock markets.","author":[{"dropping-particle":"","family":"Yamaka","given":"Woraphon","non-dropping-particle":"","parse-names":false,"suffix":""},{"dropping-particle":"","family":"Maneejuk","given":"Paravee","non-dropping-particle":"","parse-names":false,"suffix":""}],"container-title":"Mathematics","id":"ITEM-1","issue":"1","issued":{"date-parts":[["2020"]]},"page":"120-146","title":"Analyzing the causality and dependence between gold shocks and asian emerging stock markets: a smooth transition copula approach","type":"article-journal","volume":"8"},"uris":["http://www.mendeley.com/documents/?uuid=4c518e79-5800-47fa-926f-1a0a02cb9f1a"]}],"mendeley":{"formattedCitation":"(Yamaka &amp; Maneejuk, 2020)","manualFormatting":"Yamaka dan Maneejuk (2020)","plainTextFormattedCitation":"(Yamaka &amp; Maneejuk, 2020)","previouslyFormattedCitation":"(Yamaka &amp; Maneejuk, 2020)"},"properties":{"noteIndex":0},"schema":"https://github.com/citation-style-language/schema/raw/master/csl-citation.json"}</w:instrText>
      </w:r>
      <w:r w:rsidRPr="00DF5B90">
        <w:rPr>
          <w:rFonts w:asciiTheme="minorHAnsi" w:hAnsiTheme="minorHAnsi" w:cstheme="minorHAnsi"/>
          <w:shd w:val="clear" w:color="auto" w:fill="FFFFFF"/>
          <w:lang w:val="id-ID"/>
        </w:rPr>
        <w:fldChar w:fldCharType="separate"/>
      </w:r>
      <w:r w:rsidRPr="00DF5B90">
        <w:rPr>
          <w:rFonts w:asciiTheme="minorHAnsi" w:hAnsiTheme="minorHAnsi" w:cstheme="minorHAnsi"/>
          <w:noProof/>
          <w:shd w:val="clear" w:color="auto" w:fill="FFFFFF"/>
          <w:lang w:val="id-ID"/>
        </w:rPr>
        <w:t>Yamaka dan Maneejuk (2020)</w:t>
      </w:r>
      <w:r w:rsidRPr="00DF5B90">
        <w:rPr>
          <w:rFonts w:asciiTheme="minorHAnsi" w:hAnsiTheme="minorHAnsi" w:cstheme="minorHAnsi"/>
          <w:shd w:val="clear" w:color="auto" w:fill="FFFFFF"/>
          <w:lang w:val="id-ID"/>
        </w:rPr>
        <w:fldChar w:fldCharType="end"/>
      </w:r>
      <w:r w:rsidRPr="00DF5B90">
        <w:rPr>
          <w:rFonts w:asciiTheme="minorHAnsi" w:hAnsiTheme="minorHAnsi" w:cstheme="minorHAnsi"/>
          <w:shd w:val="clear" w:color="auto" w:fill="FFFFFF"/>
        </w:rPr>
        <w:t>, which suggests that stock price volatility positively impacts gold prices.</w:t>
      </w:r>
    </w:p>
    <w:p w14:paraId="1C224469" w14:textId="77777777" w:rsidR="00EA2DE4" w:rsidRDefault="00DF5B90" w:rsidP="00B7499B">
      <w:pPr>
        <w:spacing w:line="240" w:lineRule="auto"/>
        <w:ind w:firstLine="284"/>
        <w:jc w:val="both"/>
        <w:rPr>
          <w:rFonts w:asciiTheme="minorHAnsi" w:hAnsiTheme="minorHAnsi" w:cstheme="minorHAnsi"/>
          <w:shd w:val="clear" w:color="auto" w:fill="FFFFFF"/>
          <w:lang w:val="en-US"/>
        </w:rPr>
      </w:pPr>
      <w:r w:rsidRPr="00DF5B90">
        <w:rPr>
          <w:rFonts w:asciiTheme="minorHAnsi" w:hAnsiTheme="minorHAnsi" w:cstheme="minorHAnsi"/>
          <w:shd w:val="clear" w:color="auto" w:fill="FFFFFF"/>
        </w:rPr>
        <w:t xml:space="preserve">Gold is considered a safe asset to allocate funds as a precious metal with consumption value </w:t>
      </w:r>
      <w:r w:rsidRPr="00DF5B90">
        <w:rPr>
          <w:rFonts w:asciiTheme="minorHAnsi" w:hAnsiTheme="minorHAnsi" w:cstheme="minorHAnsi"/>
          <w:shd w:val="clear" w:color="auto" w:fill="FFFFFF"/>
        </w:rPr>
        <w:fldChar w:fldCharType="begin" w:fldLock="1"/>
      </w:r>
      <w:r w:rsidRPr="00DF5B90">
        <w:rPr>
          <w:rFonts w:asciiTheme="minorHAnsi" w:hAnsiTheme="minorHAnsi" w:cstheme="minorHAnsi"/>
          <w:shd w:val="clear" w:color="auto" w:fill="FFFFFF"/>
        </w:rPr>
        <w:instrText>ADDIN CSL_CITATION {"citationItems":[{"id":"ITEM-1","itemData":{"DOI":"10.1016/j.iref.2023.11.005","ISSN":"10590560","author":[{"dropping-particle":"","family":"Wang","given":"Jiashun","non-dropping-particle":"","parse-names":false,"suffix":""},{"dropping-particle":"","family":"Wang","given":"Jiqian","non-dropping-particle":"","parse-names":false,"suffix":""},{"dropping-particle":"","family":"Ma","given":"Feng","non-dropping-particle":"","parse-names":false,"suffix":""}],"container-title":"International Review of Economics &amp; Finance","id":"ITEM-1","issued":{"date-parts":[["2024"]]},"page":"62-71","publisher":"Elsevier Inc.","title":"International commodity market and stock volatility predictability: evidence from G7 countries","type":"article-journal","volume":"90"},"uris":["http://www.mendeley.com/documents/?uuid=c66815ed-bbbd-4353-ba10-e1933cbf21aa"]}],"mendeley":{"formattedCitation":"(J. Wang et al., 2024)","manualFormatting":"(Wang et al., 2024)","plainTextFormattedCitation":"(J. Wang et al., 2024)","previouslyFormattedCitation":"(J. Wang et al., 2024)"},"properties":{"noteIndex":0},"schema":"https://github.com/citation-style-language/schema/raw/master/csl-citation.json"}</w:instrText>
      </w:r>
      <w:r w:rsidRPr="00DF5B90">
        <w:rPr>
          <w:rFonts w:asciiTheme="minorHAnsi" w:hAnsiTheme="minorHAnsi" w:cstheme="minorHAnsi"/>
          <w:shd w:val="clear" w:color="auto" w:fill="FFFFFF"/>
        </w:rPr>
        <w:fldChar w:fldCharType="separate"/>
      </w:r>
      <w:r w:rsidRPr="00DF5B90">
        <w:rPr>
          <w:rFonts w:asciiTheme="minorHAnsi" w:hAnsiTheme="minorHAnsi" w:cstheme="minorHAnsi"/>
          <w:noProof/>
          <w:shd w:val="clear" w:color="auto" w:fill="FFFFFF"/>
        </w:rPr>
        <w:t>(Wang et al., 2024)</w:t>
      </w:r>
      <w:r w:rsidRPr="00DF5B90">
        <w:rPr>
          <w:rFonts w:asciiTheme="minorHAnsi" w:hAnsiTheme="minorHAnsi" w:cstheme="minorHAnsi"/>
          <w:shd w:val="clear" w:color="auto" w:fill="FFFFFF"/>
        </w:rPr>
        <w:fldChar w:fldCharType="end"/>
      </w:r>
      <w:r w:rsidRPr="00DF5B90">
        <w:rPr>
          <w:rFonts w:asciiTheme="minorHAnsi" w:hAnsiTheme="minorHAnsi" w:cstheme="minorHAnsi"/>
          <w:shd w:val="clear" w:color="auto" w:fill="FFFFFF"/>
        </w:rPr>
        <w:t xml:space="preserve">. If volatility increases, market uncertainty also increases, which will encourage investors to divert their funds to gold commodities, ultimately leading to an increase in gold prices. In the Hamas-Israel conflict period, the test results show that KLSE volatility has a negative impact on stock prices. The test results are supported by the research  </w:t>
      </w:r>
      <w:r w:rsidRPr="00DF5B90">
        <w:rPr>
          <w:rFonts w:asciiTheme="minorHAnsi" w:hAnsiTheme="minorHAnsi" w:cstheme="minorHAnsi"/>
          <w:shd w:val="clear" w:color="auto" w:fill="FFFFFF"/>
        </w:rPr>
        <w:fldChar w:fldCharType="begin" w:fldLock="1"/>
      </w:r>
      <w:r w:rsidRPr="00DF5B90">
        <w:rPr>
          <w:rFonts w:asciiTheme="minorHAnsi" w:hAnsiTheme="minorHAnsi" w:cstheme="minorHAnsi"/>
          <w:shd w:val="clear" w:color="auto" w:fill="FFFFFF"/>
        </w:rPr>
        <w:instrText>ADDIN CSL_CITATION {"citationItems":[{"id":"ITEM-1","itemData":{"DOI":"10.1016/j.eap.2022.04.001","ISSN":"03135926","abstract":"This study examines the volatility spillovers between the US stock market (S&amp;P500 index) and both oil and gold before and during the global health crisis (GHC). We apply the FIAPARCH-DCC model to the 15-minute intraday data. The results showed negative (positive) conditional correlations between the S&amp;P500 and gold (oil). The time-varying conditional correlations between markets were higher during COVID-19 spread. Moreover, gold offers more diversification gains than oil does during the pandemic. Hedging is more expensive during a pandemic than before. Oil provides higher hedging effectiveness (HE) than gold for all sub-periods. HE was lower during the COVID-19 outbreak for both oil and gold. These findings have important implications for both equity investors and policymakers.","author":[{"dropping-particle":"","family":"Mensi","given":"Walid","non-dropping-particle":"","parse-names":false,"suffix":""},{"dropping-particle":"","family":"Vo","given":"Xuan Vinh","non-dropping-particle":"","parse-names":false,"suffix":""},{"dropping-particle":"","family":"Kang","given":"Sang Hoon","non-dropping-particle":"","parse-names":false,"suffix":""}],"container-title":"Economic Analysis and Policy","id":"ITEM-1","issued":{"date-parts":[["2022"]]},"page":"702-715","publisher":"Elsevier B.V.","title":"COVID-19 pandemic's impact on intraday volatility spillover between oil, gold, and stock markets","type":"article-journal","volume":"74"},"uris":["http://www.mendeley.com/documents/?uuid=a7e2bd40-609d-4aaa-b976-79264303c735"]}],"mendeley":{"formattedCitation":"(Mensi et al., 2022)","manualFormatting":"Mensi et al. (2022)","plainTextFormattedCitation":"(Mensi et al., 2022)","previouslyFormattedCitation":"(Mensi et al., 2022)"},"properties":{"noteIndex":0},"schema":"https://github.com/citation-style-language/schema/raw/master/csl-citation.json"}</w:instrText>
      </w:r>
      <w:r w:rsidRPr="00DF5B90">
        <w:rPr>
          <w:rFonts w:asciiTheme="minorHAnsi" w:hAnsiTheme="minorHAnsi" w:cstheme="minorHAnsi"/>
          <w:shd w:val="clear" w:color="auto" w:fill="FFFFFF"/>
        </w:rPr>
        <w:fldChar w:fldCharType="separate"/>
      </w:r>
      <w:r w:rsidRPr="00DF5B90">
        <w:rPr>
          <w:rFonts w:asciiTheme="minorHAnsi" w:hAnsiTheme="minorHAnsi" w:cstheme="minorHAnsi"/>
          <w:noProof/>
          <w:shd w:val="clear" w:color="auto" w:fill="FFFFFF"/>
        </w:rPr>
        <w:t>Mensi et al. (2022)</w:t>
      </w:r>
      <w:r w:rsidRPr="00DF5B90">
        <w:rPr>
          <w:rFonts w:asciiTheme="minorHAnsi" w:hAnsiTheme="minorHAnsi" w:cstheme="minorHAnsi"/>
          <w:shd w:val="clear" w:color="auto" w:fill="FFFFFF"/>
        </w:rPr>
        <w:fldChar w:fldCharType="end"/>
      </w:r>
      <w:r w:rsidRPr="00DF5B90">
        <w:rPr>
          <w:rFonts w:asciiTheme="minorHAnsi" w:hAnsiTheme="minorHAnsi" w:cstheme="minorHAnsi"/>
          <w:shd w:val="clear" w:color="auto" w:fill="FFFFFF"/>
        </w:rPr>
        <w:t xml:space="preserve">, which says there is a negative correlation between stock market volatility and gold. </w:t>
      </w:r>
    </w:p>
    <w:p w14:paraId="1B037483" w14:textId="77777777" w:rsidR="00EA2DE4" w:rsidRDefault="00DF5B90" w:rsidP="00B7499B">
      <w:pPr>
        <w:spacing w:line="240" w:lineRule="auto"/>
        <w:ind w:firstLine="284"/>
        <w:jc w:val="both"/>
        <w:rPr>
          <w:rFonts w:asciiTheme="minorHAnsi" w:hAnsiTheme="minorHAnsi" w:cstheme="minorHAnsi"/>
          <w:shd w:val="clear" w:color="auto" w:fill="FFFFFF"/>
          <w:lang w:val="en-US"/>
        </w:rPr>
      </w:pPr>
      <w:r w:rsidRPr="00DF5B90">
        <w:rPr>
          <w:rFonts w:asciiTheme="minorHAnsi" w:hAnsiTheme="minorHAnsi" w:cstheme="minorHAnsi"/>
          <w:shd w:val="clear" w:color="auto" w:fill="FFFFFF"/>
        </w:rPr>
        <w:t xml:space="preserve">The study also revealed the influence of stock market volatility on the US Dollar Index. The analysis shows that the volatility of the VN 30 and Kospi positively influences the US Dollar Index. In other words, it can be concluded that the US Dollar Index increases when volatility increases. This research is supported by </w:t>
      </w:r>
      <w:r w:rsidRPr="00DF5B90">
        <w:rPr>
          <w:rFonts w:asciiTheme="minorHAnsi" w:hAnsiTheme="minorHAnsi" w:cstheme="minorHAnsi"/>
          <w:color w:val="1F1F1F"/>
          <w:lang w:val="id-ID"/>
        </w:rPr>
        <w:fldChar w:fldCharType="begin" w:fldLock="1"/>
      </w:r>
      <w:r w:rsidRPr="00DF5B90">
        <w:rPr>
          <w:rFonts w:asciiTheme="minorHAnsi" w:hAnsiTheme="minorHAnsi" w:cstheme="minorHAnsi"/>
          <w:color w:val="1F1F1F"/>
          <w:lang w:val="id-ID"/>
        </w:rPr>
        <w:instrText>ADDIN CSL_CITATION {"citationItems":[{"id":"ITEM-1","itemData":{"DOI":"10.1016/j.eap.2022.12.010","ISSN":"03135926","abstract":"This paper examines frequency dynamic spillovers in return and volatility and the hedging ability of Green Bonds, gold, silver, oil, the US dollar index, and volatility index against downside US stock prices before and during the COVID-19 pandemic outbreak and for the short and long run. To do so, we use the Diebold and Yilmaz (2014), the TVP-VAR model, and the frequency spillover index by Baruník and Křehlík (2018). We show that the short-term volatility spillovers dominate their long-term counterparts. Green Bond is net transmitters of spillovers in the system at the short term and net receivers at the long term. S&amp;P500 and silver (USDX and oil) are net transmitters (receivers) of short- and long-term spillovers. Gold and VIX are net receivers of short-term spillovers and net transmitters of long-term spillovers. COVID-19 crisis has more effects on the short-term spillover, which reaches its highest level early 2020. COVID-19 and time horizons lead the direction and the magnitude of spillovers. The Quantile-on-Quantile regression analysis shows significant nonlinear relationships between markets under study. More interestingly, we show that green bonds and gold are safe haven assets for US equity investors during COVID-19. On the other hand, a mixed portfolio offers higher diversification benefits. Finally, hedging effectiveness is dependent on COVID-19 and time horizon.","author":[{"dropping-particle":"","family":"Mensi","given":"Walid","non-dropping-particle":"","parse-names":false,"suffix":""},{"dropping-particle":"","family":"Vo","given":"Xuan Vinh","non-dropping-particle":"","parse-names":false,"suffix":""},{"dropping-particle":"","family":"Ko","given":"Hee Un","non-dropping-particle":"","parse-names":false,"suffix":""},{"dropping-particle":"","family":"Kang","given":"Sang Hoon","non-dropping-particle":"","parse-names":false,"suffix":""}],"container-title":"Economic Analysis and Policy","id":"ITEM-1","issued":{"date-parts":[["2023"]]},"page":"558-580","publisher":"Elsevier B.V.","title":"Frequency spillovers between green bonds, global factors and stock market before and during COVID-19 crisis","type":"article-journal","volume":"77"},"uris":["http://www.mendeley.com/documents/?uuid=8578ee2b-2040-4319-8623-697952d53029"]}],"mendeley":{"formattedCitation":"(Mensi et al., 2023)","manualFormatting":"Mensi et al. (2023)","plainTextFormattedCitation":"(Mensi et al., 2023)","previouslyFormattedCitation":"(Mensi et al., 2023)"},"properties":{"noteIndex":0},"schema":"https://github.com/citation-style-language/schema/raw/master/csl-citation.json"}</w:instrText>
      </w:r>
      <w:r w:rsidRPr="00DF5B90">
        <w:rPr>
          <w:rFonts w:asciiTheme="minorHAnsi" w:hAnsiTheme="minorHAnsi" w:cstheme="minorHAnsi"/>
          <w:color w:val="1F1F1F"/>
          <w:lang w:val="id-ID"/>
        </w:rPr>
        <w:fldChar w:fldCharType="separate"/>
      </w:r>
      <w:r w:rsidRPr="00DF5B90">
        <w:rPr>
          <w:rFonts w:asciiTheme="minorHAnsi" w:hAnsiTheme="minorHAnsi" w:cstheme="minorHAnsi"/>
          <w:noProof/>
          <w:color w:val="1F1F1F"/>
          <w:lang w:val="id-ID"/>
        </w:rPr>
        <w:t>Mensi et al. (2023)</w:t>
      </w:r>
      <w:r w:rsidRPr="00DF5B90">
        <w:rPr>
          <w:rFonts w:asciiTheme="minorHAnsi" w:hAnsiTheme="minorHAnsi" w:cstheme="minorHAnsi"/>
          <w:color w:val="1F1F1F"/>
          <w:lang w:val="id-ID"/>
        </w:rPr>
        <w:fldChar w:fldCharType="end"/>
      </w:r>
      <w:r w:rsidRPr="00DF5B90">
        <w:rPr>
          <w:rFonts w:asciiTheme="minorHAnsi" w:hAnsiTheme="minorHAnsi" w:cstheme="minorHAnsi"/>
          <w:color w:val="1F1F1F"/>
          <w:lang w:val="id-ID"/>
        </w:rPr>
        <w:t xml:space="preserve"> dan </w:t>
      </w:r>
      <w:r w:rsidRPr="00DF5B90">
        <w:rPr>
          <w:rFonts w:asciiTheme="minorHAnsi" w:hAnsiTheme="minorHAnsi" w:cstheme="minorHAnsi"/>
          <w:lang w:val="id-ID"/>
        </w:rPr>
        <w:fldChar w:fldCharType="begin" w:fldLock="1"/>
      </w:r>
      <w:r w:rsidRPr="00DF5B90">
        <w:rPr>
          <w:rFonts w:asciiTheme="minorHAnsi" w:hAnsiTheme="minorHAnsi" w:cstheme="minorHAnsi"/>
          <w:lang w:val="id-ID"/>
        </w:rPr>
        <w:instrText>ADDIN CSL_CITATION {"citationItems":[{"id":"ITEM-1","itemData":{"DOI":"10.47260/amae/1246","abstract":"Abstract This study investigates the impacts of the Standard &amp; Poor’s (S&amp;P) 500 Index, the NASDAQ Volatility Index (VXN), the spot prices of gold and silver, and the U.S. Dollar Index (DXY) on the CBOE Volatility Index (VIX). Specifically, the proposed arbitrage pricing theory (APT) model, programmed by Python, performs multi-factor regression analysis that analyzes the degree of impact measured by the beta coefficient of systematic risks on each factor. Our samples include daily transaction data from 2007 to 2018, divided into three periods to assess the VIX’s impact for each sub-period. The three periods are entitled as the “Global Financial Crisis Period” (2007–2009), the “European Debt Crisis Period” (2010–2012), and the “Follow-up Period” (2013–2018). Empirical results show that the major factors are the S&amp;P 500 index and the VXN, with the DXY being a minor factor. Moreover, both gold and silver spot prices have a significant impact on the VIX. Keywords: VIX, Global financial crisis, European debt crisis, Systematic risk, Arbitrage pricing theory, Multi-factor regression model, Schwarz's inequality, Triangle inequality.","author":[{"dropping-particle":"","family":"Lian","given":"Yu-Min","non-dropping-particle":"","parse-names":false,"suffix":""},{"dropping-particle":"","family":"Jhong","given":"Yu-Jhih","non-dropping-particle":"","parse-names":false,"suffix":""},{"dropping-particle":"","family":"Wang","given":"Po-Hsuan","non-dropping-particle":"","parse-names":false,"suffix":""},{"dropping-particle":"","family":"Chen","given":"Wei-Ming","non-dropping-particle":"","parse-names":false,"suffix":""}],"container-title":"Advances in Management and Applied Economics","id":"ITEM-1","issue":"4","issued":{"date-parts":[["2022"]]},"page":"109-118","title":"An empirical examination of VIX market fluctuations","type":"article-journal","volume":"12"},"uris":["http://www.mendeley.com/documents/?uuid=ba74f140-a724-421e-bfd3-22e7ff260343"]}],"mendeley":{"formattedCitation":"(Lian et al., 2022)","manualFormatting":"Lian et al. (2022)","plainTextFormattedCitation":"(Lian et al., 2022)","previouslyFormattedCitation":"(Lian et al., 2022)"},"properties":{"noteIndex":0},"schema":"https://github.com/citation-style-language/schema/raw/master/csl-citation.json"}</w:instrText>
      </w:r>
      <w:r w:rsidRPr="00DF5B90">
        <w:rPr>
          <w:rFonts w:asciiTheme="minorHAnsi" w:hAnsiTheme="minorHAnsi" w:cstheme="minorHAnsi"/>
          <w:lang w:val="id-ID"/>
        </w:rPr>
        <w:fldChar w:fldCharType="separate"/>
      </w:r>
      <w:r w:rsidRPr="00DF5B90">
        <w:rPr>
          <w:rFonts w:asciiTheme="minorHAnsi" w:hAnsiTheme="minorHAnsi" w:cstheme="minorHAnsi"/>
          <w:noProof/>
          <w:lang w:val="id-ID"/>
        </w:rPr>
        <w:t>Lian et al. (2022)</w:t>
      </w:r>
      <w:r w:rsidRPr="00DF5B90">
        <w:rPr>
          <w:rFonts w:asciiTheme="minorHAnsi" w:hAnsiTheme="minorHAnsi" w:cstheme="minorHAnsi"/>
          <w:lang w:val="id-ID"/>
        </w:rPr>
        <w:fldChar w:fldCharType="end"/>
      </w:r>
      <w:r w:rsidRPr="00DF5B90">
        <w:rPr>
          <w:rFonts w:asciiTheme="minorHAnsi" w:hAnsiTheme="minorHAnsi" w:cstheme="minorHAnsi"/>
          <w:lang w:val="id-ID"/>
        </w:rPr>
        <w:t xml:space="preserve"> </w:t>
      </w:r>
      <w:r w:rsidRPr="00DF5B90">
        <w:rPr>
          <w:rFonts w:asciiTheme="minorHAnsi" w:hAnsiTheme="minorHAnsi" w:cstheme="minorHAnsi"/>
        </w:rPr>
        <w:t xml:space="preserve">which suggest that stock market volatility is positively correlated with the US Dollar Index. So, it can be said that an increase in stock market uncertainty will strengthen the value of the US Dollar against other major currencies. Then, in the period before the Russia-Ukraine war, during the Russia-Ukraine war, and the whole period, the volatility of the JKSE, KLSE, STI, SETI, Nikkei, Kospi, and SSEC had a negative impact on the US Dollar Index. </w:t>
      </w:r>
    </w:p>
    <w:p w14:paraId="5B925940" w14:textId="4C2DFB03" w:rsidR="003A5D3C" w:rsidRPr="00EA2DE4" w:rsidRDefault="00DF5B90" w:rsidP="00B7499B">
      <w:pPr>
        <w:spacing w:line="240" w:lineRule="auto"/>
        <w:ind w:firstLine="284"/>
        <w:jc w:val="both"/>
        <w:rPr>
          <w:rFonts w:asciiTheme="minorHAnsi" w:hAnsiTheme="minorHAnsi" w:cstheme="minorHAnsi"/>
          <w:shd w:val="clear" w:color="auto" w:fill="FFFFFF"/>
          <w:lang w:val="en-US"/>
        </w:rPr>
      </w:pPr>
      <w:r w:rsidRPr="00DF5B90">
        <w:rPr>
          <w:rFonts w:asciiTheme="minorHAnsi" w:hAnsiTheme="minorHAnsi" w:cstheme="minorHAnsi"/>
        </w:rPr>
        <w:t xml:space="preserve">This indicates that when the volatility of the relevant stock markets increases, it will decrease the value of the US Dollar Index. Increased uncertainty due to volatility will encourage investors to reduce risky assets such as the US Dollar. Supporting this, </w:t>
      </w:r>
      <w:r w:rsidRPr="00DF5B90">
        <w:rPr>
          <w:rFonts w:asciiTheme="minorHAnsi" w:hAnsiTheme="minorHAnsi" w:cstheme="minorHAnsi"/>
        </w:rPr>
        <w:fldChar w:fldCharType="begin" w:fldLock="1"/>
      </w:r>
      <w:r w:rsidRPr="00DF5B90">
        <w:rPr>
          <w:rFonts w:asciiTheme="minorHAnsi" w:hAnsiTheme="minorHAnsi" w:cstheme="minorHAnsi"/>
        </w:rPr>
        <w:instrText>ADDIN CSL_CITATION {"citationItems":[{"id":"ITEM-1","itemData":{"DOI":"10.1016/j.ijinfomgt.2018.12.013","ISSN":"02684012","abstract":"This paper investigates the role of gold as a safe haven for stock markets and the US dollar by examining the extreme risk spillovers. The extreme risk is measured by Value at Risk (VaR), which is estimated by GJR-GARCH model based on skewed t distribution. Two test statistics of one-way and two-way Granger causality in risk are used to detect extreme risk spillovers. In general, the empirical results show that there are negative extreme risk spillovers between gold and stock markets and between gold and foreign exchange markets of US dollar, which indicate that gold can act as an effective safe haven against extreme stock and US dollar exchange rate movements. In addition, the global financial crisis can affect the safe haven role of gold.","author":[{"dropping-particle":"","family":"Ma","given":"Xiaomeng","non-dropping-particle":"","parse-names":false,"suffix":""},{"dropping-particle":"","family":"Yang","given":"Ruixian","non-dropping-particle":"","parse-names":false,"suffix":""},{"dropping-particle":"","family":"Zou","given":"Dong","non-dropping-particle":"","parse-names":false,"suffix":""},{"dropping-particle":"","family":"Liu","given":"Rui","non-dropping-particle":"","parse-names":false,"suffix":""}],"container-title":"International Journal of Information Management","id":"ITEM-1","issue":"December 2018","issued":{"date-parts":[["2020"]]},"page":"526-537","publisher":"Elsevier","title":"Measuring extreme risk of sustainable financial system using GJR-GARCH model trading data-based","type":"article-journal","volume":"50"},"uris":["http://www.mendeley.com/documents/?uuid=f6fa03ff-930a-41b2-84ae-412df6c9ac8e"]}],"mendeley":{"formattedCitation":"(Ma et al., 2020)","manualFormatting":"Ma et al. (2020)","plainTextFormattedCitation":"(Ma et al., 2020)","previouslyFormattedCitation":"(Ma et al., 2020)"},"properties":{"noteIndex":0},"schema":"https://github.com/citation-style-language/schema/raw/master/csl-citation.json"}</w:instrText>
      </w:r>
      <w:r w:rsidRPr="00DF5B90">
        <w:rPr>
          <w:rFonts w:asciiTheme="minorHAnsi" w:hAnsiTheme="minorHAnsi" w:cstheme="minorHAnsi"/>
        </w:rPr>
        <w:fldChar w:fldCharType="separate"/>
      </w:r>
      <w:r w:rsidRPr="00DF5B90">
        <w:rPr>
          <w:rFonts w:asciiTheme="minorHAnsi" w:hAnsiTheme="minorHAnsi" w:cstheme="minorHAnsi"/>
          <w:noProof/>
        </w:rPr>
        <w:t>Ma et al. (2020)</w:t>
      </w:r>
      <w:r w:rsidRPr="00DF5B90">
        <w:rPr>
          <w:rFonts w:asciiTheme="minorHAnsi" w:hAnsiTheme="minorHAnsi" w:cstheme="minorHAnsi"/>
        </w:rPr>
        <w:fldChar w:fldCharType="end"/>
      </w:r>
      <w:r w:rsidRPr="00DF5B90">
        <w:rPr>
          <w:rFonts w:asciiTheme="minorHAnsi" w:hAnsiTheme="minorHAnsi" w:cstheme="minorHAnsi"/>
        </w:rPr>
        <w:t xml:space="preserve"> mentioned that the US Dollar is not a haven for the Chinese stock market as it is subject to extreme risk spillover from the global financial crisis. </w:t>
      </w:r>
      <w:r w:rsidRPr="00DF5B90">
        <w:rPr>
          <w:rFonts w:asciiTheme="minorHAnsi" w:hAnsiTheme="minorHAnsi" w:cstheme="minorHAnsi"/>
        </w:rPr>
        <w:fldChar w:fldCharType="begin" w:fldLock="1"/>
      </w:r>
      <w:r w:rsidRPr="00DF5B90">
        <w:rPr>
          <w:rFonts w:asciiTheme="minorHAnsi" w:hAnsiTheme="minorHAnsi" w:cstheme="minorHAnsi"/>
        </w:rPr>
        <w:instrText>ADDIN CSL_CITATION {"citationItems":[{"id":"ITEM-1","itemData":{"DOI":"10.1371/journal.pone.0291684","ISBN":"1111111111","ISSN":"19326203","PMID":"37796831","abstract":"This study utilizes the hedging potential of the U.S. Dollar Index (USDX) during the COVID-19 period, specifically comparing its positive effects on optimal portfolio weights and hedging ratios with those of traditional hedging assets, such as the VIX and gold. The scalar BEKK GARCH model is employed to forecast volatility and calculate hedging indicators. The results show that USDX exhibits strong hedging abilities against S&amp;P 500 index volatility. These findings highlight the advantageous role of the USDX as a hedging instrument, particularly during periods of heightened market uncertainty, such as during the COVID-19 crisis. Despite the increased market volatility during the COVID-19 pandemic, the value of the optimal portfolio weights is stable and the volatility of the weights is significantly reduced, demonstrating the strength of the USDX’s low risk and volatility in hedging against market fluctuations. Moreover, the increase in the hedge ratio indicates that more capital is allocated to hedging, reflecting the increased correlation between the USDX and S&amp;P 500 index. These results emphasize the beneficial role of the USDX as a hedging instrument during times of elevated market uncertainty, such as during the COVID-19 crisis. Ultimately, USDX can provide valuable insights for market participants seeking effective hedging strategies.","author":[{"dropping-particle":"","family":"Yun","given":"Seok Jun","non-dropping-particle":"","parse-names":false,"suffix":""},{"dropping-particle":"","family":"Choi","given":"Sun Yong","non-dropping-particle":"","parse-names":false,"suffix":""},{"dropping-particle":"","family":"Kim","given":"Young Sung","non-dropping-particle":"","parse-names":false,"suffix":""}],"container-title":"PLoS ONE","id":"ITEM-1","issue":"10 October","issued":{"date-parts":[["2023"]]},"page":"1-19","title":"Examining the hedge performance of US Dollar, VIX, and gold during the coronavirus pandemic: Is US Dollar a better hedge asset?","type":"article-journal","volume":"18"},"uris":["http://www.mendeley.com/documents/?uuid=b4cb8a12-dea8-4247-b806-12b76751a4b9"]}],"mendeley":{"formattedCitation":"(Yun et al., 2023)","manualFormatting":"Yun et al. (2023)","plainTextFormattedCitation":"(Yun et al., 2023)","previouslyFormattedCitation":"(Yun et al., 2023)"},"properties":{"noteIndex":0},"schema":"https://github.com/citation-style-language/schema/raw/master/csl-citation.json"}</w:instrText>
      </w:r>
      <w:r w:rsidRPr="00DF5B90">
        <w:rPr>
          <w:rFonts w:asciiTheme="minorHAnsi" w:hAnsiTheme="minorHAnsi" w:cstheme="minorHAnsi"/>
        </w:rPr>
        <w:fldChar w:fldCharType="separate"/>
      </w:r>
      <w:r w:rsidRPr="00DF5B90">
        <w:rPr>
          <w:rFonts w:asciiTheme="minorHAnsi" w:hAnsiTheme="minorHAnsi" w:cstheme="minorHAnsi"/>
          <w:noProof/>
        </w:rPr>
        <w:t>Yun et al. (2023)</w:t>
      </w:r>
      <w:r w:rsidRPr="00DF5B90">
        <w:rPr>
          <w:rFonts w:asciiTheme="minorHAnsi" w:hAnsiTheme="minorHAnsi" w:cstheme="minorHAnsi"/>
        </w:rPr>
        <w:fldChar w:fldCharType="end"/>
      </w:r>
      <w:r w:rsidRPr="00DF5B90">
        <w:rPr>
          <w:rFonts w:asciiTheme="minorHAnsi" w:hAnsiTheme="minorHAnsi" w:cstheme="minorHAnsi"/>
        </w:rPr>
        <w:t xml:space="preserve"> stated that if the interest in the US Dollar decreases, it will cause a decrease in the value of the US Dollar Index and vice versa.</w:t>
      </w:r>
    </w:p>
    <w:p w14:paraId="0D9C62B5" w14:textId="77777777" w:rsidR="00DF5B90" w:rsidRDefault="00DF5B90" w:rsidP="00DF5B90">
      <w:pPr>
        <w:pStyle w:val="DaftarParagraf"/>
        <w:numPr>
          <w:ilvl w:val="0"/>
          <w:numId w:val="3"/>
        </w:numPr>
        <w:spacing w:line="240" w:lineRule="auto"/>
        <w:ind w:left="284" w:hanging="284"/>
        <w:jc w:val="both"/>
        <w:rPr>
          <w:b/>
        </w:rPr>
      </w:pPr>
      <w:r w:rsidRPr="00DF5B90">
        <w:rPr>
          <w:b/>
        </w:rPr>
        <w:t>CONCLUSIONS AND SUGGESTIONS</w:t>
      </w:r>
    </w:p>
    <w:p w14:paraId="47890D1F" w14:textId="77777777" w:rsidR="00DF5B90" w:rsidRDefault="00DF5B90" w:rsidP="00DF5B90">
      <w:pPr>
        <w:spacing w:line="240" w:lineRule="auto"/>
        <w:ind w:firstLine="284"/>
        <w:jc w:val="both"/>
        <w:rPr>
          <w:rFonts w:asciiTheme="minorHAnsi" w:hAnsiTheme="minorHAnsi" w:cstheme="minorHAnsi"/>
          <w:b/>
        </w:rPr>
      </w:pPr>
      <w:r w:rsidRPr="00DF5B90">
        <w:rPr>
          <w:rFonts w:asciiTheme="minorHAnsi" w:hAnsiTheme="minorHAnsi" w:cstheme="minorHAnsi"/>
        </w:rPr>
        <w:t xml:space="preserve">This study was conducted to determine the impact of stock market volatility on gold prices and the US Dollar Index. The GARCH test results show that several volatility variables influence gold prices and the US Dollar Index. PSEi volatility is proven to positively affect gold prices during the Russia-Ukraine war and the entire period. In addition, the STI and Kospi variables positively affect gold prices in the Russia-Ukraine war period. In the US Dollar Index, the volatility of VN 30 and Kospi positively impacted the Hamas-Israel conflict period. </w:t>
      </w:r>
    </w:p>
    <w:p w14:paraId="75AB4D9F" w14:textId="77777777" w:rsidR="00DF5B90" w:rsidRDefault="00DF5B90" w:rsidP="00DF5B90">
      <w:pPr>
        <w:spacing w:line="240" w:lineRule="auto"/>
        <w:ind w:firstLine="284"/>
        <w:jc w:val="both"/>
        <w:rPr>
          <w:rFonts w:asciiTheme="minorHAnsi" w:hAnsiTheme="minorHAnsi" w:cstheme="minorHAnsi"/>
          <w:b/>
        </w:rPr>
      </w:pPr>
      <w:r w:rsidRPr="00DF5B90">
        <w:rPr>
          <w:rFonts w:asciiTheme="minorHAnsi" w:hAnsiTheme="minorHAnsi" w:cstheme="minorHAnsi"/>
          <w:shd w:val="clear" w:color="auto" w:fill="FFFFFF"/>
        </w:rPr>
        <w:t xml:space="preserve">Both stock prices and the US Dollar Index can be used as a hedging tool or investment alternative when the stock market experiences increased volatility. Gold is often considered stable and appealing as a store of value asset in the global economy. On the other hand, the US Dollar plays a significant role as the world's primary reserve currency and has gained global trust. These findings can be a guide in making investment decisions to reduce the risks that may arise. But of course, it is necessary to do an in-depth analysis before deciding to invest. </w:t>
      </w:r>
    </w:p>
    <w:p w14:paraId="387FEB01" w14:textId="6C90AF60" w:rsidR="00DF5B90" w:rsidRPr="00DF5B90" w:rsidRDefault="007A35CA" w:rsidP="00DF5B90">
      <w:pPr>
        <w:spacing w:line="240" w:lineRule="auto"/>
        <w:ind w:firstLine="284"/>
        <w:jc w:val="both"/>
        <w:rPr>
          <w:rFonts w:asciiTheme="minorHAnsi" w:hAnsiTheme="minorHAnsi" w:cstheme="minorHAnsi"/>
          <w:b/>
        </w:rPr>
      </w:pPr>
      <w:r>
        <w:rPr>
          <w:rFonts w:asciiTheme="minorHAnsi" w:hAnsiTheme="minorHAnsi" w:cstheme="minorHAnsi"/>
          <w:shd w:val="clear" w:color="auto" w:fill="FFFFFF"/>
        </w:rPr>
        <w:t>F</w:t>
      </w:r>
      <w:r w:rsidR="00DF5B90" w:rsidRPr="00DF5B90">
        <w:rPr>
          <w:rFonts w:asciiTheme="minorHAnsi" w:hAnsiTheme="minorHAnsi" w:cstheme="minorHAnsi"/>
          <w:shd w:val="clear" w:color="auto" w:fill="FFFFFF"/>
        </w:rPr>
        <w:t xml:space="preserve">uture </w:t>
      </w:r>
      <w:r>
        <w:rPr>
          <w:rFonts w:asciiTheme="minorHAnsi" w:hAnsiTheme="minorHAnsi" w:cstheme="minorHAnsi"/>
          <w:shd w:val="clear" w:color="auto" w:fill="FFFFFF"/>
        </w:rPr>
        <w:t>study</w:t>
      </w:r>
      <w:r w:rsidR="00DF5B90" w:rsidRPr="00DF5B90">
        <w:rPr>
          <w:rFonts w:asciiTheme="minorHAnsi" w:hAnsiTheme="minorHAnsi" w:cstheme="minorHAnsi"/>
          <w:shd w:val="clear" w:color="auto" w:fill="FFFFFF"/>
        </w:rPr>
        <w:t xml:space="preserve"> can be conducted by extending the period as this research only extends to the ongoing Hamas-Israel conflict. In addition, the research can also be expanded by adding a period that includes future issues. To maximize the test results obtained, conducting tests using more sophisticated and complex analysis methods.</w:t>
      </w:r>
    </w:p>
    <w:p w14:paraId="7FCBF73C" w14:textId="22784B2C" w:rsidR="00B074A6" w:rsidRDefault="000C6621" w:rsidP="00DF5B90">
      <w:pPr>
        <w:pStyle w:val="DaftarParagraf"/>
        <w:numPr>
          <w:ilvl w:val="0"/>
          <w:numId w:val="3"/>
        </w:numPr>
        <w:spacing w:line="240" w:lineRule="auto"/>
        <w:ind w:left="284" w:hanging="284"/>
        <w:jc w:val="both"/>
        <w:rPr>
          <w:rFonts w:asciiTheme="minorHAnsi" w:hAnsiTheme="minorHAnsi" w:cstheme="minorHAnsi"/>
          <w:b/>
        </w:rPr>
      </w:pPr>
      <w:r>
        <w:rPr>
          <w:rFonts w:asciiTheme="minorHAnsi" w:hAnsiTheme="minorHAnsi" w:cstheme="minorHAnsi"/>
          <w:b/>
        </w:rPr>
        <w:t>REFERENCES</w:t>
      </w:r>
    </w:p>
    <w:p w14:paraId="0293C2C1" w14:textId="576ABEB2" w:rsidR="00644876" w:rsidRPr="00644876" w:rsidRDefault="00644876" w:rsidP="00644876">
      <w:pPr>
        <w:widowControl w:val="0"/>
        <w:autoSpaceDE w:val="0"/>
        <w:autoSpaceDN w:val="0"/>
        <w:adjustRightInd w:val="0"/>
        <w:spacing w:line="240" w:lineRule="auto"/>
        <w:ind w:left="480" w:hanging="480"/>
        <w:jc w:val="both"/>
        <w:rPr>
          <w:noProof/>
        </w:rPr>
      </w:pPr>
      <w:r>
        <w:rPr>
          <w:rFonts w:asciiTheme="minorHAnsi" w:hAnsiTheme="minorHAnsi" w:cstheme="minorHAnsi"/>
          <w:b/>
        </w:rPr>
        <w:fldChar w:fldCharType="begin" w:fldLock="1"/>
      </w:r>
      <w:r>
        <w:rPr>
          <w:rFonts w:asciiTheme="minorHAnsi" w:hAnsiTheme="minorHAnsi" w:cstheme="minorHAnsi"/>
          <w:b/>
        </w:rPr>
        <w:instrText xml:space="preserve">ADDIN Mendeley Bibliography CSL_BIBLIOGRAPHY </w:instrText>
      </w:r>
      <w:r>
        <w:rPr>
          <w:rFonts w:asciiTheme="minorHAnsi" w:hAnsiTheme="minorHAnsi" w:cstheme="minorHAnsi"/>
          <w:b/>
        </w:rPr>
        <w:fldChar w:fldCharType="separate"/>
      </w:r>
      <w:r w:rsidRPr="00644876">
        <w:rPr>
          <w:noProof/>
        </w:rPr>
        <w:t xml:space="preserve">Adubisi, O. D., Abdulkadir, A., &amp; Adashu, D. J. (2023). Improved parameter estimators for the flexible extended skew-t model with extensive simulations, applications and volatility modeling. </w:t>
      </w:r>
      <w:r w:rsidRPr="00644876">
        <w:rPr>
          <w:i/>
          <w:iCs/>
          <w:noProof/>
        </w:rPr>
        <w:t>Scientific African</w:t>
      </w:r>
      <w:r w:rsidRPr="00644876">
        <w:rPr>
          <w:noProof/>
        </w:rPr>
        <w:t xml:space="preserve">, </w:t>
      </w:r>
      <w:r w:rsidRPr="00644876">
        <w:rPr>
          <w:i/>
          <w:iCs/>
          <w:noProof/>
        </w:rPr>
        <w:t>19</w:t>
      </w:r>
      <w:r w:rsidRPr="00644876">
        <w:rPr>
          <w:noProof/>
        </w:rPr>
        <w:t>, 1–27. https://doi.org/10.1016/j.sciaf.2022.e01443</w:t>
      </w:r>
    </w:p>
    <w:p w14:paraId="79A31ADC" w14:textId="77777777" w:rsidR="00644876" w:rsidRPr="00644876" w:rsidRDefault="00644876" w:rsidP="00644876">
      <w:pPr>
        <w:widowControl w:val="0"/>
        <w:autoSpaceDE w:val="0"/>
        <w:autoSpaceDN w:val="0"/>
        <w:adjustRightInd w:val="0"/>
        <w:spacing w:line="240" w:lineRule="auto"/>
        <w:ind w:left="480" w:hanging="480"/>
        <w:jc w:val="both"/>
        <w:rPr>
          <w:noProof/>
        </w:rPr>
      </w:pPr>
      <w:r w:rsidRPr="00644876">
        <w:rPr>
          <w:noProof/>
        </w:rPr>
        <w:t xml:space="preserve">Alam, M. K., Tabash, M. I., Billah, M., Kumar, S., &amp; Anagreh, S. (2022). The impacts of the Russia–Ukraine invasion on global markets and commodities: a dynamic connectedness among G7 and BRIC markets. </w:t>
      </w:r>
      <w:r w:rsidRPr="00644876">
        <w:rPr>
          <w:i/>
          <w:iCs/>
          <w:noProof/>
        </w:rPr>
        <w:t>Journal of Risk and Financial Management</w:t>
      </w:r>
      <w:r w:rsidRPr="00644876">
        <w:rPr>
          <w:noProof/>
        </w:rPr>
        <w:t xml:space="preserve">, </w:t>
      </w:r>
      <w:r w:rsidRPr="00644876">
        <w:rPr>
          <w:i/>
          <w:iCs/>
          <w:noProof/>
        </w:rPr>
        <w:t>15</w:t>
      </w:r>
      <w:r w:rsidRPr="00644876">
        <w:rPr>
          <w:noProof/>
        </w:rPr>
        <w:t>(8), 1–20. https://doi.org/10.3390/jrfm15080352</w:t>
      </w:r>
    </w:p>
    <w:p w14:paraId="1E1E3E94" w14:textId="77777777" w:rsidR="00644876" w:rsidRPr="00644876" w:rsidRDefault="00644876" w:rsidP="00644876">
      <w:pPr>
        <w:widowControl w:val="0"/>
        <w:autoSpaceDE w:val="0"/>
        <w:autoSpaceDN w:val="0"/>
        <w:adjustRightInd w:val="0"/>
        <w:spacing w:line="240" w:lineRule="auto"/>
        <w:ind w:left="480" w:hanging="480"/>
        <w:jc w:val="both"/>
        <w:rPr>
          <w:noProof/>
        </w:rPr>
      </w:pPr>
      <w:r w:rsidRPr="00644876">
        <w:rPr>
          <w:noProof/>
        </w:rPr>
        <w:t xml:space="preserve">Beraich, M., Amzile, K., Laamire, J., Zirari, O., &amp; Fadali, M. A. (2022). Volatility spillover effects of the US, European and Chinese financial markets in the context of the Russia–Ukraine conflict. </w:t>
      </w:r>
      <w:r w:rsidRPr="00644876">
        <w:rPr>
          <w:i/>
          <w:iCs/>
          <w:noProof/>
        </w:rPr>
        <w:t>International Journal of Financial Studies</w:t>
      </w:r>
      <w:r w:rsidRPr="00644876">
        <w:rPr>
          <w:noProof/>
        </w:rPr>
        <w:t xml:space="preserve">, </w:t>
      </w:r>
      <w:r w:rsidRPr="00644876">
        <w:rPr>
          <w:i/>
          <w:iCs/>
          <w:noProof/>
        </w:rPr>
        <w:t>10</w:t>
      </w:r>
      <w:r w:rsidRPr="00644876">
        <w:rPr>
          <w:noProof/>
        </w:rPr>
        <w:t>(4), 1–18. https://doi.org/10.3390/ijfs10040095</w:t>
      </w:r>
    </w:p>
    <w:p w14:paraId="09537F4C" w14:textId="77777777" w:rsidR="00644876" w:rsidRPr="00644876" w:rsidRDefault="00644876" w:rsidP="00644876">
      <w:pPr>
        <w:widowControl w:val="0"/>
        <w:autoSpaceDE w:val="0"/>
        <w:autoSpaceDN w:val="0"/>
        <w:adjustRightInd w:val="0"/>
        <w:spacing w:line="240" w:lineRule="auto"/>
        <w:ind w:left="480" w:hanging="480"/>
        <w:jc w:val="both"/>
        <w:rPr>
          <w:noProof/>
        </w:rPr>
      </w:pPr>
      <w:r w:rsidRPr="00644876">
        <w:rPr>
          <w:noProof/>
        </w:rPr>
        <w:t xml:space="preserve">Bhatti, A. A., Jamali, M. A., Khokhar, M., &amp; Buriro, M. H. (2023). The impact of gold, oil prices, and their associated implied volatilities on performance of Pakistan’s stock market. </w:t>
      </w:r>
      <w:r w:rsidRPr="00644876">
        <w:rPr>
          <w:i/>
          <w:iCs/>
          <w:noProof/>
        </w:rPr>
        <w:t>Pakistan Journal of Humanities and Social Sciences</w:t>
      </w:r>
      <w:r w:rsidRPr="00644876">
        <w:rPr>
          <w:noProof/>
        </w:rPr>
        <w:t xml:space="preserve">, </w:t>
      </w:r>
      <w:r w:rsidRPr="00644876">
        <w:rPr>
          <w:i/>
          <w:iCs/>
          <w:noProof/>
        </w:rPr>
        <w:t>11</w:t>
      </w:r>
      <w:r w:rsidRPr="00644876">
        <w:rPr>
          <w:noProof/>
        </w:rPr>
        <w:t>(2), 1336–1349. https://doi.org/10.52131/pjhss.2023.1102.0441</w:t>
      </w:r>
    </w:p>
    <w:p w14:paraId="40CF659B" w14:textId="77777777" w:rsidR="00644876" w:rsidRPr="00644876" w:rsidRDefault="00644876" w:rsidP="00644876">
      <w:pPr>
        <w:widowControl w:val="0"/>
        <w:autoSpaceDE w:val="0"/>
        <w:autoSpaceDN w:val="0"/>
        <w:adjustRightInd w:val="0"/>
        <w:spacing w:line="240" w:lineRule="auto"/>
        <w:ind w:left="480" w:hanging="480"/>
        <w:jc w:val="both"/>
        <w:rPr>
          <w:noProof/>
        </w:rPr>
      </w:pPr>
      <w:r w:rsidRPr="00644876">
        <w:rPr>
          <w:noProof/>
        </w:rPr>
        <w:t xml:space="preserve">Cao, W., &amp; He, T. (2019). Predictability of financial crisis via pair coupling of commodity market and stock market. </w:t>
      </w:r>
      <w:r w:rsidRPr="00644876">
        <w:rPr>
          <w:i/>
          <w:iCs/>
          <w:noProof/>
        </w:rPr>
        <w:t>Journal of Finance and Accounting</w:t>
      </w:r>
      <w:r w:rsidRPr="00644876">
        <w:rPr>
          <w:noProof/>
        </w:rPr>
        <w:t xml:space="preserve">, </w:t>
      </w:r>
      <w:r w:rsidRPr="00644876">
        <w:rPr>
          <w:i/>
          <w:iCs/>
          <w:noProof/>
        </w:rPr>
        <w:t>7</w:t>
      </w:r>
      <w:r w:rsidRPr="00644876">
        <w:rPr>
          <w:noProof/>
        </w:rPr>
        <w:t>(1), 9–16. https://doi.org/10.11648/j.jfa.20190701.12</w:t>
      </w:r>
    </w:p>
    <w:p w14:paraId="6F79BF13" w14:textId="77777777" w:rsidR="00644876" w:rsidRPr="00644876" w:rsidRDefault="00644876" w:rsidP="00644876">
      <w:pPr>
        <w:widowControl w:val="0"/>
        <w:autoSpaceDE w:val="0"/>
        <w:autoSpaceDN w:val="0"/>
        <w:adjustRightInd w:val="0"/>
        <w:spacing w:line="240" w:lineRule="auto"/>
        <w:ind w:left="480" w:hanging="480"/>
        <w:jc w:val="both"/>
        <w:rPr>
          <w:noProof/>
        </w:rPr>
      </w:pPr>
      <w:r w:rsidRPr="00644876">
        <w:rPr>
          <w:noProof/>
        </w:rPr>
        <w:t xml:space="preserve">Chai, J., Zhao, C., Hu, Y., &amp; Zhang, Z. G. (2021). Structural analysis and forecast of gold price returns. </w:t>
      </w:r>
      <w:r w:rsidRPr="00644876">
        <w:rPr>
          <w:i/>
          <w:iCs/>
          <w:noProof/>
        </w:rPr>
        <w:t>Journal of Management Science and Engineering</w:t>
      </w:r>
      <w:r w:rsidRPr="00644876">
        <w:rPr>
          <w:noProof/>
        </w:rPr>
        <w:t xml:space="preserve">, </w:t>
      </w:r>
      <w:r w:rsidRPr="00644876">
        <w:rPr>
          <w:i/>
          <w:iCs/>
          <w:noProof/>
        </w:rPr>
        <w:t>6</w:t>
      </w:r>
      <w:r w:rsidRPr="00644876">
        <w:rPr>
          <w:noProof/>
        </w:rPr>
        <w:t>(2), 135–145. https://doi.org/10.1016/j.jmse.2021.02.011</w:t>
      </w:r>
    </w:p>
    <w:p w14:paraId="2CA43EF4" w14:textId="77777777" w:rsidR="00644876" w:rsidRPr="00644876" w:rsidRDefault="00644876" w:rsidP="00644876">
      <w:pPr>
        <w:widowControl w:val="0"/>
        <w:autoSpaceDE w:val="0"/>
        <w:autoSpaceDN w:val="0"/>
        <w:adjustRightInd w:val="0"/>
        <w:spacing w:line="240" w:lineRule="auto"/>
        <w:ind w:left="480" w:hanging="480"/>
        <w:jc w:val="both"/>
        <w:rPr>
          <w:noProof/>
        </w:rPr>
      </w:pPr>
      <w:r w:rsidRPr="00644876">
        <w:rPr>
          <w:noProof/>
        </w:rPr>
        <w:t xml:space="preserve">Cui, M., Wong, W., Wisetsri, W., Mabrouk, F., Muda, I., Li, Z., &amp; Hassan, M. (2023). Do oil, gold and metallic price volatilities prove gold as a safe haven during COVID-19 pandemic? Novel evidence from COVID-19 data. </w:t>
      </w:r>
      <w:r w:rsidRPr="00644876">
        <w:rPr>
          <w:i/>
          <w:iCs/>
          <w:noProof/>
        </w:rPr>
        <w:t>Resources Policy</w:t>
      </w:r>
      <w:r w:rsidRPr="00644876">
        <w:rPr>
          <w:noProof/>
        </w:rPr>
        <w:t xml:space="preserve">, </w:t>
      </w:r>
      <w:r w:rsidRPr="00644876">
        <w:rPr>
          <w:i/>
          <w:iCs/>
          <w:noProof/>
        </w:rPr>
        <w:t>80</w:t>
      </w:r>
      <w:r w:rsidRPr="00644876">
        <w:rPr>
          <w:noProof/>
        </w:rPr>
        <w:t>, 103133–103141. https://doi.org/10.1016/j.resourpol.2022.103133</w:t>
      </w:r>
    </w:p>
    <w:p w14:paraId="340FE4A4" w14:textId="77777777" w:rsidR="00644876" w:rsidRPr="00644876" w:rsidRDefault="00644876" w:rsidP="00644876">
      <w:pPr>
        <w:widowControl w:val="0"/>
        <w:autoSpaceDE w:val="0"/>
        <w:autoSpaceDN w:val="0"/>
        <w:adjustRightInd w:val="0"/>
        <w:spacing w:line="240" w:lineRule="auto"/>
        <w:ind w:left="480" w:hanging="480"/>
        <w:jc w:val="both"/>
        <w:rPr>
          <w:noProof/>
        </w:rPr>
      </w:pPr>
      <w:r w:rsidRPr="00644876">
        <w:rPr>
          <w:noProof/>
        </w:rPr>
        <w:t xml:space="preserve">Darie, F. C., &amp; Miron, A. D. (2023). Bitcoin, gold and crude oil versus the US Dollar – a GARCH volatility analysis. </w:t>
      </w:r>
      <w:r w:rsidRPr="00644876">
        <w:rPr>
          <w:i/>
          <w:iCs/>
          <w:noProof/>
        </w:rPr>
        <w:t>Proceedings of the International Conference on Business Excellence</w:t>
      </w:r>
      <w:r w:rsidRPr="00644876">
        <w:rPr>
          <w:noProof/>
        </w:rPr>
        <w:t xml:space="preserve">, </w:t>
      </w:r>
      <w:r w:rsidRPr="00644876">
        <w:rPr>
          <w:i/>
          <w:iCs/>
          <w:noProof/>
        </w:rPr>
        <w:t>17</w:t>
      </w:r>
      <w:r w:rsidRPr="00644876">
        <w:rPr>
          <w:noProof/>
        </w:rPr>
        <w:t>(1), 254–265. https://doi.org/10.2478/picbe-2023-0027</w:t>
      </w:r>
    </w:p>
    <w:p w14:paraId="60C344CA" w14:textId="77777777" w:rsidR="00644876" w:rsidRPr="00644876" w:rsidRDefault="00644876" w:rsidP="00644876">
      <w:pPr>
        <w:widowControl w:val="0"/>
        <w:autoSpaceDE w:val="0"/>
        <w:autoSpaceDN w:val="0"/>
        <w:adjustRightInd w:val="0"/>
        <w:spacing w:line="240" w:lineRule="auto"/>
        <w:ind w:left="480" w:hanging="480"/>
        <w:jc w:val="both"/>
        <w:rPr>
          <w:noProof/>
        </w:rPr>
      </w:pPr>
      <w:r w:rsidRPr="00644876">
        <w:rPr>
          <w:noProof/>
        </w:rPr>
        <w:t xml:space="preserve">Demirer, R., Gupta, R., Lv, Z., &amp; Wong, W.-K. (2019). Equity return dispersion and stock market volatility: evidence from multivariate linear and nonlinear causality tests. </w:t>
      </w:r>
      <w:r w:rsidRPr="00644876">
        <w:rPr>
          <w:i/>
          <w:iCs/>
          <w:noProof/>
        </w:rPr>
        <w:t>Sustainability</w:t>
      </w:r>
      <w:r w:rsidRPr="00644876">
        <w:rPr>
          <w:noProof/>
        </w:rPr>
        <w:t xml:space="preserve">, </w:t>
      </w:r>
      <w:r w:rsidRPr="00644876">
        <w:rPr>
          <w:i/>
          <w:iCs/>
          <w:noProof/>
        </w:rPr>
        <w:t>11</w:t>
      </w:r>
      <w:r w:rsidRPr="00644876">
        <w:rPr>
          <w:noProof/>
        </w:rPr>
        <w:t>(2), 351–365. https://doi.org/10.3390/su11020351</w:t>
      </w:r>
    </w:p>
    <w:p w14:paraId="3E32D1B9" w14:textId="77777777" w:rsidR="00644876" w:rsidRPr="00644876" w:rsidRDefault="00644876" w:rsidP="00644876">
      <w:pPr>
        <w:widowControl w:val="0"/>
        <w:autoSpaceDE w:val="0"/>
        <w:autoSpaceDN w:val="0"/>
        <w:adjustRightInd w:val="0"/>
        <w:spacing w:line="240" w:lineRule="auto"/>
        <w:ind w:left="480" w:hanging="480"/>
        <w:jc w:val="both"/>
        <w:rPr>
          <w:noProof/>
        </w:rPr>
      </w:pPr>
      <w:r w:rsidRPr="00644876">
        <w:rPr>
          <w:noProof/>
        </w:rPr>
        <w:t xml:space="preserve">Elsayed, A. H., &amp; Helmi, M. H. (2021). Volatility transmission and spillover dynamics across financial markets: the role of geopolitical risk. </w:t>
      </w:r>
      <w:r w:rsidRPr="00644876">
        <w:rPr>
          <w:i/>
          <w:iCs/>
          <w:noProof/>
        </w:rPr>
        <w:t>Annals of Operations Research</w:t>
      </w:r>
      <w:r w:rsidRPr="00644876">
        <w:rPr>
          <w:noProof/>
        </w:rPr>
        <w:t xml:space="preserve">, </w:t>
      </w:r>
      <w:r w:rsidRPr="00644876">
        <w:rPr>
          <w:i/>
          <w:iCs/>
          <w:noProof/>
        </w:rPr>
        <w:t>305</w:t>
      </w:r>
      <w:r w:rsidRPr="00644876">
        <w:rPr>
          <w:noProof/>
        </w:rPr>
        <w:t>(1–2), 1–22. https://doi.org/10.1007/s10479-021-04081-5</w:t>
      </w:r>
    </w:p>
    <w:p w14:paraId="3EA485F7" w14:textId="77777777" w:rsidR="00644876" w:rsidRPr="00644876" w:rsidRDefault="00644876" w:rsidP="00644876">
      <w:pPr>
        <w:widowControl w:val="0"/>
        <w:autoSpaceDE w:val="0"/>
        <w:autoSpaceDN w:val="0"/>
        <w:adjustRightInd w:val="0"/>
        <w:spacing w:line="240" w:lineRule="auto"/>
        <w:ind w:left="480" w:hanging="480"/>
        <w:jc w:val="both"/>
        <w:rPr>
          <w:noProof/>
        </w:rPr>
      </w:pPr>
      <w:r w:rsidRPr="00644876">
        <w:rPr>
          <w:noProof/>
        </w:rPr>
        <w:t xml:space="preserve">Erek, M. S. (2021). Examining US dollar Index ( DXY ) movements by examining US Dollar Index ( DXY ) movements by Monte Carlo simulation. </w:t>
      </w:r>
      <w:r w:rsidRPr="00644876">
        <w:rPr>
          <w:i/>
          <w:iCs/>
          <w:noProof/>
        </w:rPr>
        <w:t>Research Gate</w:t>
      </w:r>
      <w:r w:rsidRPr="00644876">
        <w:rPr>
          <w:noProof/>
        </w:rPr>
        <w:t>, 191–201. https://www.researchgate.net/publication/351108936</w:t>
      </w:r>
    </w:p>
    <w:p w14:paraId="48B433D0" w14:textId="77777777" w:rsidR="00644876" w:rsidRPr="00644876" w:rsidRDefault="00644876" w:rsidP="00644876">
      <w:pPr>
        <w:widowControl w:val="0"/>
        <w:autoSpaceDE w:val="0"/>
        <w:autoSpaceDN w:val="0"/>
        <w:adjustRightInd w:val="0"/>
        <w:spacing w:line="240" w:lineRule="auto"/>
        <w:ind w:left="480" w:hanging="480"/>
        <w:jc w:val="both"/>
        <w:rPr>
          <w:noProof/>
        </w:rPr>
      </w:pPr>
      <w:r w:rsidRPr="00644876">
        <w:rPr>
          <w:noProof/>
        </w:rPr>
        <w:t xml:space="preserve">Ghani, M., Guo, Q., Ma, F., &amp; Li, T. (2022). Forecasting Pakistan stock market volatility: evidence from economic variables and the uncertainty index. </w:t>
      </w:r>
      <w:r w:rsidRPr="00644876">
        <w:rPr>
          <w:i/>
          <w:iCs/>
          <w:noProof/>
        </w:rPr>
        <w:t>International Review of Economics &amp; Finance</w:t>
      </w:r>
      <w:r w:rsidRPr="00644876">
        <w:rPr>
          <w:noProof/>
        </w:rPr>
        <w:t xml:space="preserve">, </w:t>
      </w:r>
      <w:r w:rsidRPr="00644876">
        <w:rPr>
          <w:i/>
          <w:iCs/>
          <w:noProof/>
        </w:rPr>
        <w:t>80</w:t>
      </w:r>
      <w:r w:rsidRPr="00644876">
        <w:rPr>
          <w:noProof/>
        </w:rPr>
        <w:t>, 1180–1189. https://doi.org/10.1016/j.iref.2022.04.003</w:t>
      </w:r>
    </w:p>
    <w:p w14:paraId="44349FA8" w14:textId="77777777" w:rsidR="00644876" w:rsidRPr="00644876" w:rsidRDefault="00644876" w:rsidP="00644876">
      <w:pPr>
        <w:widowControl w:val="0"/>
        <w:autoSpaceDE w:val="0"/>
        <w:autoSpaceDN w:val="0"/>
        <w:adjustRightInd w:val="0"/>
        <w:spacing w:line="240" w:lineRule="auto"/>
        <w:ind w:left="480" w:hanging="480"/>
        <w:jc w:val="both"/>
        <w:rPr>
          <w:noProof/>
        </w:rPr>
      </w:pPr>
      <w:r w:rsidRPr="00644876">
        <w:rPr>
          <w:noProof/>
        </w:rPr>
        <w:t xml:space="preserve">Guild, E., &amp; Groenendijk, K. (2023). The impact of war in Ukraine on EU migration. </w:t>
      </w:r>
      <w:r w:rsidRPr="00644876">
        <w:rPr>
          <w:i/>
          <w:iCs/>
          <w:noProof/>
        </w:rPr>
        <w:t>Frontiers in Human Dynamics</w:t>
      </w:r>
      <w:r w:rsidRPr="00644876">
        <w:rPr>
          <w:noProof/>
        </w:rPr>
        <w:t xml:space="preserve">, </w:t>
      </w:r>
      <w:r w:rsidRPr="00644876">
        <w:rPr>
          <w:i/>
          <w:iCs/>
          <w:noProof/>
        </w:rPr>
        <w:t>5</w:t>
      </w:r>
      <w:r w:rsidRPr="00644876">
        <w:rPr>
          <w:noProof/>
        </w:rPr>
        <w:t>(2), 267–277. https://doi.org/10.3389/fhumd.2023.1189625</w:t>
      </w:r>
    </w:p>
    <w:p w14:paraId="31DDDBDB" w14:textId="77777777" w:rsidR="00644876" w:rsidRPr="00644876" w:rsidRDefault="00644876" w:rsidP="00644876">
      <w:pPr>
        <w:widowControl w:val="0"/>
        <w:autoSpaceDE w:val="0"/>
        <w:autoSpaceDN w:val="0"/>
        <w:adjustRightInd w:val="0"/>
        <w:spacing w:line="240" w:lineRule="auto"/>
        <w:ind w:left="480" w:hanging="480"/>
        <w:jc w:val="both"/>
        <w:rPr>
          <w:noProof/>
        </w:rPr>
      </w:pPr>
      <w:r w:rsidRPr="00644876">
        <w:rPr>
          <w:noProof/>
        </w:rPr>
        <w:t xml:space="preserve">Hapau, R. G. (2023). Capital market volatility during crises: oil price insights, VIX index, and gold price analysis. </w:t>
      </w:r>
      <w:r w:rsidRPr="00644876">
        <w:rPr>
          <w:i/>
          <w:iCs/>
          <w:noProof/>
        </w:rPr>
        <w:t>Management and Marketing</w:t>
      </w:r>
      <w:r w:rsidRPr="00644876">
        <w:rPr>
          <w:noProof/>
        </w:rPr>
        <w:t xml:space="preserve">, </w:t>
      </w:r>
      <w:r w:rsidRPr="00644876">
        <w:rPr>
          <w:i/>
          <w:iCs/>
          <w:noProof/>
        </w:rPr>
        <w:t>18</w:t>
      </w:r>
      <w:r w:rsidRPr="00644876">
        <w:rPr>
          <w:noProof/>
        </w:rPr>
        <w:t>(3), 290–314. https://doi.org/10.2478/mmcks-2023-0016</w:t>
      </w:r>
    </w:p>
    <w:p w14:paraId="1565F5BA" w14:textId="77777777" w:rsidR="00644876" w:rsidRPr="00644876" w:rsidRDefault="00644876" w:rsidP="00644876">
      <w:pPr>
        <w:widowControl w:val="0"/>
        <w:autoSpaceDE w:val="0"/>
        <w:autoSpaceDN w:val="0"/>
        <w:adjustRightInd w:val="0"/>
        <w:spacing w:line="240" w:lineRule="auto"/>
        <w:ind w:left="480" w:hanging="480"/>
        <w:jc w:val="both"/>
        <w:rPr>
          <w:noProof/>
        </w:rPr>
      </w:pPr>
      <w:r w:rsidRPr="00644876">
        <w:rPr>
          <w:noProof/>
        </w:rPr>
        <w:t xml:space="preserve">Khan, M., Kayani, U. N., Khan, M., Mughal, K. S., &amp; Haseeb, M. (2023). COVID-19 pandemic &amp; financial market volatility; evidence from GARCH models. </w:t>
      </w:r>
      <w:r w:rsidRPr="00644876">
        <w:rPr>
          <w:i/>
          <w:iCs/>
          <w:noProof/>
        </w:rPr>
        <w:t>Journal of Risk and Financial Management</w:t>
      </w:r>
      <w:r w:rsidRPr="00644876">
        <w:rPr>
          <w:noProof/>
        </w:rPr>
        <w:t xml:space="preserve">, </w:t>
      </w:r>
      <w:r w:rsidRPr="00644876">
        <w:rPr>
          <w:i/>
          <w:iCs/>
          <w:noProof/>
        </w:rPr>
        <w:t>16</w:t>
      </w:r>
      <w:r w:rsidRPr="00644876">
        <w:rPr>
          <w:noProof/>
        </w:rPr>
        <w:t>(1), 50–69. https://doi.org/10.3390/jrfm16010050</w:t>
      </w:r>
    </w:p>
    <w:p w14:paraId="039095A0" w14:textId="77777777" w:rsidR="00644876" w:rsidRPr="00644876" w:rsidRDefault="00644876" w:rsidP="00644876">
      <w:pPr>
        <w:widowControl w:val="0"/>
        <w:autoSpaceDE w:val="0"/>
        <w:autoSpaceDN w:val="0"/>
        <w:adjustRightInd w:val="0"/>
        <w:spacing w:line="240" w:lineRule="auto"/>
        <w:ind w:left="480" w:hanging="480"/>
        <w:jc w:val="both"/>
        <w:rPr>
          <w:noProof/>
        </w:rPr>
      </w:pPr>
      <w:r w:rsidRPr="00644876">
        <w:rPr>
          <w:noProof/>
        </w:rPr>
        <w:t xml:space="preserve">Kim, Y. K., Go, M. H., Kim, S., Lee, J., &amp; Lee, K. (2023). Evaluating cybersecurity capacity building of ASEAN Plus Three through social network analysis. </w:t>
      </w:r>
      <w:r w:rsidRPr="00644876">
        <w:rPr>
          <w:i/>
          <w:iCs/>
          <w:noProof/>
        </w:rPr>
        <w:t>Journal of Internet Technology</w:t>
      </w:r>
      <w:r w:rsidRPr="00644876">
        <w:rPr>
          <w:noProof/>
        </w:rPr>
        <w:t xml:space="preserve">, </w:t>
      </w:r>
      <w:r w:rsidRPr="00644876">
        <w:rPr>
          <w:i/>
          <w:iCs/>
          <w:noProof/>
        </w:rPr>
        <w:t>24</w:t>
      </w:r>
      <w:r w:rsidRPr="00644876">
        <w:rPr>
          <w:noProof/>
        </w:rPr>
        <w:t>(2), 495–505. https://doi.org/10.53106/160792642023032402031</w:t>
      </w:r>
    </w:p>
    <w:p w14:paraId="5CC8BF50" w14:textId="77777777" w:rsidR="00644876" w:rsidRPr="00644876" w:rsidRDefault="00644876" w:rsidP="00644876">
      <w:pPr>
        <w:widowControl w:val="0"/>
        <w:autoSpaceDE w:val="0"/>
        <w:autoSpaceDN w:val="0"/>
        <w:adjustRightInd w:val="0"/>
        <w:spacing w:line="240" w:lineRule="auto"/>
        <w:ind w:left="480" w:hanging="480"/>
        <w:jc w:val="both"/>
        <w:rPr>
          <w:noProof/>
        </w:rPr>
      </w:pPr>
      <w:r w:rsidRPr="00644876">
        <w:rPr>
          <w:noProof/>
        </w:rPr>
        <w:t xml:space="preserve">Li, Y. (2023). The Dollar index, the correlation between the dollar circulation and the Dollar interest rate ——— Based on TVP-VAR, an empirical analysis of the modelr. </w:t>
      </w:r>
      <w:r w:rsidRPr="00644876">
        <w:rPr>
          <w:i/>
          <w:iCs/>
          <w:noProof/>
        </w:rPr>
        <w:t>Advances in Economics and Management Research</w:t>
      </w:r>
      <w:r w:rsidRPr="00644876">
        <w:rPr>
          <w:noProof/>
        </w:rPr>
        <w:t xml:space="preserve">, </w:t>
      </w:r>
      <w:r w:rsidRPr="00644876">
        <w:rPr>
          <w:i/>
          <w:iCs/>
          <w:noProof/>
        </w:rPr>
        <w:t>7</w:t>
      </w:r>
      <w:r w:rsidRPr="00644876">
        <w:rPr>
          <w:noProof/>
        </w:rPr>
        <w:t>(1), 129–136. https://doi.org/10.56028/aemr.7.1.129.2023</w:t>
      </w:r>
    </w:p>
    <w:p w14:paraId="1C605601" w14:textId="77777777" w:rsidR="00644876" w:rsidRPr="00644876" w:rsidRDefault="00644876" w:rsidP="00644876">
      <w:pPr>
        <w:widowControl w:val="0"/>
        <w:autoSpaceDE w:val="0"/>
        <w:autoSpaceDN w:val="0"/>
        <w:adjustRightInd w:val="0"/>
        <w:spacing w:line="240" w:lineRule="auto"/>
        <w:ind w:left="480" w:hanging="480"/>
        <w:jc w:val="both"/>
        <w:rPr>
          <w:noProof/>
        </w:rPr>
      </w:pPr>
      <w:r w:rsidRPr="00644876">
        <w:rPr>
          <w:noProof/>
        </w:rPr>
        <w:t xml:space="preserve">Lian, Y.-M., Jhong, Y.-J., Wang, P.-H., &amp; Chen, W.-M. (2022). An empirical examination of VIX market fluctuations. </w:t>
      </w:r>
      <w:r w:rsidRPr="00644876">
        <w:rPr>
          <w:i/>
          <w:iCs/>
          <w:noProof/>
        </w:rPr>
        <w:t>Advances in Management and Applied Economics</w:t>
      </w:r>
      <w:r w:rsidRPr="00644876">
        <w:rPr>
          <w:noProof/>
        </w:rPr>
        <w:t xml:space="preserve">, </w:t>
      </w:r>
      <w:r w:rsidRPr="00644876">
        <w:rPr>
          <w:i/>
          <w:iCs/>
          <w:noProof/>
        </w:rPr>
        <w:t>12</w:t>
      </w:r>
      <w:r w:rsidRPr="00644876">
        <w:rPr>
          <w:noProof/>
        </w:rPr>
        <w:t>(4), 109–118. https://doi.org/10.47260/amae/1246</w:t>
      </w:r>
    </w:p>
    <w:p w14:paraId="36D01418" w14:textId="77777777" w:rsidR="00644876" w:rsidRPr="00644876" w:rsidRDefault="00644876" w:rsidP="00644876">
      <w:pPr>
        <w:widowControl w:val="0"/>
        <w:autoSpaceDE w:val="0"/>
        <w:autoSpaceDN w:val="0"/>
        <w:adjustRightInd w:val="0"/>
        <w:spacing w:line="240" w:lineRule="auto"/>
        <w:ind w:left="480" w:hanging="480"/>
        <w:jc w:val="both"/>
        <w:rPr>
          <w:noProof/>
        </w:rPr>
      </w:pPr>
      <w:r w:rsidRPr="00644876">
        <w:rPr>
          <w:noProof/>
        </w:rPr>
        <w:t xml:space="preserve">Liu, J., Wan, Y., Qu, S., Qing, R., &amp; Sriboonchitta, S. (2023). Dynamic correlation between the Chinese and the US financial markets: from global financial crisis to COVID-19 pandemic. </w:t>
      </w:r>
      <w:r w:rsidRPr="00644876">
        <w:rPr>
          <w:i/>
          <w:iCs/>
          <w:noProof/>
        </w:rPr>
        <w:t>Axioms</w:t>
      </w:r>
      <w:r w:rsidRPr="00644876">
        <w:rPr>
          <w:noProof/>
        </w:rPr>
        <w:t xml:space="preserve">, </w:t>
      </w:r>
      <w:r w:rsidRPr="00644876">
        <w:rPr>
          <w:i/>
          <w:iCs/>
          <w:noProof/>
        </w:rPr>
        <w:t>12</w:t>
      </w:r>
      <w:r w:rsidRPr="00644876">
        <w:rPr>
          <w:noProof/>
        </w:rPr>
        <w:t>(1), 1–19. https://doi.org/10.3390/axioms12010014</w:t>
      </w:r>
    </w:p>
    <w:p w14:paraId="679FAB3E" w14:textId="77777777" w:rsidR="00644876" w:rsidRPr="00644876" w:rsidRDefault="00644876" w:rsidP="00644876">
      <w:pPr>
        <w:widowControl w:val="0"/>
        <w:autoSpaceDE w:val="0"/>
        <w:autoSpaceDN w:val="0"/>
        <w:adjustRightInd w:val="0"/>
        <w:spacing w:line="240" w:lineRule="auto"/>
        <w:ind w:left="480" w:hanging="480"/>
        <w:jc w:val="both"/>
        <w:rPr>
          <w:noProof/>
        </w:rPr>
      </w:pPr>
      <w:r w:rsidRPr="00644876">
        <w:rPr>
          <w:noProof/>
        </w:rPr>
        <w:t xml:space="preserve">Ma, X., Yang, R., Zou, D., &amp; Liu, R. (2020). Measuring extreme risk of sustainable financial system using GJR-GARCH model trading data-based. </w:t>
      </w:r>
      <w:r w:rsidRPr="00644876">
        <w:rPr>
          <w:i/>
          <w:iCs/>
          <w:noProof/>
        </w:rPr>
        <w:t>International Journal of Information Management</w:t>
      </w:r>
      <w:r w:rsidRPr="00644876">
        <w:rPr>
          <w:noProof/>
        </w:rPr>
        <w:t xml:space="preserve">, </w:t>
      </w:r>
      <w:r w:rsidRPr="00644876">
        <w:rPr>
          <w:i/>
          <w:iCs/>
          <w:noProof/>
        </w:rPr>
        <w:t>50</w:t>
      </w:r>
      <w:r w:rsidRPr="00644876">
        <w:rPr>
          <w:noProof/>
        </w:rPr>
        <w:t>(December 2018), 526–537. https://doi.org/10.1016/j.ijinfomgt.2018.12.013</w:t>
      </w:r>
    </w:p>
    <w:p w14:paraId="73795125" w14:textId="77777777" w:rsidR="00644876" w:rsidRPr="00644876" w:rsidRDefault="00644876" w:rsidP="00644876">
      <w:pPr>
        <w:widowControl w:val="0"/>
        <w:autoSpaceDE w:val="0"/>
        <w:autoSpaceDN w:val="0"/>
        <w:adjustRightInd w:val="0"/>
        <w:spacing w:line="240" w:lineRule="auto"/>
        <w:ind w:left="480" w:hanging="480"/>
        <w:jc w:val="both"/>
        <w:rPr>
          <w:noProof/>
        </w:rPr>
      </w:pPr>
      <w:r w:rsidRPr="00644876">
        <w:rPr>
          <w:noProof/>
        </w:rPr>
        <w:t xml:space="preserve">Madžar, L., Karić, D., &amp; Mirjanić, B. (2023). Modelling the volatility of the global gold price by applying the ARCH/GARCH models. </w:t>
      </w:r>
      <w:r w:rsidRPr="00644876">
        <w:rPr>
          <w:i/>
          <w:iCs/>
          <w:noProof/>
        </w:rPr>
        <w:t>Ekonomika</w:t>
      </w:r>
      <w:r w:rsidRPr="00644876">
        <w:rPr>
          <w:noProof/>
        </w:rPr>
        <w:t xml:space="preserve">, </w:t>
      </w:r>
      <w:r w:rsidRPr="00644876">
        <w:rPr>
          <w:i/>
          <w:iCs/>
          <w:noProof/>
        </w:rPr>
        <w:t>69</w:t>
      </w:r>
      <w:r w:rsidRPr="00644876">
        <w:rPr>
          <w:noProof/>
        </w:rPr>
        <w:t>(2), 23–34. https://doi.org/10.5937/ekonomika2302023M</w:t>
      </w:r>
    </w:p>
    <w:p w14:paraId="102B00AA" w14:textId="77777777" w:rsidR="00644876" w:rsidRPr="00644876" w:rsidRDefault="00644876" w:rsidP="00644876">
      <w:pPr>
        <w:widowControl w:val="0"/>
        <w:autoSpaceDE w:val="0"/>
        <w:autoSpaceDN w:val="0"/>
        <w:adjustRightInd w:val="0"/>
        <w:spacing w:line="240" w:lineRule="auto"/>
        <w:ind w:left="480" w:hanging="480"/>
        <w:jc w:val="both"/>
        <w:rPr>
          <w:noProof/>
        </w:rPr>
      </w:pPr>
      <w:r w:rsidRPr="00644876">
        <w:rPr>
          <w:noProof/>
        </w:rPr>
        <w:t xml:space="preserve">Mahajan, V., Thakan, S., &amp; Malik, A. (2022). Modeling and forecasting the volatility of NIFTY 50 using GARCH and RNN models. </w:t>
      </w:r>
      <w:r w:rsidRPr="00644876">
        <w:rPr>
          <w:i/>
          <w:iCs/>
          <w:noProof/>
        </w:rPr>
        <w:t>Economies</w:t>
      </w:r>
      <w:r w:rsidRPr="00644876">
        <w:rPr>
          <w:noProof/>
        </w:rPr>
        <w:t xml:space="preserve">, </w:t>
      </w:r>
      <w:r w:rsidRPr="00644876">
        <w:rPr>
          <w:i/>
          <w:iCs/>
          <w:noProof/>
        </w:rPr>
        <w:t>10</w:t>
      </w:r>
      <w:r w:rsidRPr="00644876">
        <w:rPr>
          <w:noProof/>
        </w:rPr>
        <w:t>(5), 1–20. https://doi.org/10.3390/economies10050102</w:t>
      </w:r>
    </w:p>
    <w:p w14:paraId="5CC535EC" w14:textId="77777777" w:rsidR="00644876" w:rsidRPr="00644876" w:rsidRDefault="00644876" w:rsidP="00644876">
      <w:pPr>
        <w:widowControl w:val="0"/>
        <w:autoSpaceDE w:val="0"/>
        <w:autoSpaceDN w:val="0"/>
        <w:adjustRightInd w:val="0"/>
        <w:spacing w:line="240" w:lineRule="auto"/>
        <w:ind w:left="480" w:hanging="480"/>
        <w:jc w:val="both"/>
        <w:rPr>
          <w:noProof/>
        </w:rPr>
      </w:pPr>
      <w:r w:rsidRPr="00644876">
        <w:rPr>
          <w:noProof/>
        </w:rPr>
        <w:t xml:space="preserve">Mensi, W., Vo, X. V., &amp; Kang, S. H. (2022). COVID-19 pandemic’s impact on intraday volatility spillover between oil, gold, and stock markets. </w:t>
      </w:r>
      <w:r w:rsidRPr="00644876">
        <w:rPr>
          <w:i/>
          <w:iCs/>
          <w:noProof/>
        </w:rPr>
        <w:t>Economic Analysis and Policy</w:t>
      </w:r>
      <w:r w:rsidRPr="00644876">
        <w:rPr>
          <w:noProof/>
        </w:rPr>
        <w:t xml:space="preserve">, </w:t>
      </w:r>
      <w:r w:rsidRPr="00644876">
        <w:rPr>
          <w:i/>
          <w:iCs/>
          <w:noProof/>
        </w:rPr>
        <w:t>74</w:t>
      </w:r>
      <w:r w:rsidRPr="00644876">
        <w:rPr>
          <w:noProof/>
        </w:rPr>
        <w:t>, 702–715. https://doi.org/10.1016/j.eap.2022.04.001</w:t>
      </w:r>
    </w:p>
    <w:p w14:paraId="14B29978" w14:textId="77777777" w:rsidR="00644876" w:rsidRPr="00644876" w:rsidRDefault="00644876" w:rsidP="00644876">
      <w:pPr>
        <w:widowControl w:val="0"/>
        <w:autoSpaceDE w:val="0"/>
        <w:autoSpaceDN w:val="0"/>
        <w:adjustRightInd w:val="0"/>
        <w:spacing w:line="240" w:lineRule="auto"/>
        <w:ind w:left="480" w:hanging="480"/>
        <w:jc w:val="both"/>
        <w:rPr>
          <w:noProof/>
        </w:rPr>
      </w:pPr>
      <w:r w:rsidRPr="00644876">
        <w:rPr>
          <w:noProof/>
        </w:rPr>
        <w:t xml:space="preserve">Mensi, W., Vo, X. V., Ko, H. U., &amp; Kang, S. H. (2023). Frequency spillovers between green bonds, global factors and stock market before and during COVID-19 crisis. </w:t>
      </w:r>
      <w:r w:rsidRPr="00644876">
        <w:rPr>
          <w:i/>
          <w:iCs/>
          <w:noProof/>
        </w:rPr>
        <w:t>Economic Analysis and Policy</w:t>
      </w:r>
      <w:r w:rsidRPr="00644876">
        <w:rPr>
          <w:noProof/>
        </w:rPr>
        <w:t xml:space="preserve">, </w:t>
      </w:r>
      <w:r w:rsidRPr="00644876">
        <w:rPr>
          <w:i/>
          <w:iCs/>
          <w:noProof/>
        </w:rPr>
        <w:t>77</w:t>
      </w:r>
      <w:r w:rsidRPr="00644876">
        <w:rPr>
          <w:noProof/>
        </w:rPr>
        <w:t>, 558–580. https://doi.org/10.1016/j.eap.2022.12.010</w:t>
      </w:r>
    </w:p>
    <w:p w14:paraId="22B6584D" w14:textId="77777777" w:rsidR="00644876" w:rsidRPr="00644876" w:rsidRDefault="00644876" w:rsidP="00644876">
      <w:pPr>
        <w:widowControl w:val="0"/>
        <w:autoSpaceDE w:val="0"/>
        <w:autoSpaceDN w:val="0"/>
        <w:adjustRightInd w:val="0"/>
        <w:spacing w:line="240" w:lineRule="auto"/>
        <w:ind w:left="480" w:hanging="480"/>
        <w:jc w:val="both"/>
        <w:rPr>
          <w:noProof/>
        </w:rPr>
      </w:pPr>
      <w:r w:rsidRPr="00644876">
        <w:rPr>
          <w:noProof/>
        </w:rPr>
        <w:t xml:space="preserve">Mofema, V. M., &amp; Mah, G. (2021). An empirical analysis of volatility in South African oil prices. </w:t>
      </w:r>
      <w:r w:rsidRPr="00644876">
        <w:rPr>
          <w:i/>
          <w:iCs/>
          <w:noProof/>
        </w:rPr>
        <w:t>Journal of Energy in Southern Africa</w:t>
      </w:r>
      <w:r w:rsidRPr="00644876">
        <w:rPr>
          <w:noProof/>
        </w:rPr>
        <w:t xml:space="preserve">, </w:t>
      </w:r>
      <w:r w:rsidRPr="00644876">
        <w:rPr>
          <w:i/>
          <w:iCs/>
          <w:noProof/>
        </w:rPr>
        <w:t>32</w:t>
      </w:r>
      <w:r w:rsidRPr="00644876">
        <w:rPr>
          <w:noProof/>
        </w:rPr>
        <w:t>(3), 67–75. https://doi.org/10.17159/2413-3051/2021/v32i3a8852</w:t>
      </w:r>
    </w:p>
    <w:p w14:paraId="4866554B" w14:textId="77777777" w:rsidR="00644876" w:rsidRPr="00644876" w:rsidRDefault="00644876" w:rsidP="00644876">
      <w:pPr>
        <w:widowControl w:val="0"/>
        <w:autoSpaceDE w:val="0"/>
        <w:autoSpaceDN w:val="0"/>
        <w:adjustRightInd w:val="0"/>
        <w:spacing w:line="240" w:lineRule="auto"/>
        <w:ind w:left="480" w:hanging="480"/>
        <w:jc w:val="both"/>
        <w:rPr>
          <w:noProof/>
        </w:rPr>
      </w:pPr>
      <w:r w:rsidRPr="00644876">
        <w:rPr>
          <w:noProof/>
        </w:rPr>
        <w:t xml:space="preserve">Mu, S., Huang, G., Li, P., &amp; Hou, Y. (2022). A Study on volatility spillovers among international stock markets during the Russia-Ukraine conflict. </w:t>
      </w:r>
      <w:r w:rsidRPr="00644876">
        <w:rPr>
          <w:i/>
          <w:iCs/>
          <w:noProof/>
        </w:rPr>
        <w:t>Discrete Dynamics in Nature and Society</w:t>
      </w:r>
      <w:r w:rsidRPr="00644876">
        <w:rPr>
          <w:noProof/>
        </w:rPr>
        <w:t xml:space="preserve">, </w:t>
      </w:r>
      <w:r w:rsidRPr="00644876">
        <w:rPr>
          <w:i/>
          <w:iCs/>
          <w:noProof/>
        </w:rPr>
        <w:t>2022</w:t>
      </w:r>
      <w:r w:rsidRPr="00644876">
        <w:rPr>
          <w:noProof/>
        </w:rPr>
        <w:t>, 1–8. https://doi.org/10.1155/2022/4948444</w:t>
      </w:r>
    </w:p>
    <w:p w14:paraId="18E2F77D" w14:textId="77777777" w:rsidR="00644876" w:rsidRPr="00644876" w:rsidRDefault="00644876" w:rsidP="00644876">
      <w:pPr>
        <w:widowControl w:val="0"/>
        <w:autoSpaceDE w:val="0"/>
        <w:autoSpaceDN w:val="0"/>
        <w:adjustRightInd w:val="0"/>
        <w:spacing w:line="240" w:lineRule="auto"/>
        <w:ind w:left="480" w:hanging="480"/>
        <w:jc w:val="both"/>
        <w:rPr>
          <w:noProof/>
        </w:rPr>
      </w:pPr>
      <w:r w:rsidRPr="00644876">
        <w:rPr>
          <w:noProof/>
        </w:rPr>
        <w:t xml:space="preserve">Naik, P. K., Shaikh, I., &amp; Huynh, T. L. D. (2022). Institutional investment activities and stock market volatility amid COVID-19 in India. </w:t>
      </w:r>
      <w:r w:rsidRPr="00644876">
        <w:rPr>
          <w:i/>
          <w:iCs/>
          <w:noProof/>
        </w:rPr>
        <w:t xml:space="preserve">Economic Research-Ekonomska Istrazivanja </w:t>
      </w:r>
      <w:r w:rsidRPr="00644876">
        <w:rPr>
          <w:noProof/>
        </w:rPr>
        <w:t xml:space="preserve">, </w:t>
      </w:r>
      <w:r w:rsidRPr="00644876">
        <w:rPr>
          <w:i/>
          <w:iCs/>
          <w:noProof/>
        </w:rPr>
        <w:t>35</w:t>
      </w:r>
      <w:r w:rsidRPr="00644876">
        <w:rPr>
          <w:noProof/>
        </w:rPr>
        <w:t>(1), 1542–1560. https://doi.org/10.1080/1331677X.2021.1982399</w:t>
      </w:r>
    </w:p>
    <w:p w14:paraId="05684507" w14:textId="77777777" w:rsidR="00644876" w:rsidRPr="00644876" w:rsidRDefault="00644876" w:rsidP="00644876">
      <w:pPr>
        <w:widowControl w:val="0"/>
        <w:autoSpaceDE w:val="0"/>
        <w:autoSpaceDN w:val="0"/>
        <w:adjustRightInd w:val="0"/>
        <w:spacing w:line="240" w:lineRule="auto"/>
        <w:ind w:left="480" w:hanging="480"/>
        <w:jc w:val="both"/>
        <w:rPr>
          <w:noProof/>
        </w:rPr>
      </w:pPr>
      <w:r w:rsidRPr="00644876">
        <w:rPr>
          <w:noProof/>
        </w:rPr>
        <w:t xml:space="preserve">Sánchez-Gabarre, M. E. (2020). Stock prices, uncertainty and risks: evidence from developing and advanced economies. </w:t>
      </w:r>
      <w:r w:rsidRPr="00644876">
        <w:rPr>
          <w:i/>
          <w:iCs/>
          <w:noProof/>
        </w:rPr>
        <w:t>European Journal of Government and Economics</w:t>
      </w:r>
      <w:r w:rsidRPr="00644876">
        <w:rPr>
          <w:noProof/>
        </w:rPr>
        <w:t xml:space="preserve">, </w:t>
      </w:r>
      <w:r w:rsidRPr="00644876">
        <w:rPr>
          <w:i/>
          <w:iCs/>
          <w:noProof/>
        </w:rPr>
        <w:t>9</w:t>
      </w:r>
      <w:r w:rsidRPr="00644876">
        <w:rPr>
          <w:noProof/>
        </w:rPr>
        <w:t>(3), 265–279. https://doi.org/10.17979/ejge.2020.9.3.6999</w:t>
      </w:r>
    </w:p>
    <w:p w14:paraId="2C2AF7B5" w14:textId="77777777" w:rsidR="00644876" w:rsidRPr="00644876" w:rsidRDefault="00644876" w:rsidP="00644876">
      <w:pPr>
        <w:widowControl w:val="0"/>
        <w:autoSpaceDE w:val="0"/>
        <w:autoSpaceDN w:val="0"/>
        <w:adjustRightInd w:val="0"/>
        <w:spacing w:line="240" w:lineRule="auto"/>
        <w:ind w:left="480" w:hanging="480"/>
        <w:jc w:val="both"/>
        <w:rPr>
          <w:noProof/>
        </w:rPr>
      </w:pPr>
      <w:r w:rsidRPr="00644876">
        <w:rPr>
          <w:noProof/>
        </w:rPr>
        <w:t xml:space="preserve">Tahir, A. S. M., &amp; Jassim, F. M. (2022). Comparison of the two hybrid models, Wavelet-ARIMA and Wavelet-ES, to predict the prices of the US Dollar index. </w:t>
      </w:r>
      <w:r w:rsidRPr="00644876">
        <w:rPr>
          <w:i/>
          <w:iCs/>
          <w:noProof/>
        </w:rPr>
        <w:t>Periodicals of Engineering and Natural Sciences</w:t>
      </w:r>
      <w:r w:rsidRPr="00644876">
        <w:rPr>
          <w:noProof/>
        </w:rPr>
        <w:t xml:space="preserve">, </w:t>
      </w:r>
      <w:r w:rsidRPr="00644876">
        <w:rPr>
          <w:i/>
          <w:iCs/>
          <w:noProof/>
        </w:rPr>
        <w:t>10</w:t>
      </w:r>
      <w:r w:rsidRPr="00644876">
        <w:rPr>
          <w:noProof/>
        </w:rPr>
        <w:t>(2), 219–230. https://doi.org/10.21533/pen.v10i2.2820</w:t>
      </w:r>
    </w:p>
    <w:p w14:paraId="076DB220" w14:textId="77777777" w:rsidR="00644876" w:rsidRPr="00644876" w:rsidRDefault="00644876" w:rsidP="00644876">
      <w:pPr>
        <w:widowControl w:val="0"/>
        <w:autoSpaceDE w:val="0"/>
        <w:autoSpaceDN w:val="0"/>
        <w:adjustRightInd w:val="0"/>
        <w:spacing w:line="240" w:lineRule="auto"/>
        <w:ind w:left="480" w:hanging="480"/>
        <w:jc w:val="both"/>
        <w:rPr>
          <w:noProof/>
        </w:rPr>
      </w:pPr>
      <w:r w:rsidRPr="00644876">
        <w:rPr>
          <w:noProof/>
        </w:rPr>
        <w:t xml:space="preserve">Tran, O., &amp; Nguyen, H. (2022). The Interdependence of gold, US Dollar and stock market in the context of COVID-19 pandemic: an insight into analysis in Asia and Europe. </w:t>
      </w:r>
      <w:r w:rsidRPr="00644876">
        <w:rPr>
          <w:i/>
          <w:iCs/>
          <w:noProof/>
        </w:rPr>
        <w:t>Cogent Economics and Finance</w:t>
      </w:r>
      <w:r w:rsidRPr="00644876">
        <w:rPr>
          <w:noProof/>
        </w:rPr>
        <w:t xml:space="preserve">, </w:t>
      </w:r>
      <w:r w:rsidRPr="00644876">
        <w:rPr>
          <w:i/>
          <w:iCs/>
          <w:noProof/>
        </w:rPr>
        <w:t>10</w:t>
      </w:r>
      <w:r w:rsidRPr="00644876">
        <w:rPr>
          <w:noProof/>
        </w:rPr>
        <w:t>(1), 1–18. https://doi.org/10.1080/23322039.2022.2127483</w:t>
      </w:r>
    </w:p>
    <w:p w14:paraId="16572129" w14:textId="77777777" w:rsidR="00644876" w:rsidRPr="00644876" w:rsidRDefault="00644876" w:rsidP="00644876">
      <w:pPr>
        <w:widowControl w:val="0"/>
        <w:autoSpaceDE w:val="0"/>
        <w:autoSpaceDN w:val="0"/>
        <w:adjustRightInd w:val="0"/>
        <w:spacing w:line="240" w:lineRule="auto"/>
        <w:ind w:left="480" w:hanging="480"/>
        <w:jc w:val="both"/>
        <w:rPr>
          <w:noProof/>
        </w:rPr>
      </w:pPr>
      <w:r w:rsidRPr="00644876">
        <w:rPr>
          <w:noProof/>
        </w:rPr>
        <w:t xml:space="preserve">Tuna, G., &amp; Tuna, V. E. (2022). Are effects of COVID-19 pandemic on financial markets permanent or temporary? evidence from gold, oil and stock markets. </w:t>
      </w:r>
      <w:r w:rsidRPr="00644876">
        <w:rPr>
          <w:i/>
          <w:iCs/>
          <w:noProof/>
        </w:rPr>
        <w:t>Resources Policy</w:t>
      </w:r>
      <w:r w:rsidRPr="00644876">
        <w:rPr>
          <w:noProof/>
        </w:rPr>
        <w:t xml:space="preserve">, </w:t>
      </w:r>
      <w:r w:rsidRPr="00644876">
        <w:rPr>
          <w:i/>
          <w:iCs/>
          <w:noProof/>
        </w:rPr>
        <w:t>76</w:t>
      </w:r>
      <w:r w:rsidRPr="00644876">
        <w:rPr>
          <w:noProof/>
        </w:rPr>
        <w:t>, 102637–102644. https://doi.org/10.1016/j.resourpol.2022.102637</w:t>
      </w:r>
    </w:p>
    <w:p w14:paraId="279FE9D4" w14:textId="77777777" w:rsidR="00644876" w:rsidRPr="00644876" w:rsidRDefault="00644876" w:rsidP="00644876">
      <w:pPr>
        <w:widowControl w:val="0"/>
        <w:autoSpaceDE w:val="0"/>
        <w:autoSpaceDN w:val="0"/>
        <w:adjustRightInd w:val="0"/>
        <w:spacing w:line="240" w:lineRule="auto"/>
        <w:ind w:left="480" w:hanging="480"/>
        <w:jc w:val="both"/>
        <w:rPr>
          <w:noProof/>
        </w:rPr>
      </w:pPr>
      <w:r w:rsidRPr="00644876">
        <w:rPr>
          <w:noProof/>
        </w:rPr>
        <w:t xml:space="preserve">Wang, J., Wang, J., &amp; Ma, F. (2024). International commodity market and stock volatility predictability: evidence from G7 countries. </w:t>
      </w:r>
      <w:r w:rsidRPr="00644876">
        <w:rPr>
          <w:i/>
          <w:iCs/>
          <w:noProof/>
        </w:rPr>
        <w:t>International Review of Economics &amp; Finance</w:t>
      </w:r>
      <w:r w:rsidRPr="00644876">
        <w:rPr>
          <w:noProof/>
        </w:rPr>
        <w:t xml:space="preserve">, </w:t>
      </w:r>
      <w:r w:rsidRPr="00644876">
        <w:rPr>
          <w:i/>
          <w:iCs/>
          <w:noProof/>
        </w:rPr>
        <w:t>90</w:t>
      </w:r>
      <w:r w:rsidRPr="00644876">
        <w:rPr>
          <w:noProof/>
        </w:rPr>
        <w:t>, 62–71. https://doi.org/10.1016/j.iref.2023.11.005</w:t>
      </w:r>
    </w:p>
    <w:p w14:paraId="3CDA2BE1" w14:textId="77777777" w:rsidR="00644876" w:rsidRPr="00644876" w:rsidRDefault="00644876" w:rsidP="00644876">
      <w:pPr>
        <w:widowControl w:val="0"/>
        <w:autoSpaceDE w:val="0"/>
        <w:autoSpaceDN w:val="0"/>
        <w:adjustRightInd w:val="0"/>
        <w:spacing w:line="240" w:lineRule="auto"/>
        <w:ind w:left="480" w:hanging="480"/>
        <w:jc w:val="both"/>
        <w:rPr>
          <w:noProof/>
        </w:rPr>
      </w:pPr>
      <w:r w:rsidRPr="00644876">
        <w:rPr>
          <w:noProof/>
        </w:rPr>
        <w:t xml:space="preserve">Wang, Y., Bouri, E., Fareed, Z., &amp; Dai, Y. (2022). Geopolitical risk and the systemic risk in the commodity markets under the war in Ukraine. </w:t>
      </w:r>
      <w:r w:rsidRPr="00644876">
        <w:rPr>
          <w:i/>
          <w:iCs/>
          <w:noProof/>
        </w:rPr>
        <w:t>Finance Research Letters</w:t>
      </w:r>
      <w:r w:rsidRPr="00644876">
        <w:rPr>
          <w:noProof/>
        </w:rPr>
        <w:t xml:space="preserve">, </w:t>
      </w:r>
      <w:r w:rsidRPr="00644876">
        <w:rPr>
          <w:i/>
          <w:iCs/>
          <w:noProof/>
        </w:rPr>
        <w:t>49</w:t>
      </w:r>
      <w:r w:rsidRPr="00644876">
        <w:rPr>
          <w:noProof/>
        </w:rPr>
        <w:t>, 103066–103094. https://doi.org/10.1016/j.frl.2022.103066</w:t>
      </w:r>
    </w:p>
    <w:p w14:paraId="50AD25CF" w14:textId="77777777" w:rsidR="00644876" w:rsidRPr="00644876" w:rsidRDefault="00644876" w:rsidP="00644876">
      <w:pPr>
        <w:widowControl w:val="0"/>
        <w:autoSpaceDE w:val="0"/>
        <w:autoSpaceDN w:val="0"/>
        <w:adjustRightInd w:val="0"/>
        <w:spacing w:line="240" w:lineRule="auto"/>
        <w:ind w:left="480" w:hanging="480"/>
        <w:jc w:val="both"/>
        <w:rPr>
          <w:noProof/>
        </w:rPr>
      </w:pPr>
      <w:r w:rsidRPr="00644876">
        <w:rPr>
          <w:noProof/>
        </w:rPr>
        <w:t xml:space="preserve">Xiao, W., Gan, M., Liu, H., &amp; Liu, X. (2020). Modeling and prediction of the volatility of the freight rate in the roadway freight market of China. </w:t>
      </w:r>
      <w:r w:rsidRPr="00644876">
        <w:rPr>
          <w:i/>
          <w:iCs/>
          <w:noProof/>
        </w:rPr>
        <w:t>Mathematical Problems in Engineering</w:t>
      </w:r>
      <w:r w:rsidRPr="00644876">
        <w:rPr>
          <w:noProof/>
        </w:rPr>
        <w:t xml:space="preserve">, </w:t>
      </w:r>
      <w:r w:rsidRPr="00644876">
        <w:rPr>
          <w:i/>
          <w:iCs/>
          <w:noProof/>
        </w:rPr>
        <w:t>2020</w:t>
      </w:r>
      <w:r w:rsidRPr="00644876">
        <w:rPr>
          <w:noProof/>
        </w:rPr>
        <w:t>, 1–15. https://doi.org/10.1155/2020/5386402</w:t>
      </w:r>
    </w:p>
    <w:p w14:paraId="1D9065FF" w14:textId="77777777" w:rsidR="00644876" w:rsidRPr="00644876" w:rsidRDefault="00644876" w:rsidP="00644876">
      <w:pPr>
        <w:widowControl w:val="0"/>
        <w:autoSpaceDE w:val="0"/>
        <w:autoSpaceDN w:val="0"/>
        <w:adjustRightInd w:val="0"/>
        <w:spacing w:line="240" w:lineRule="auto"/>
        <w:ind w:left="480" w:hanging="480"/>
        <w:jc w:val="both"/>
        <w:rPr>
          <w:noProof/>
        </w:rPr>
      </w:pPr>
      <w:r w:rsidRPr="00644876">
        <w:rPr>
          <w:noProof/>
        </w:rPr>
        <w:t xml:space="preserve">Xiaozhong, C., Yen-Ku, K., Maneengam, A., Cong, P. T., Quynh, N. N., Ageli, M. M., &amp; Wisetsri, W. (2022). Covid-19 and oil and gold price volatilities: evidence from China market. </w:t>
      </w:r>
      <w:r w:rsidRPr="00644876">
        <w:rPr>
          <w:i/>
          <w:iCs/>
          <w:noProof/>
        </w:rPr>
        <w:t>Resources Policy</w:t>
      </w:r>
      <w:r w:rsidRPr="00644876">
        <w:rPr>
          <w:noProof/>
        </w:rPr>
        <w:t xml:space="preserve">, </w:t>
      </w:r>
      <w:r w:rsidRPr="00644876">
        <w:rPr>
          <w:i/>
          <w:iCs/>
          <w:noProof/>
        </w:rPr>
        <w:t>79</w:t>
      </w:r>
      <w:r w:rsidRPr="00644876">
        <w:rPr>
          <w:noProof/>
        </w:rPr>
        <w:t>(December 2021), 103024–103033. https://doi.org/10.1016/j.resourpol.2022.103024</w:t>
      </w:r>
    </w:p>
    <w:p w14:paraId="47A59B69" w14:textId="77777777" w:rsidR="00644876" w:rsidRPr="00644876" w:rsidRDefault="00644876" w:rsidP="00644876">
      <w:pPr>
        <w:widowControl w:val="0"/>
        <w:autoSpaceDE w:val="0"/>
        <w:autoSpaceDN w:val="0"/>
        <w:adjustRightInd w:val="0"/>
        <w:spacing w:line="240" w:lineRule="auto"/>
        <w:ind w:left="480" w:hanging="480"/>
        <w:jc w:val="both"/>
        <w:rPr>
          <w:noProof/>
        </w:rPr>
      </w:pPr>
      <w:r w:rsidRPr="00644876">
        <w:rPr>
          <w:noProof/>
        </w:rPr>
        <w:t xml:space="preserve">Yamaka, W., &amp; Maneejuk, P. (2020). Analyzing the causality and dependence between gold shocks and asian emerging stock markets: a smooth transition copula approach. </w:t>
      </w:r>
      <w:r w:rsidRPr="00644876">
        <w:rPr>
          <w:i/>
          <w:iCs/>
          <w:noProof/>
        </w:rPr>
        <w:t>Mathematics</w:t>
      </w:r>
      <w:r w:rsidRPr="00644876">
        <w:rPr>
          <w:noProof/>
        </w:rPr>
        <w:t xml:space="preserve">, </w:t>
      </w:r>
      <w:r w:rsidRPr="00644876">
        <w:rPr>
          <w:i/>
          <w:iCs/>
          <w:noProof/>
        </w:rPr>
        <w:t>8</w:t>
      </w:r>
      <w:r w:rsidRPr="00644876">
        <w:rPr>
          <w:noProof/>
        </w:rPr>
        <w:t>(1), 120–146. https://doi.org/10.3390/math8010120</w:t>
      </w:r>
    </w:p>
    <w:p w14:paraId="3747F8B1" w14:textId="77777777" w:rsidR="00644876" w:rsidRPr="00644876" w:rsidRDefault="00644876" w:rsidP="00644876">
      <w:pPr>
        <w:widowControl w:val="0"/>
        <w:autoSpaceDE w:val="0"/>
        <w:autoSpaceDN w:val="0"/>
        <w:adjustRightInd w:val="0"/>
        <w:spacing w:line="240" w:lineRule="auto"/>
        <w:ind w:left="480" w:hanging="480"/>
        <w:jc w:val="both"/>
        <w:rPr>
          <w:noProof/>
        </w:rPr>
      </w:pPr>
      <w:r w:rsidRPr="00644876">
        <w:rPr>
          <w:noProof/>
        </w:rPr>
        <w:t xml:space="preserve">Yang, M., Zhang, Q., Yi, A., &amp; Peng, P. (2021). Geopolitical risk and stock market volatility in emerging economies: evidence from GARCH-MIDAS model. </w:t>
      </w:r>
      <w:r w:rsidRPr="00644876">
        <w:rPr>
          <w:i/>
          <w:iCs/>
          <w:noProof/>
        </w:rPr>
        <w:t>Discrete Dynamics in Nature and Society</w:t>
      </w:r>
      <w:r w:rsidRPr="00644876">
        <w:rPr>
          <w:noProof/>
        </w:rPr>
        <w:t xml:space="preserve">, </w:t>
      </w:r>
      <w:r w:rsidRPr="00644876">
        <w:rPr>
          <w:i/>
          <w:iCs/>
          <w:noProof/>
        </w:rPr>
        <w:t>2021</w:t>
      </w:r>
      <w:r w:rsidRPr="00644876">
        <w:rPr>
          <w:noProof/>
        </w:rPr>
        <w:t>. https://doi.org/10.1155/2021/1159358</w:t>
      </w:r>
    </w:p>
    <w:p w14:paraId="5F1C6734" w14:textId="77777777" w:rsidR="00644876" w:rsidRPr="00644876" w:rsidRDefault="00644876" w:rsidP="00644876">
      <w:pPr>
        <w:widowControl w:val="0"/>
        <w:autoSpaceDE w:val="0"/>
        <w:autoSpaceDN w:val="0"/>
        <w:adjustRightInd w:val="0"/>
        <w:spacing w:line="240" w:lineRule="auto"/>
        <w:ind w:left="480" w:hanging="480"/>
        <w:jc w:val="both"/>
        <w:rPr>
          <w:noProof/>
        </w:rPr>
      </w:pPr>
      <w:r w:rsidRPr="00644876">
        <w:rPr>
          <w:noProof/>
        </w:rPr>
        <w:t xml:space="preserve">Yun, S. J., Choi, S. Y., &amp; Kim, Y. S. (2023). Examining the hedge performance of US Dollar, VIX, and gold during the coronavirus pandemic: Is US Dollar a better hedge asset? </w:t>
      </w:r>
      <w:r w:rsidRPr="00644876">
        <w:rPr>
          <w:i/>
          <w:iCs/>
          <w:noProof/>
        </w:rPr>
        <w:t>PLoS ONE</w:t>
      </w:r>
      <w:r w:rsidRPr="00644876">
        <w:rPr>
          <w:noProof/>
        </w:rPr>
        <w:t xml:space="preserve">, </w:t>
      </w:r>
      <w:r w:rsidRPr="00644876">
        <w:rPr>
          <w:i/>
          <w:iCs/>
          <w:noProof/>
        </w:rPr>
        <w:t>18</w:t>
      </w:r>
      <w:r w:rsidRPr="00644876">
        <w:rPr>
          <w:noProof/>
        </w:rPr>
        <w:t>(10 October), 1–19. https://doi.org/10.1371/journal.pone.0291684</w:t>
      </w:r>
    </w:p>
    <w:p w14:paraId="7833FD78" w14:textId="3BE4E67B" w:rsidR="00B7499B" w:rsidRPr="006D1C5D" w:rsidRDefault="00644876" w:rsidP="00644876">
      <w:pPr>
        <w:spacing w:line="240" w:lineRule="auto"/>
        <w:jc w:val="both"/>
        <w:rPr>
          <w:rFonts w:asciiTheme="minorHAnsi" w:hAnsiTheme="minorHAnsi" w:cstheme="minorHAnsi"/>
          <w:b/>
        </w:rPr>
      </w:pPr>
      <w:r>
        <w:rPr>
          <w:rFonts w:asciiTheme="minorHAnsi" w:hAnsiTheme="minorHAnsi" w:cstheme="minorHAnsi"/>
          <w:b/>
        </w:rPr>
        <w:fldChar w:fldCharType="end"/>
      </w:r>
    </w:p>
    <w:p w14:paraId="41A8A0A9" w14:textId="77777777" w:rsidR="00B074A6" w:rsidRPr="00DF5B90" w:rsidRDefault="00B074A6" w:rsidP="00644876">
      <w:pPr>
        <w:spacing w:line="240" w:lineRule="auto"/>
        <w:ind w:left="450" w:hanging="426"/>
        <w:jc w:val="both"/>
        <w:rPr>
          <w:rFonts w:asciiTheme="minorHAnsi" w:hAnsiTheme="minorHAnsi" w:cstheme="minorHAnsi"/>
        </w:rPr>
      </w:pPr>
    </w:p>
    <w:sectPr w:rsidR="00B074A6" w:rsidRPr="00DF5B90">
      <w:type w:val="continuous"/>
      <w:pgSz w:w="11906" w:h="16838"/>
      <w:pgMar w:top="1418" w:right="1276" w:bottom="1418" w:left="1276" w:header="709" w:footer="709" w:gutter="0"/>
      <w:pgNumType w:start="15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rini lestari" w:date="2024-12-02T02:08:00Z" w:initials="al">
    <w:p w14:paraId="57EF5D0E" w14:textId="05E67BAA" w:rsidR="002A7528" w:rsidRDefault="002A7528">
      <w:pPr>
        <w:pStyle w:val="TeksKomentar"/>
      </w:pPr>
      <w:r>
        <w:rPr>
          <w:rStyle w:val="ReferensiKomentar"/>
        </w:rPr>
        <w:annotationRef/>
      </w:r>
      <w:r>
        <w:t>Mohon tulis identitas seperti nama, asal instansi dan email seperti pada template JRAK</w:t>
      </w:r>
    </w:p>
  </w:comment>
  <w:comment w:id="2" w:author="arini lestari" w:date="2024-12-02T02:11:00Z" w:initials="al">
    <w:p w14:paraId="4432C15D" w14:textId="4A77A523" w:rsidR="002A7528" w:rsidRDefault="002A7528">
      <w:pPr>
        <w:pStyle w:val="TeksKomentar"/>
      </w:pPr>
      <w:r>
        <w:rPr>
          <w:rStyle w:val="ReferensiKomentar"/>
        </w:rPr>
        <w:annotationRef/>
      </w:r>
      <w:r>
        <w:rPr>
          <w:rStyle w:val="ReferensiKomentar"/>
        </w:rPr>
        <w:t>Sistematika JRAK yaitu abstrak-intro-method-results-conclussoin, tanpa literatur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7EF5D0E" w15:done="0"/>
  <w15:commentEx w15:paraId="4432C1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0546FA" w16cex:dateUtc="2024-12-01T19:08:00Z"/>
  <w16cex:commentExtensible w16cex:durableId="4BC6A00B" w16cex:dateUtc="2024-12-01T1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EF5D0E" w16cid:durableId="230546FA"/>
  <w16cid:commentId w16cid:paraId="4432C15D" w16cid:durableId="4BC6A0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7FDCB" w14:textId="77777777" w:rsidR="004D4E1A" w:rsidRDefault="004D4E1A">
      <w:pPr>
        <w:spacing w:after="0" w:line="240" w:lineRule="auto"/>
      </w:pPr>
      <w:r>
        <w:separator/>
      </w:r>
    </w:p>
  </w:endnote>
  <w:endnote w:type="continuationSeparator" w:id="0">
    <w:p w14:paraId="754233C4" w14:textId="77777777" w:rsidR="004D4E1A" w:rsidRDefault="004D4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imes">
    <w:altName w:val="Times New Roman"/>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Rounded">
    <w:altName w:val="Arial"/>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D6FED" w14:textId="77777777" w:rsidR="00EA2DE4" w:rsidRDefault="00EA2DE4">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FF"/>
        <w:sz w:val="20"/>
        <w:szCs w:val="20"/>
        <w:highlight w:val="white"/>
        <w:u w:val="single"/>
      </w:rPr>
    </w:pPr>
    <w:r>
      <w:rPr>
        <w:rFonts w:ascii="Times New Roman" w:eastAsia="Times New Roman" w:hAnsi="Times New Roman" w:cs="Times New Roman"/>
        <w:color w:val="666666"/>
        <w:sz w:val="20"/>
        <w:szCs w:val="20"/>
        <w:highlight w:val="white"/>
      </w:rPr>
      <w:t>DOI: </w:t>
    </w:r>
    <w:hyperlink r:id="rId1">
      <w:r>
        <w:rPr>
          <w:rFonts w:ascii="Times New Roman" w:eastAsia="Times New Roman" w:hAnsi="Times New Roman" w:cs="Times New Roman"/>
          <w:color w:val="0000FF"/>
          <w:sz w:val="20"/>
          <w:szCs w:val="20"/>
          <w:highlight w:val="white"/>
          <w:u w:val="single"/>
        </w:rPr>
        <w:t>http://dx.doi.org/10.17509/xxxx.xx</w:t>
      </w:r>
    </w:hyperlink>
    <w:r>
      <w:rPr>
        <w:rFonts w:ascii="Times New Roman" w:eastAsia="Times New Roman" w:hAnsi="Times New Roman" w:cs="Times New Roman"/>
        <w:color w:val="0000FF"/>
        <w:sz w:val="20"/>
        <w:szCs w:val="20"/>
        <w:highlight w:val="white"/>
        <w:u w:val="single"/>
      </w:rPr>
      <w:t>x</w:t>
    </w:r>
  </w:p>
  <w:p w14:paraId="01DB8C00" w14:textId="77777777" w:rsidR="00EA2DE4" w:rsidRDefault="00EA2DE4">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 xml:space="preserve">p- </w:t>
    </w:r>
    <w:r>
      <w:rPr>
        <w:rFonts w:ascii="Times New Roman" w:eastAsia="Times New Roman" w:hAnsi="Times New Roman" w:cs="Times New Roman"/>
        <w:color w:val="AEAAAA"/>
        <w:sz w:val="20"/>
        <w:szCs w:val="20"/>
        <w:highlight w:val="white"/>
      </w:rPr>
      <w:t xml:space="preserve">ISSN 2338-1507 </w:t>
    </w:r>
    <w:r>
      <w:rPr>
        <w:rFonts w:ascii="Times New Roman" w:eastAsia="Times New Roman" w:hAnsi="Times New Roman" w:cs="Times New Roman"/>
        <w:color w:val="666666"/>
        <w:sz w:val="20"/>
        <w:szCs w:val="20"/>
        <w:highlight w:val="white"/>
      </w:rPr>
      <w:t xml:space="preserve">e- </w:t>
    </w:r>
    <w:r>
      <w:rPr>
        <w:rFonts w:ascii="Times New Roman" w:eastAsia="Times New Roman" w:hAnsi="Times New Roman" w:cs="Times New Roman"/>
        <w:color w:val="AEAAAA"/>
        <w:sz w:val="20"/>
        <w:szCs w:val="20"/>
        <w:highlight w:val="white"/>
      </w:rPr>
      <w:t xml:space="preserve">ISSN 2541-061X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9BD37" w14:textId="77777777" w:rsidR="00EA2DE4" w:rsidRDefault="00EA2DE4">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DOI: </w:t>
    </w:r>
    <w:hyperlink r:id="rId1">
      <w:r>
        <w:rPr>
          <w:rFonts w:ascii="Times New Roman" w:eastAsia="Times New Roman" w:hAnsi="Times New Roman" w:cs="Times New Roman"/>
          <w:color w:val="0000FF"/>
          <w:sz w:val="20"/>
          <w:szCs w:val="20"/>
          <w:highlight w:val="white"/>
          <w:u w:val="single"/>
        </w:rPr>
        <w:t>http://dx.doi.org/10.xxxxx/ijost.v2i2</w:t>
      </w:r>
    </w:hyperlink>
  </w:p>
  <w:p w14:paraId="3D8CD354" w14:textId="77777777" w:rsidR="00EA2DE4" w:rsidRDefault="00EA2DE4">
    <w:pPr>
      <w:pBdr>
        <w:top w:val="nil"/>
        <w:left w:val="nil"/>
        <w:bottom w:val="nil"/>
        <w:right w:val="nil"/>
        <w:between w:val="nil"/>
      </w:pBdr>
      <w:tabs>
        <w:tab w:val="center" w:pos="4513"/>
        <w:tab w:val="right" w:pos="9026"/>
      </w:tabs>
      <w:spacing w:after="0" w:line="240" w:lineRule="auto"/>
      <w:ind w:right="360" w:firstLine="360"/>
      <w:jc w:val="right"/>
      <w:rPr>
        <w:color w:val="000000"/>
        <w:sz w:val="20"/>
        <w:szCs w:val="20"/>
      </w:rPr>
    </w:pPr>
    <w:r>
      <w:rPr>
        <w:rFonts w:ascii="Times New Roman" w:eastAsia="Times New Roman" w:hAnsi="Times New Roman" w:cs="Times New Roman"/>
        <w:color w:val="666666"/>
        <w:sz w:val="20"/>
        <w:szCs w:val="20"/>
        <w:highlight w:val="white"/>
      </w:rPr>
      <w:t>p- ISSN 2528-1410 e- ISSN 2527-8045</w:t>
    </w:r>
  </w:p>
  <w:p w14:paraId="5E940A04" w14:textId="77777777" w:rsidR="00EA2DE4" w:rsidRDefault="00EA2DE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F5EE2" w14:textId="77777777" w:rsidR="00EA2DE4" w:rsidRDefault="00EA2DE4">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FF"/>
        <w:sz w:val="20"/>
        <w:szCs w:val="20"/>
        <w:highlight w:val="white"/>
        <w:u w:val="single"/>
      </w:rPr>
    </w:pPr>
    <w:r>
      <w:rPr>
        <w:rFonts w:ascii="Times New Roman" w:eastAsia="Times New Roman" w:hAnsi="Times New Roman" w:cs="Times New Roman"/>
        <w:color w:val="666666"/>
        <w:sz w:val="20"/>
        <w:szCs w:val="20"/>
        <w:highlight w:val="white"/>
      </w:rPr>
      <w:t>DOI: </w:t>
    </w:r>
    <w:hyperlink r:id="rId1">
      <w:r>
        <w:rPr>
          <w:rFonts w:ascii="Times New Roman" w:eastAsia="Times New Roman" w:hAnsi="Times New Roman" w:cs="Times New Roman"/>
          <w:color w:val="0000FF"/>
          <w:sz w:val="20"/>
          <w:szCs w:val="20"/>
          <w:highlight w:val="white"/>
          <w:u w:val="single"/>
        </w:rPr>
        <w:t>http://dx.doi.org/10.17509/xxxx.xx</w:t>
      </w:r>
    </w:hyperlink>
    <w:r>
      <w:rPr>
        <w:rFonts w:ascii="Times New Roman" w:eastAsia="Times New Roman" w:hAnsi="Times New Roman" w:cs="Times New Roman"/>
        <w:color w:val="0000FF"/>
        <w:sz w:val="20"/>
        <w:szCs w:val="20"/>
        <w:highlight w:val="white"/>
        <w:u w:val="single"/>
      </w:rPr>
      <w:t>x</w:t>
    </w:r>
  </w:p>
  <w:p w14:paraId="68D7D7DF" w14:textId="77777777" w:rsidR="00EA2DE4" w:rsidRDefault="00EA2DE4">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 xml:space="preserve">p- </w:t>
    </w:r>
    <w:r>
      <w:rPr>
        <w:rFonts w:ascii="Times New Roman" w:eastAsia="Times New Roman" w:hAnsi="Times New Roman" w:cs="Times New Roman"/>
        <w:color w:val="AEAAAA"/>
        <w:sz w:val="20"/>
        <w:szCs w:val="20"/>
        <w:highlight w:val="white"/>
      </w:rPr>
      <w:t xml:space="preserve">ISSN 2338-1507 </w:t>
    </w:r>
    <w:r>
      <w:rPr>
        <w:rFonts w:ascii="Times New Roman" w:eastAsia="Times New Roman" w:hAnsi="Times New Roman" w:cs="Times New Roman"/>
        <w:color w:val="666666"/>
        <w:sz w:val="20"/>
        <w:szCs w:val="20"/>
        <w:highlight w:val="white"/>
      </w:rPr>
      <w:t xml:space="preserve">e- </w:t>
    </w:r>
    <w:r>
      <w:rPr>
        <w:rFonts w:ascii="Times New Roman" w:eastAsia="Times New Roman" w:hAnsi="Times New Roman" w:cs="Times New Roman"/>
        <w:color w:val="AEAAAA"/>
        <w:sz w:val="20"/>
        <w:szCs w:val="20"/>
        <w:highlight w:val="white"/>
      </w:rPr>
      <w:t xml:space="preserve">ISSN 2541-061X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137DF" w14:textId="77777777" w:rsidR="004D4E1A" w:rsidRDefault="004D4E1A">
      <w:pPr>
        <w:spacing w:after="0" w:line="240" w:lineRule="auto"/>
      </w:pPr>
      <w:r>
        <w:separator/>
      </w:r>
    </w:p>
  </w:footnote>
  <w:footnote w:type="continuationSeparator" w:id="0">
    <w:p w14:paraId="1A5BFB3B" w14:textId="77777777" w:rsidR="004D4E1A" w:rsidRDefault="004D4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BF268" w14:textId="77777777" w:rsidR="00EA2DE4" w:rsidRDefault="00EA2DE4">
    <w:pPr>
      <w:pBdr>
        <w:top w:val="nil"/>
        <w:left w:val="nil"/>
        <w:bottom w:val="nil"/>
        <w:right w:val="nil"/>
        <w:between w:val="nil"/>
      </w:pBdr>
      <w:tabs>
        <w:tab w:val="center" w:pos="4680"/>
        <w:tab w:val="right" w:pos="9360"/>
      </w:tabs>
      <w:spacing w:after="0" w:line="240" w:lineRule="auto"/>
      <w:jc w:val="right"/>
      <w:rPr>
        <w:rFonts w:ascii="Arial Rounded" w:eastAsia="Arial Rounded" w:hAnsi="Arial Rounded" w:cs="Arial Rounded"/>
        <w:b/>
        <w:color w:val="000000"/>
        <w:sz w:val="20"/>
        <w:szCs w:val="20"/>
      </w:rPr>
    </w:pPr>
    <w:r>
      <w:rPr>
        <w:i/>
        <w:color w:val="000000"/>
        <w:sz w:val="20"/>
        <w:szCs w:val="20"/>
      </w:rPr>
      <w:t xml:space="preserve">Nama terakhir first authori et al., </w:t>
    </w:r>
    <w:r>
      <w:rPr>
        <w:rFonts w:ascii="Constantia" w:eastAsia="Constantia" w:hAnsi="Constantia" w:cs="Constantia"/>
        <w:b/>
        <w:color w:val="000000"/>
        <w:sz w:val="20"/>
        <w:szCs w:val="20"/>
      </w:rPr>
      <w:t>Judul Artikel …</w:t>
    </w:r>
    <w:r>
      <w:rPr>
        <w:rFonts w:ascii="Constantia" w:eastAsia="Constantia" w:hAnsi="Constantia" w:cs="Constantia"/>
        <w:i/>
        <w:color w:val="000000"/>
        <w:sz w:val="20"/>
        <w:szCs w:val="20"/>
      </w:rPr>
      <w:t xml:space="preserve"> </w:t>
    </w:r>
    <w:r>
      <w:rPr>
        <w:color w:val="000000"/>
        <w:sz w:val="20"/>
        <w:szCs w:val="20"/>
      </w:rPr>
      <w:t>| xxx</w:t>
    </w:r>
  </w:p>
  <w:p w14:paraId="2C1F8096" w14:textId="77777777" w:rsidR="00EA2DE4" w:rsidRDefault="00EA2DE4">
    <w:pPr>
      <w:pBdr>
        <w:top w:val="nil"/>
        <w:left w:val="nil"/>
        <w:bottom w:val="nil"/>
        <w:right w:val="nil"/>
        <w:between w:val="nil"/>
      </w:pBdr>
      <w:tabs>
        <w:tab w:val="center" w:pos="4680"/>
        <w:tab w:val="right" w:pos="9360"/>
      </w:tabs>
      <w:spacing w:after="0" w:line="240" w:lineRule="auto"/>
      <w:jc w:val="right"/>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744BB" w14:textId="77777777" w:rsidR="00EA2DE4" w:rsidRDefault="00EA2DE4">
    <w:pPr>
      <w:spacing w:after="0"/>
      <w:rPr>
        <w:rFonts w:ascii="Constantia" w:eastAsia="Constantia" w:hAnsi="Constantia" w:cs="Constantia"/>
        <w:sz w:val="20"/>
        <w:szCs w:val="20"/>
      </w:rPr>
    </w:pPr>
    <w:r>
      <w:rPr>
        <w:rFonts w:ascii="Arial Rounded" w:eastAsia="Arial Rounded" w:hAnsi="Arial Rounded" w:cs="Arial Rounded"/>
        <w:b/>
        <w:sz w:val="18"/>
        <w:szCs w:val="18"/>
      </w:rPr>
      <w:t>xxx</w:t>
    </w:r>
    <w:r>
      <w:rPr>
        <w:rFonts w:ascii="Arial Rounded" w:eastAsia="Arial Rounded" w:hAnsi="Arial Rounded" w:cs="Arial Rounded"/>
        <w:b/>
        <w:sz w:val="20"/>
        <w:szCs w:val="20"/>
      </w:rPr>
      <w:t xml:space="preserve"> |</w:t>
    </w:r>
    <w:r>
      <w:rPr>
        <w:rFonts w:ascii="Arial Rounded" w:eastAsia="Arial Rounded" w:hAnsi="Arial Rounded" w:cs="Arial Rounded"/>
        <w:b/>
      </w:rPr>
      <w:t xml:space="preserve"> </w:t>
    </w:r>
    <w:r>
      <w:rPr>
        <w:rFonts w:ascii="Constantia" w:eastAsia="Constantia" w:hAnsi="Constantia" w:cs="Constantia"/>
        <w:b/>
        <w:i/>
        <w:sz w:val="18"/>
        <w:szCs w:val="18"/>
      </w:rPr>
      <w:t>Jurnal Riset Akuntansi dan Keuangan</w:t>
    </w:r>
    <w:r>
      <w:rPr>
        <w:rFonts w:ascii="Constantia" w:eastAsia="Constantia" w:hAnsi="Constantia" w:cs="Constantia"/>
        <w:b/>
        <w:i/>
        <w:sz w:val="20"/>
        <w:szCs w:val="20"/>
      </w:rPr>
      <w:t>,</w:t>
    </w:r>
    <w:r>
      <w:rPr>
        <w:rFonts w:ascii="Constantia" w:eastAsia="Constantia" w:hAnsi="Constantia" w:cs="Constantia"/>
        <w:sz w:val="20"/>
        <w:szCs w:val="20"/>
      </w:rPr>
      <w:t xml:space="preserve"> </w:t>
    </w:r>
    <w:r>
      <w:rPr>
        <w:rFonts w:ascii="Constantia" w:eastAsia="Constantia" w:hAnsi="Constantia" w:cs="Constantia"/>
        <w:sz w:val="16"/>
        <w:szCs w:val="16"/>
      </w:rPr>
      <w:t>Volume</w:t>
    </w:r>
    <w:r>
      <w:rPr>
        <w:rFonts w:ascii="Constantia" w:eastAsia="Constantia" w:hAnsi="Constantia" w:cs="Constantia"/>
        <w:sz w:val="20"/>
        <w:szCs w:val="20"/>
      </w:rPr>
      <w:t xml:space="preserve"> 12 </w:t>
    </w:r>
    <w:r>
      <w:rPr>
        <w:rFonts w:ascii="Constantia" w:eastAsia="Constantia" w:hAnsi="Constantia" w:cs="Constantia"/>
        <w:sz w:val="16"/>
        <w:szCs w:val="16"/>
      </w:rPr>
      <w:t>Issue</w:t>
    </w:r>
    <w:r>
      <w:rPr>
        <w:rFonts w:ascii="Constantia" w:eastAsia="Constantia" w:hAnsi="Constantia" w:cs="Constantia"/>
        <w:sz w:val="20"/>
        <w:szCs w:val="20"/>
      </w:rPr>
      <w:t xml:space="preserve"> x, </w:t>
    </w:r>
    <w:r>
      <w:rPr>
        <w:rFonts w:ascii="Constantia" w:eastAsia="Constantia" w:hAnsi="Constantia" w:cs="Constantia"/>
        <w:sz w:val="16"/>
        <w:szCs w:val="16"/>
      </w:rPr>
      <w:t>Month</w:t>
    </w:r>
    <w:r>
      <w:rPr>
        <w:rFonts w:ascii="Constantia" w:eastAsia="Constantia" w:hAnsi="Constantia" w:cs="Constantia"/>
        <w:sz w:val="20"/>
        <w:szCs w:val="20"/>
      </w:rPr>
      <w:t xml:space="preserve"> 2024 </w:t>
    </w:r>
    <w:r>
      <w:rPr>
        <w:rFonts w:ascii="Constantia" w:eastAsia="Constantia" w:hAnsi="Constantia" w:cs="Constantia"/>
        <w:sz w:val="16"/>
        <w:szCs w:val="16"/>
      </w:rPr>
      <w:t>Hal</w:t>
    </w:r>
    <w:r>
      <w:rPr>
        <w:rFonts w:ascii="Constantia" w:eastAsia="Constantia" w:hAnsi="Constantia" w:cs="Constantia"/>
        <w:sz w:val="20"/>
        <w:szCs w:val="20"/>
      </w:rPr>
      <w:t xml:space="preserve"> xxx-xxx</w:t>
    </w:r>
  </w:p>
  <w:p w14:paraId="24248709" w14:textId="77777777" w:rsidR="00EA2DE4" w:rsidRDefault="00EA2DE4">
    <w:pPr>
      <w:spacing w:after="0"/>
      <w:rPr>
        <w:rFonts w:ascii="Constantia" w:eastAsia="Constantia" w:hAnsi="Constantia" w:cs="Constantia"/>
        <w:b/>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871C8" w14:textId="77777777" w:rsidR="00EA2DE4" w:rsidRDefault="00EA2DE4">
    <w:pPr>
      <w:pBdr>
        <w:top w:val="nil"/>
        <w:left w:val="nil"/>
        <w:bottom w:val="nil"/>
        <w:right w:val="nil"/>
        <w:between w:val="nil"/>
      </w:pBdr>
      <w:tabs>
        <w:tab w:val="center" w:pos="4680"/>
        <w:tab w:val="right" w:pos="9360"/>
      </w:tabs>
      <w:spacing w:after="0" w:line="240" w:lineRule="auto"/>
      <w:rPr>
        <w:color w:val="FFFFFF"/>
        <w:sz w:val="20"/>
        <w:szCs w:val="20"/>
      </w:rPr>
    </w:pPr>
    <w:r>
      <w:rPr>
        <w:color w:val="FFFFFF"/>
        <w:sz w:val="20"/>
        <w:szCs w:val="20"/>
      </w:rPr>
      <w:fldChar w:fldCharType="begin"/>
    </w:r>
    <w:r>
      <w:rPr>
        <w:color w:val="FFFFFF"/>
        <w:sz w:val="20"/>
        <w:szCs w:val="20"/>
      </w:rPr>
      <w:instrText>PAGE</w:instrText>
    </w:r>
    <w:r>
      <w:rPr>
        <w:color w:val="FFFFFF"/>
        <w:sz w:val="20"/>
        <w:szCs w:val="20"/>
      </w:rPr>
      <w:fldChar w:fldCharType="separate"/>
    </w:r>
    <w:r>
      <w:rPr>
        <w:noProof/>
        <w:color w:val="FFFFFF"/>
        <w:sz w:val="20"/>
        <w:szCs w:val="20"/>
      </w:rPr>
      <w:t>435</w:t>
    </w:r>
    <w:r>
      <w:rPr>
        <w:color w:val="FFFFFF"/>
        <w:sz w:val="20"/>
        <w:szCs w:val="20"/>
      </w:rPr>
      <w:fldChar w:fldCharType="end"/>
    </w:r>
  </w:p>
  <w:p w14:paraId="1A42045D" w14:textId="77777777" w:rsidR="00EA2DE4" w:rsidRDefault="00EA2DE4">
    <w:pPr>
      <w:pBdr>
        <w:top w:val="nil"/>
        <w:left w:val="nil"/>
        <w:bottom w:val="nil"/>
        <w:right w:val="nil"/>
        <w:between w:val="nil"/>
      </w:pBdr>
      <w:tabs>
        <w:tab w:val="center" w:pos="4680"/>
        <w:tab w:val="right" w:pos="9360"/>
        <w:tab w:val="left" w:pos="7797"/>
      </w:tabs>
      <w:spacing w:after="0" w:line="240" w:lineRule="auto"/>
      <w:rPr>
        <w:color w:val="000000"/>
        <w:sz w:val="20"/>
        <w:szCs w:val="20"/>
      </w:rPr>
    </w:pPr>
    <w:r>
      <w:rPr>
        <w:color w:val="000000"/>
        <w:sz w:val="20"/>
        <w:szCs w:val="20"/>
      </w:rPr>
      <w:tab/>
    </w:r>
  </w:p>
  <w:p w14:paraId="71AE1D41" w14:textId="77777777" w:rsidR="00EA2DE4" w:rsidRDefault="00EA2DE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43AF3" w14:textId="77777777" w:rsidR="00EA2DE4" w:rsidRDefault="00EA2DE4">
    <w:pPr>
      <w:pBdr>
        <w:top w:val="nil"/>
        <w:left w:val="nil"/>
        <w:bottom w:val="nil"/>
        <w:right w:val="nil"/>
        <w:between w:val="nil"/>
      </w:pBdr>
      <w:tabs>
        <w:tab w:val="center" w:pos="4680"/>
        <w:tab w:val="right" w:pos="9360"/>
      </w:tabs>
      <w:spacing w:after="0" w:line="240" w:lineRule="auto"/>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364678E2" w14:textId="77777777" w:rsidR="00EA2DE4" w:rsidRDefault="00EA2DE4">
    <w:pPr>
      <w:pBdr>
        <w:top w:val="nil"/>
        <w:left w:val="nil"/>
        <w:bottom w:val="nil"/>
        <w:right w:val="nil"/>
        <w:between w:val="nil"/>
      </w:pBdr>
      <w:tabs>
        <w:tab w:val="center" w:pos="4680"/>
        <w:tab w:val="right" w:pos="9360"/>
      </w:tabs>
      <w:spacing w:after="0" w:line="240" w:lineRule="auto"/>
      <w:rPr>
        <w:color w:val="000000"/>
        <w:sz w:val="20"/>
        <w:szCs w:val="20"/>
      </w:rPr>
    </w:pPr>
  </w:p>
  <w:p w14:paraId="489852A3" w14:textId="77777777" w:rsidR="00EA2DE4" w:rsidRDefault="00EA2D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7576F"/>
    <w:multiLevelType w:val="hybridMultilevel"/>
    <w:tmpl w:val="090AFE0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88E35EA"/>
    <w:multiLevelType w:val="multilevel"/>
    <w:tmpl w:val="42D68F14"/>
    <w:lvl w:ilvl="0">
      <w:start w:val="1"/>
      <w:numFmt w:val="decimal"/>
      <w:pStyle w:val="Papersection"/>
      <w:lvlText w:val="%1."/>
      <w:lvlJc w:val="left"/>
      <w:pPr>
        <w:tabs>
          <w:tab w:val="num" w:pos="720"/>
        </w:tabs>
        <w:ind w:left="720" w:hanging="720"/>
      </w:pPr>
    </w:lvl>
    <w:lvl w:ilvl="1">
      <w:start w:val="1"/>
      <w:numFmt w:val="decimal"/>
      <w:pStyle w:val="Paper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C006D33"/>
    <w:multiLevelType w:val="multilevel"/>
    <w:tmpl w:val="3BC08778"/>
    <w:lvl w:ilvl="0">
      <w:start w:val="1"/>
      <w:numFmt w:val="decimal"/>
      <w:pStyle w:val="JudulSubbab"/>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73478469">
    <w:abstractNumId w:val="1"/>
  </w:num>
  <w:num w:numId="2" w16cid:durableId="4820445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553265">
    <w:abstractNumId w:val="0"/>
  </w:num>
  <w:num w:numId="4" w16cid:durableId="431315419">
    <w:abstractNumId w:val="2"/>
  </w:num>
  <w:num w:numId="5" w16cid:durableId="15193491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rini lestari">
    <w15:presenceInfo w15:providerId="Windows Live" w15:userId="0361aaa44d27be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4A6"/>
    <w:rsid w:val="000C6621"/>
    <w:rsid w:val="001E29DD"/>
    <w:rsid w:val="002A7528"/>
    <w:rsid w:val="003A5D3C"/>
    <w:rsid w:val="004D4E1A"/>
    <w:rsid w:val="00527B37"/>
    <w:rsid w:val="006202CC"/>
    <w:rsid w:val="00644876"/>
    <w:rsid w:val="00655043"/>
    <w:rsid w:val="006D1C5D"/>
    <w:rsid w:val="006E23DC"/>
    <w:rsid w:val="007A35CA"/>
    <w:rsid w:val="007D0888"/>
    <w:rsid w:val="00866C52"/>
    <w:rsid w:val="008E293E"/>
    <w:rsid w:val="00AB6FD2"/>
    <w:rsid w:val="00B074A6"/>
    <w:rsid w:val="00B7499B"/>
    <w:rsid w:val="00BA7D9E"/>
    <w:rsid w:val="00CF6DEB"/>
    <w:rsid w:val="00DB64E1"/>
    <w:rsid w:val="00DF5B90"/>
    <w:rsid w:val="00E21CE5"/>
    <w:rsid w:val="00E26333"/>
    <w:rsid w:val="00E972A9"/>
    <w:rsid w:val="00EA2DE4"/>
    <w:rsid w:val="00EC2FCD"/>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F1BE1"/>
  <w15:docId w15:val="{EFD3EC10-66B1-4D43-9F6E-53AE305DD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GB"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388"/>
  </w:style>
  <w:style w:type="paragraph" w:styleId="Judul1">
    <w:name w:val="heading 1"/>
    <w:basedOn w:val="Normal"/>
    <w:next w:val="Paragraph"/>
    <w:link w:val="Judul1KAR"/>
    <w:uiPriority w:val="9"/>
    <w:qFormat/>
    <w:rsid w:val="008171F4"/>
    <w:pPr>
      <w:keepNext/>
      <w:spacing w:before="240" w:after="240" w:line="240" w:lineRule="auto"/>
      <w:jc w:val="center"/>
      <w:outlineLvl w:val="0"/>
    </w:pPr>
    <w:rPr>
      <w:rFonts w:eastAsia="MS Mincho"/>
      <w:b/>
      <w:caps/>
      <w:szCs w:val="20"/>
      <w:lang w:val="en-US"/>
    </w:rPr>
  </w:style>
  <w:style w:type="paragraph" w:styleId="Judul2">
    <w:name w:val="heading 2"/>
    <w:basedOn w:val="Normal"/>
    <w:next w:val="Paragraph"/>
    <w:link w:val="Judul2KAR"/>
    <w:uiPriority w:val="9"/>
    <w:semiHidden/>
    <w:unhideWhenUsed/>
    <w:qFormat/>
    <w:rsid w:val="008171F4"/>
    <w:pPr>
      <w:keepNext/>
      <w:spacing w:before="240" w:after="240" w:line="240" w:lineRule="auto"/>
      <w:jc w:val="center"/>
      <w:outlineLvl w:val="1"/>
    </w:pPr>
    <w:rPr>
      <w:rFonts w:eastAsia="MS Mincho"/>
      <w:b/>
      <w:szCs w:val="20"/>
      <w:lang w:val="en-US"/>
    </w:rPr>
  </w:style>
  <w:style w:type="paragraph" w:styleId="Judul3">
    <w:name w:val="heading 3"/>
    <w:basedOn w:val="Normal"/>
    <w:next w:val="Normal"/>
    <w:link w:val="Judul3KAR"/>
    <w:uiPriority w:val="9"/>
    <w:semiHidden/>
    <w:unhideWhenUsed/>
    <w:qFormat/>
    <w:rsid w:val="008171F4"/>
    <w:pPr>
      <w:keepNext/>
      <w:spacing w:before="240" w:after="60" w:line="240" w:lineRule="auto"/>
      <w:outlineLvl w:val="2"/>
    </w:pPr>
    <w:rPr>
      <w:rFonts w:ascii="Arial" w:hAnsi="Arial" w:cs="Arial"/>
      <w:b/>
      <w:bCs/>
      <w:sz w:val="26"/>
      <w:szCs w:val="26"/>
      <w:lang w:val="en-US"/>
    </w:rPr>
  </w:style>
  <w:style w:type="paragraph" w:styleId="Judul4">
    <w:name w:val="heading 4"/>
    <w:basedOn w:val="Normal"/>
    <w:next w:val="Normal"/>
    <w:link w:val="Judul4KAR"/>
    <w:uiPriority w:val="9"/>
    <w:semiHidden/>
    <w:unhideWhenUsed/>
    <w:qFormat/>
    <w:rsid w:val="008D462E"/>
    <w:pPr>
      <w:keepNext/>
      <w:autoSpaceDE w:val="0"/>
      <w:autoSpaceDN w:val="0"/>
      <w:spacing w:before="240" w:after="60" w:line="240" w:lineRule="auto"/>
      <w:ind w:left="1152" w:hanging="720"/>
      <w:outlineLvl w:val="3"/>
    </w:pPr>
    <w:rPr>
      <w:rFonts w:ascii="Times New Roman" w:eastAsia="Times New Roman" w:hAnsi="Times New Roman"/>
      <w:i/>
      <w:iCs/>
      <w:sz w:val="18"/>
      <w:szCs w:val="18"/>
      <w:lang w:val="en-US"/>
    </w:rPr>
  </w:style>
  <w:style w:type="paragraph" w:styleId="Judul5">
    <w:name w:val="heading 5"/>
    <w:basedOn w:val="Normal"/>
    <w:next w:val="Normal"/>
    <w:link w:val="Judul5KAR"/>
    <w:uiPriority w:val="9"/>
    <w:semiHidden/>
    <w:unhideWhenUsed/>
    <w:qFormat/>
    <w:rsid w:val="008D462E"/>
    <w:pPr>
      <w:autoSpaceDE w:val="0"/>
      <w:autoSpaceDN w:val="0"/>
      <w:spacing w:before="240" w:after="60" w:line="240" w:lineRule="auto"/>
      <w:ind w:left="1872" w:hanging="720"/>
      <w:outlineLvl w:val="4"/>
    </w:pPr>
    <w:rPr>
      <w:rFonts w:ascii="Times New Roman" w:eastAsia="Times New Roman" w:hAnsi="Times New Roman"/>
      <w:sz w:val="18"/>
      <w:szCs w:val="18"/>
      <w:lang w:val="en-US"/>
    </w:rPr>
  </w:style>
  <w:style w:type="paragraph" w:styleId="Judul6">
    <w:name w:val="heading 6"/>
    <w:basedOn w:val="Normal"/>
    <w:next w:val="Normal"/>
    <w:link w:val="Judul6KAR"/>
    <w:uiPriority w:val="9"/>
    <w:semiHidden/>
    <w:unhideWhenUsed/>
    <w:qFormat/>
    <w:rsid w:val="008D462E"/>
    <w:pPr>
      <w:autoSpaceDE w:val="0"/>
      <w:autoSpaceDN w:val="0"/>
      <w:spacing w:before="240" w:after="60" w:line="240" w:lineRule="auto"/>
      <w:ind w:left="2592" w:hanging="720"/>
      <w:outlineLvl w:val="5"/>
    </w:pPr>
    <w:rPr>
      <w:rFonts w:ascii="Times New Roman" w:eastAsia="Times New Roman" w:hAnsi="Times New Roman"/>
      <w:i/>
      <w:iCs/>
      <w:sz w:val="16"/>
      <w:szCs w:val="16"/>
      <w:lang w:val="en-US"/>
    </w:rPr>
  </w:style>
  <w:style w:type="paragraph" w:styleId="Judul7">
    <w:name w:val="heading 7"/>
    <w:basedOn w:val="Normal"/>
    <w:next w:val="Normal"/>
    <w:link w:val="Judul7KAR"/>
    <w:qFormat/>
    <w:rsid w:val="008D462E"/>
    <w:pPr>
      <w:autoSpaceDE w:val="0"/>
      <w:autoSpaceDN w:val="0"/>
      <w:spacing w:before="240" w:after="60" w:line="240" w:lineRule="auto"/>
      <w:ind w:left="3312" w:hanging="720"/>
      <w:outlineLvl w:val="6"/>
    </w:pPr>
    <w:rPr>
      <w:rFonts w:ascii="Times New Roman" w:eastAsia="Times New Roman" w:hAnsi="Times New Roman"/>
      <w:sz w:val="16"/>
      <w:szCs w:val="16"/>
      <w:lang w:val="en-US"/>
    </w:rPr>
  </w:style>
  <w:style w:type="paragraph" w:styleId="Judul8">
    <w:name w:val="heading 8"/>
    <w:basedOn w:val="Normal"/>
    <w:next w:val="Normal"/>
    <w:link w:val="Judul8KAR"/>
    <w:qFormat/>
    <w:rsid w:val="008D462E"/>
    <w:pPr>
      <w:autoSpaceDE w:val="0"/>
      <w:autoSpaceDN w:val="0"/>
      <w:spacing w:before="240" w:after="60" w:line="240" w:lineRule="auto"/>
      <w:ind w:left="4032" w:hanging="720"/>
      <w:outlineLvl w:val="7"/>
    </w:pPr>
    <w:rPr>
      <w:rFonts w:ascii="Times New Roman" w:eastAsia="Times New Roman" w:hAnsi="Times New Roman"/>
      <w:i/>
      <w:iCs/>
      <w:sz w:val="16"/>
      <w:szCs w:val="16"/>
      <w:lang w:val="en-US"/>
    </w:rPr>
  </w:style>
  <w:style w:type="paragraph" w:styleId="Judul9">
    <w:name w:val="heading 9"/>
    <w:basedOn w:val="Normal"/>
    <w:next w:val="Normal"/>
    <w:link w:val="Judul9KAR"/>
    <w:qFormat/>
    <w:rsid w:val="008D462E"/>
    <w:pPr>
      <w:autoSpaceDE w:val="0"/>
      <w:autoSpaceDN w:val="0"/>
      <w:spacing w:before="240" w:after="60" w:line="240" w:lineRule="auto"/>
      <w:ind w:left="4752" w:hanging="720"/>
      <w:outlineLvl w:val="8"/>
    </w:pPr>
    <w:rPr>
      <w:rFonts w:ascii="Times New Roman" w:eastAsia="Times New Roman" w:hAnsi="Times New Roman"/>
      <w:sz w:val="16"/>
      <w:szCs w:val="16"/>
      <w:lang w:val="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link w:val="JudulKAR"/>
    <w:uiPriority w:val="10"/>
    <w:qFormat/>
    <w:pPr>
      <w:keepNext/>
      <w:keepLines/>
      <w:spacing w:before="480" w:after="120"/>
    </w:pPr>
    <w:rPr>
      <w:b/>
      <w:sz w:val="72"/>
      <w:szCs w:val="72"/>
    </w:rPr>
  </w:style>
  <w:style w:type="paragraph" w:customStyle="1" w:styleId="Paragraph">
    <w:name w:val="Paragraph"/>
    <w:basedOn w:val="Normal"/>
    <w:rsid w:val="008171F4"/>
    <w:pPr>
      <w:spacing w:after="0" w:line="240" w:lineRule="auto"/>
      <w:ind w:firstLine="284"/>
      <w:jc w:val="both"/>
    </w:pPr>
    <w:rPr>
      <w:rFonts w:ascii="Times New Roman" w:eastAsia="MS Mincho" w:hAnsi="Times New Roman"/>
      <w:sz w:val="20"/>
      <w:szCs w:val="20"/>
      <w:lang w:val="en-US"/>
    </w:rPr>
  </w:style>
  <w:style w:type="character" w:customStyle="1" w:styleId="Judul1KAR">
    <w:name w:val="Judul 1 KAR"/>
    <w:link w:val="Judul1"/>
    <w:uiPriority w:val="9"/>
    <w:rsid w:val="008171F4"/>
    <w:rPr>
      <w:rFonts w:eastAsia="MS Mincho"/>
      <w:b/>
      <w:caps/>
      <w:sz w:val="24"/>
      <w:lang w:val="en-US" w:eastAsia="en-US" w:bidi="ar-SA"/>
    </w:rPr>
  </w:style>
  <w:style w:type="character" w:customStyle="1" w:styleId="Judul2KAR">
    <w:name w:val="Judul 2 KAR"/>
    <w:link w:val="Judul2"/>
    <w:uiPriority w:val="9"/>
    <w:rsid w:val="008171F4"/>
    <w:rPr>
      <w:rFonts w:eastAsia="MS Mincho"/>
      <w:b/>
      <w:sz w:val="24"/>
      <w:lang w:val="en-US" w:eastAsia="en-US" w:bidi="ar-SA"/>
    </w:rPr>
  </w:style>
  <w:style w:type="character" w:customStyle="1" w:styleId="Judul3KAR">
    <w:name w:val="Judul 3 KAR"/>
    <w:link w:val="Judul3"/>
    <w:uiPriority w:val="9"/>
    <w:rsid w:val="008171F4"/>
    <w:rPr>
      <w:rFonts w:ascii="Arial" w:hAnsi="Arial" w:cs="Arial"/>
      <w:b/>
      <w:bCs/>
      <w:sz w:val="26"/>
      <w:szCs w:val="26"/>
      <w:lang w:val="en-US" w:eastAsia="en-US" w:bidi="ar-SA"/>
    </w:rPr>
  </w:style>
  <w:style w:type="character" w:customStyle="1" w:styleId="hps">
    <w:name w:val="hps"/>
    <w:rsid w:val="00217622"/>
  </w:style>
  <w:style w:type="character" w:styleId="Hyperlink">
    <w:name w:val="Hyperlink"/>
    <w:uiPriority w:val="99"/>
    <w:rsid w:val="00217622"/>
    <w:rPr>
      <w:color w:val="0000FF"/>
      <w:u w:val="single"/>
    </w:rPr>
  </w:style>
  <w:style w:type="paragraph" w:styleId="Header">
    <w:name w:val="header"/>
    <w:basedOn w:val="Normal"/>
    <w:link w:val="HeaderKAR"/>
    <w:uiPriority w:val="99"/>
    <w:unhideWhenUsed/>
    <w:rsid w:val="00217622"/>
    <w:pPr>
      <w:tabs>
        <w:tab w:val="center" w:pos="4680"/>
        <w:tab w:val="right" w:pos="9360"/>
      </w:tabs>
      <w:spacing w:after="0" w:line="240" w:lineRule="auto"/>
    </w:pPr>
    <w:rPr>
      <w:rFonts w:eastAsia="MS Mincho"/>
      <w:sz w:val="20"/>
      <w:szCs w:val="20"/>
      <w:lang w:val="x-none" w:eastAsia="ja-JP"/>
    </w:rPr>
  </w:style>
  <w:style w:type="character" w:customStyle="1" w:styleId="HeaderKAR">
    <w:name w:val="Header KAR"/>
    <w:link w:val="Header"/>
    <w:uiPriority w:val="99"/>
    <w:rsid w:val="00217622"/>
    <w:rPr>
      <w:rFonts w:ascii="Calibri" w:eastAsia="MS Mincho" w:hAnsi="Calibri" w:cs="Times New Roman"/>
      <w:lang w:eastAsia="ja-JP"/>
    </w:rPr>
  </w:style>
  <w:style w:type="paragraph" w:styleId="Footer">
    <w:name w:val="footer"/>
    <w:basedOn w:val="Normal"/>
    <w:link w:val="FooterKAR"/>
    <w:uiPriority w:val="99"/>
    <w:unhideWhenUsed/>
    <w:rsid w:val="00217622"/>
    <w:pPr>
      <w:tabs>
        <w:tab w:val="center" w:pos="4513"/>
        <w:tab w:val="right" w:pos="9026"/>
      </w:tabs>
      <w:spacing w:after="0" w:line="240" w:lineRule="auto"/>
    </w:pPr>
    <w:rPr>
      <w:sz w:val="20"/>
      <w:szCs w:val="20"/>
      <w:lang w:eastAsia="x-none"/>
    </w:rPr>
  </w:style>
  <w:style w:type="character" w:customStyle="1" w:styleId="FooterKAR">
    <w:name w:val="Footer KAR"/>
    <w:link w:val="Footer"/>
    <w:uiPriority w:val="99"/>
    <w:rsid w:val="00217622"/>
    <w:rPr>
      <w:rFonts w:ascii="Calibri" w:eastAsia="Calibri" w:hAnsi="Calibri" w:cs="Times New Roman"/>
      <w:lang w:val="id-ID"/>
    </w:rPr>
  </w:style>
  <w:style w:type="paragraph" w:customStyle="1" w:styleId="1JUDULJOURNAL">
    <w:name w:val="1JUDUL JOURNAL"/>
    <w:basedOn w:val="Normal"/>
    <w:link w:val="1JUDULJOURNALChar"/>
    <w:qFormat/>
    <w:rsid w:val="00217622"/>
    <w:pPr>
      <w:autoSpaceDE w:val="0"/>
      <w:autoSpaceDN w:val="0"/>
      <w:adjustRightInd w:val="0"/>
      <w:spacing w:after="0" w:line="276" w:lineRule="auto"/>
      <w:jc w:val="center"/>
    </w:pPr>
    <w:rPr>
      <w:sz w:val="36"/>
      <w:szCs w:val="36"/>
      <w:lang w:eastAsia="x-none"/>
    </w:rPr>
  </w:style>
  <w:style w:type="character" w:customStyle="1" w:styleId="1JUDULJOURNALChar">
    <w:name w:val="1JUDUL JOURNAL Char"/>
    <w:link w:val="1JUDULJOURNAL"/>
    <w:rsid w:val="00217622"/>
    <w:rPr>
      <w:rFonts w:ascii="Calibri" w:eastAsia="Calibri" w:hAnsi="Calibri" w:cs="Times New Roman"/>
      <w:sz w:val="36"/>
      <w:szCs w:val="36"/>
      <w:lang w:val="id-ID"/>
    </w:rPr>
  </w:style>
  <w:style w:type="paragraph" w:customStyle="1" w:styleId="1ABSTRAK">
    <w:name w:val="1ABSTRAK"/>
    <w:basedOn w:val="Normal"/>
    <w:link w:val="1ABSTRAKChar"/>
    <w:qFormat/>
    <w:rsid w:val="00217622"/>
    <w:pPr>
      <w:spacing w:after="0" w:line="240" w:lineRule="auto"/>
      <w:jc w:val="both"/>
    </w:pPr>
    <w:rPr>
      <w:szCs w:val="20"/>
      <w:lang w:eastAsia="x-none"/>
    </w:rPr>
  </w:style>
  <w:style w:type="character" w:customStyle="1" w:styleId="1ABSTRAKChar">
    <w:name w:val="1ABSTRAK Char"/>
    <w:link w:val="1ABSTRAK"/>
    <w:rsid w:val="00217622"/>
    <w:rPr>
      <w:rFonts w:ascii="Calibri" w:eastAsia="Calibri" w:hAnsi="Calibri" w:cs="Times New Roman"/>
      <w:sz w:val="24"/>
      <w:lang w:val="id-ID"/>
    </w:rPr>
  </w:style>
  <w:style w:type="paragraph" w:customStyle="1" w:styleId="1SUBJUDUL">
    <w:name w:val="1SUBJUDUL"/>
    <w:basedOn w:val="Normal"/>
    <w:link w:val="1SUBJUDULChar"/>
    <w:qFormat/>
    <w:rsid w:val="00217622"/>
    <w:pPr>
      <w:spacing w:line="240" w:lineRule="auto"/>
      <w:jc w:val="both"/>
    </w:pPr>
    <w:rPr>
      <w:b/>
      <w:caps/>
      <w:szCs w:val="20"/>
      <w:lang w:eastAsia="x-none"/>
    </w:rPr>
  </w:style>
  <w:style w:type="character" w:customStyle="1" w:styleId="1SUBJUDULChar">
    <w:name w:val="1SUBJUDUL Char"/>
    <w:link w:val="1SUBJUDUL"/>
    <w:rsid w:val="00217622"/>
    <w:rPr>
      <w:rFonts w:ascii="Calibri" w:eastAsia="Calibri" w:hAnsi="Calibri" w:cs="Times New Roman"/>
      <w:b/>
      <w:caps/>
      <w:sz w:val="24"/>
      <w:lang w:val="id-ID"/>
    </w:rPr>
  </w:style>
  <w:style w:type="paragraph" w:styleId="DaftarParagraf">
    <w:name w:val="List Paragraph"/>
    <w:aliases w:val="kepala,BAB,ANNEX,List Paragraph1,gambar,sub SUBBAB,TABEL,List Paragraph untuk Tabel,List Paragraph untuk tabel,Box,Colorful List - Accent 11,Body Text Char1,Char Char2,List Paragraph2,POINT,- Par,Tabel,Dalam Tabel,List Paragraph11,teks,L"/>
    <w:basedOn w:val="Normal"/>
    <w:link w:val="DaftarParagrafKAR"/>
    <w:uiPriority w:val="1"/>
    <w:qFormat/>
    <w:rsid w:val="00DA3CBF"/>
    <w:pPr>
      <w:ind w:left="720"/>
      <w:contextualSpacing/>
    </w:pPr>
  </w:style>
  <w:style w:type="paragraph" w:customStyle="1" w:styleId="1FigTabJournal">
    <w:name w:val="1FigTab Journal"/>
    <w:basedOn w:val="Normal"/>
    <w:link w:val="1FigTabJournalChar"/>
    <w:qFormat/>
    <w:rsid w:val="00404791"/>
    <w:pPr>
      <w:autoSpaceDE w:val="0"/>
      <w:autoSpaceDN w:val="0"/>
      <w:adjustRightInd w:val="0"/>
      <w:spacing w:line="240" w:lineRule="auto"/>
      <w:jc w:val="center"/>
    </w:pPr>
    <w:rPr>
      <w:szCs w:val="20"/>
      <w:lang w:eastAsia="x-none"/>
    </w:rPr>
  </w:style>
  <w:style w:type="character" w:customStyle="1" w:styleId="1FigTabJournalChar">
    <w:name w:val="1FigTab Journal Char"/>
    <w:link w:val="1FigTabJournal"/>
    <w:rsid w:val="00404791"/>
    <w:rPr>
      <w:rFonts w:ascii="Calibri" w:eastAsia="Calibri" w:hAnsi="Calibri" w:cs="Times New Roman"/>
      <w:sz w:val="24"/>
      <w:lang w:val="id-ID"/>
    </w:rPr>
  </w:style>
  <w:style w:type="paragraph" w:customStyle="1" w:styleId="1ISIJOURNAL">
    <w:name w:val="1ISIJOURNAL"/>
    <w:basedOn w:val="Normal"/>
    <w:link w:val="1ISIJOURNALChar"/>
    <w:qFormat/>
    <w:rsid w:val="00C13B75"/>
    <w:pPr>
      <w:autoSpaceDE w:val="0"/>
      <w:autoSpaceDN w:val="0"/>
      <w:adjustRightInd w:val="0"/>
      <w:spacing w:line="240" w:lineRule="auto"/>
      <w:ind w:firstLine="425"/>
      <w:jc w:val="both"/>
    </w:pPr>
    <w:rPr>
      <w:szCs w:val="20"/>
      <w:lang w:eastAsia="x-none"/>
    </w:rPr>
  </w:style>
  <w:style w:type="character" w:customStyle="1" w:styleId="1ISIJOURNALChar">
    <w:name w:val="1ISIJOURNAL Char"/>
    <w:link w:val="1ISIJOURNAL"/>
    <w:rsid w:val="00C13B75"/>
    <w:rPr>
      <w:rFonts w:ascii="Calibri" w:eastAsia="Calibri" w:hAnsi="Calibri" w:cs="Times New Roman"/>
      <w:sz w:val="24"/>
      <w:lang w:val="id-ID"/>
    </w:rPr>
  </w:style>
  <w:style w:type="paragraph" w:customStyle="1" w:styleId="Body">
    <w:name w:val="Body"/>
    <w:basedOn w:val="Normal"/>
    <w:rsid w:val="00A1479E"/>
    <w:pPr>
      <w:widowControl w:val="0"/>
      <w:autoSpaceDE w:val="0"/>
      <w:autoSpaceDN w:val="0"/>
      <w:adjustRightInd w:val="0"/>
      <w:spacing w:after="0" w:line="360" w:lineRule="auto"/>
      <w:ind w:firstLine="340"/>
      <w:jc w:val="both"/>
      <w:textAlignment w:val="baseline"/>
    </w:pPr>
    <w:rPr>
      <w:rFonts w:ascii="Times New Roman" w:eastAsia="BatangChe" w:hAnsi="Times New Roman"/>
      <w:szCs w:val="20"/>
      <w:lang w:val="en-US" w:eastAsia="ko-KR"/>
    </w:rPr>
  </w:style>
  <w:style w:type="paragraph" w:customStyle="1" w:styleId="FigureTitle">
    <w:name w:val="FigureTitle"/>
    <w:basedOn w:val="Body"/>
    <w:rsid w:val="00A1479E"/>
    <w:pPr>
      <w:spacing w:after="120"/>
      <w:jc w:val="center"/>
    </w:pPr>
    <w:rPr>
      <w:i/>
    </w:rPr>
  </w:style>
  <w:style w:type="paragraph" w:customStyle="1" w:styleId="Papersection">
    <w:name w:val="Paper section"/>
    <w:next w:val="Normal"/>
    <w:qFormat/>
    <w:rsid w:val="00107DF6"/>
    <w:pPr>
      <w:numPr>
        <w:numId w:val="1"/>
      </w:numPr>
      <w:spacing w:line="480" w:lineRule="auto"/>
    </w:pPr>
    <w:rPr>
      <w:rFonts w:ascii="Times New Roman" w:hAnsi="Times New Roman" w:cs="Arial"/>
      <w:b/>
      <w:color w:val="000000"/>
      <w:szCs w:val="22"/>
      <w:lang w:val="en-US" w:eastAsia="en-US"/>
    </w:rPr>
  </w:style>
  <w:style w:type="paragraph" w:customStyle="1" w:styleId="Papersubsection">
    <w:name w:val="Paper subsection"/>
    <w:next w:val="Normal"/>
    <w:qFormat/>
    <w:rsid w:val="00107DF6"/>
    <w:pPr>
      <w:numPr>
        <w:ilvl w:val="1"/>
        <w:numId w:val="1"/>
      </w:numPr>
      <w:spacing w:line="480" w:lineRule="auto"/>
    </w:pPr>
    <w:rPr>
      <w:rFonts w:ascii="Times New Roman" w:hAnsi="Times New Roman" w:cs="Arial"/>
      <w:b/>
      <w:color w:val="000000"/>
      <w:szCs w:val="22"/>
      <w:lang w:val="en-US" w:eastAsia="en-US"/>
    </w:rPr>
  </w:style>
  <w:style w:type="paragraph" w:customStyle="1" w:styleId="Papermain">
    <w:name w:val="Paper main"/>
    <w:uiPriority w:val="99"/>
    <w:qFormat/>
    <w:rsid w:val="00460E66"/>
    <w:pPr>
      <w:spacing w:line="480" w:lineRule="auto"/>
      <w:jc w:val="both"/>
    </w:pPr>
    <w:rPr>
      <w:rFonts w:ascii="Times New Roman" w:hAnsi="Times New Roman" w:cs="Arial"/>
      <w:color w:val="000000"/>
      <w:szCs w:val="22"/>
      <w:lang w:val="en-US" w:eastAsia="en-US"/>
    </w:rPr>
  </w:style>
  <w:style w:type="paragraph" w:customStyle="1" w:styleId="08ArticleText">
    <w:name w:val="08 Article Text"/>
    <w:rsid w:val="00EC4525"/>
    <w:pPr>
      <w:widowControl w:val="0"/>
      <w:tabs>
        <w:tab w:val="left" w:pos="198"/>
      </w:tabs>
      <w:spacing w:line="230" w:lineRule="exact"/>
      <w:jc w:val="both"/>
    </w:pPr>
    <w:rPr>
      <w:rFonts w:ascii="Times New Roman" w:eastAsia="MS Mincho" w:hAnsi="Times New Roman"/>
      <w:noProof/>
      <w:spacing w:val="4"/>
      <w:sz w:val="18"/>
      <w:szCs w:val="18"/>
    </w:rPr>
  </w:style>
  <w:style w:type="character" w:customStyle="1" w:styleId="shorttext">
    <w:name w:val="short_text"/>
    <w:rsid w:val="00337231"/>
  </w:style>
  <w:style w:type="paragraph" w:styleId="TeksBalon">
    <w:name w:val="Balloon Text"/>
    <w:basedOn w:val="Normal"/>
    <w:link w:val="TeksBalonKAR"/>
    <w:uiPriority w:val="99"/>
    <w:semiHidden/>
    <w:unhideWhenUsed/>
    <w:rsid w:val="003827B4"/>
    <w:pPr>
      <w:spacing w:after="0" w:line="240" w:lineRule="auto"/>
    </w:pPr>
    <w:rPr>
      <w:rFonts w:ascii="Tahoma" w:hAnsi="Tahoma"/>
      <w:sz w:val="16"/>
      <w:szCs w:val="16"/>
      <w:lang w:eastAsia="x-none"/>
    </w:rPr>
  </w:style>
  <w:style w:type="character" w:customStyle="1" w:styleId="TeksBalonKAR">
    <w:name w:val="Teks Balon KAR"/>
    <w:link w:val="TeksBalon"/>
    <w:uiPriority w:val="99"/>
    <w:semiHidden/>
    <w:rsid w:val="003827B4"/>
    <w:rPr>
      <w:rFonts w:ascii="Tahoma" w:eastAsia="Calibri" w:hAnsi="Tahoma" w:cs="Tahoma"/>
      <w:sz w:val="16"/>
      <w:szCs w:val="16"/>
      <w:lang w:val="id-ID"/>
    </w:rPr>
  </w:style>
  <w:style w:type="character" w:customStyle="1" w:styleId="CharChar7">
    <w:name w:val="Char Char7"/>
    <w:rsid w:val="008171F4"/>
    <w:rPr>
      <w:rFonts w:ascii="Calibri" w:eastAsia="MS Mincho" w:hAnsi="Calibri" w:cs="Times New Roman"/>
      <w:lang w:val="en-US" w:eastAsia="ja-JP"/>
    </w:rPr>
  </w:style>
  <w:style w:type="character" w:customStyle="1" w:styleId="CharChar6">
    <w:name w:val="Char Char6"/>
    <w:basedOn w:val="FontParagrafDefault"/>
    <w:rsid w:val="008171F4"/>
  </w:style>
  <w:style w:type="paragraph" w:customStyle="1" w:styleId="1PENULIS">
    <w:name w:val="1PENULIS"/>
    <w:basedOn w:val="Normal"/>
    <w:link w:val="1PENULISChar"/>
    <w:qFormat/>
    <w:rsid w:val="008171F4"/>
    <w:pPr>
      <w:autoSpaceDE w:val="0"/>
      <w:autoSpaceDN w:val="0"/>
      <w:adjustRightInd w:val="0"/>
      <w:spacing w:line="360" w:lineRule="auto"/>
      <w:jc w:val="center"/>
    </w:pPr>
    <w:rPr>
      <w:i/>
    </w:rPr>
  </w:style>
  <w:style w:type="character" w:customStyle="1" w:styleId="1PENULISChar">
    <w:name w:val="1PENULIS Char"/>
    <w:link w:val="1PENULIS"/>
    <w:rsid w:val="008171F4"/>
    <w:rPr>
      <w:rFonts w:ascii="Calibri" w:eastAsia="Calibri" w:hAnsi="Calibri"/>
      <w:i/>
      <w:sz w:val="24"/>
      <w:szCs w:val="22"/>
      <w:lang w:val="id-ID" w:eastAsia="en-US" w:bidi="ar-SA"/>
    </w:rPr>
  </w:style>
  <w:style w:type="paragraph" w:customStyle="1" w:styleId="msolistparagraph0">
    <w:name w:val="msolistparagraph"/>
    <w:basedOn w:val="Normal"/>
    <w:rsid w:val="008171F4"/>
    <w:pPr>
      <w:spacing w:line="256" w:lineRule="auto"/>
      <w:ind w:left="720"/>
      <w:contextualSpacing/>
    </w:pPr>
    <w:rPr>
      <w:lang w:val="en-US"/>
    </w:rPr>
  </w:style>
  <w:style w:type="paragraph" w:styleId="Keterangan">
    <w:name w:val="caption"/>
    <w:basedOn w:val="Normal"/>
    <w:next w:val="Normal"/>
    <w:uiPriority w:val="35"/>
    <w:qFormat/>
    <w:rsid w:val="008171F4"/>
    <w:pPr>
      <w:widowControl w:val="0"/>
      <w:spacing w:after="0" w:line="240" w:lineRule="auto"/>
      <w:jc w:val="both"/>
    </w:pPr>
    <w:rPr>
      <w:rFonts w:ascii="Century" w:eastAsia="MS Mincho" w:hAnsi="Century"/>
      <w:b/>
      <w:bCs/>
      <w:kern w:val="2"/>
      <w:sz w:val="20"/>
      <w:szCs w:val="20"/>
      <w:lang w:val="en-US" w:eastAsia="ja-JP"/>
    </w:rPr>
  </w:style>
  <w:style w:type="paragraph" w:styleId="Bibliografi">
    <w:name w:val="Bibliography"/>
    <w:basedOn w:val="Normal"/>
    <w:next w:val="Normal"/>
    <w:unhideWhenUsed/>
    <w:rsid w:val="008171F4"/>
    <w:pPr>
      <w:widowControl w:val="0"/>
      <w:spacing w:after="0" w:line="240" w:lineRule="auto"/>
      <w:jc w:val="both"/>
    </w:pPr>
    <w:rPr>
      <w:rFonts w:ascii="Century" w:eastAsia="MS Mincho" w:hAnsi="Century"/>
      <w:kern w:val="2"/>
      <w:sz w:val="21"/>
      <w:lang w:val="en-US" w:eastAsia="ja-JP"/>
    </w:rPr>
  </w:style>
  <w:style w:type="character" w:styleId="Penekanan">
    <w:name w:val="Emphasis"/>
    <w:uiPriority w:val="20"/>
    <w:qFormat/>
    <w:rsid w:val="008171F4"/>
    <w:rPr>
      <w:rFonts w:cs="Times New Roman"/>
      <w:i/>
      <w:iCs/>
    </w:rPr>
  </w:style>
  <w:style w:type="paragraph" w:styleId="TeksKomentar">
    <w:name w:val="annotation text"/>
    <w:basedOn w:val="Normal"/>
    <w:link w:val="TeksKomentarKAR"/>
    <w:uiPriority w:val="99"/>
    <w:unhideWhenUsed/>
    <w:rsid w:val="008171F4"/>
    <w:pPr>
      <w:spacing w:line="240" w:lineRule="auto"/>
    </w:pPr>
    <w:rPr>
      <w:sz w:val="20"/>
      <w:szCs w:val="20"/>
    </w:rPr>
  </w:style>
  <w:style w:type="character" w:customStyle="1" w:styleId="TeksKomentarKAR">
    <w:name w:val="Teks Komentar KAR"/>
    <w:link w:val="TeksKomentar"/>
    <w:uiPriority w:val="99"/>
    <w:rsid w:val="008171F4"/>
    <w:rPr>
      <w:rFonts w:ascii="Calibri" w:eastAsia="Calibri" w:hAnsi="Calibri"/>
      <w:lang w:val="id-ID" w:eastAsia="en-US" w:bidi="ar-SA"/>
    </w:rPr>
  </w:style>
  <w:style w:type="paragraph" w:styleId="SubjekKomentar">
    <w:name w:val="annotation subject"/>
    <w:basedOn w:val="TeksKomentar"/>
    <w:next w:val="TeksKomentar"/>
    <w:link w:val="SubjekKomentarKAR"/>
    <w:uiPriority w:val="99"/>
    <w:rsid w:val="008171F4"/>
    <w:pPr>
      <w:spacing w:after="0"/>
    </w:pPr>
    <w:rPr>
      <w:b/>
      <w:bCs/>
      <w:lang w:val="en-US"/>
    </w:rPr>
  </w:style>
  <w:style w:type="character" w:customStyle="1" w:styleId="SubjekKomentarKAR">
    <w:name w:val="Subjek Komentar KAR"/>
    <w:link w:val="SubjekKomentar"/>
    <w:uiPriority w:val="99"/>
    <w:rsid w:val="008171F4"/>
    <w:rPr>
      <w:b/>
      <w:bCs/>
      <w:lang w:val="en-US" w:eastAsia="en-US" w:bidi="ar-SA"/>
    </w:rPr>
  </w:style>
  <w:style w:type="paragraph" w:customStyle="1" w:styleId="1ssubjournal">
    <w:name w:val="1ssubjournal"/>
    <w:basedOn w:val="1ISIJOURNAL"/>
    <w:link w:val="1ssubjournalChar"/>
    <w:qFormat/>
    <w:rsid w:val="008171F4"/>
    <w:pPr>
      <w:ind w:firstLine="0"/>
    </w:pPr>
    <w:rPr>
      <w:b/>
      <w:i/>
      <w:szCs w:val="24"/>
    </w:rPr>
  </w:style>
  <w:style w:type="character" w:customStyle="1" w:styleId="1ssubjournalChar">
    <w:name w:val="1ssubjournal Char"/>
    <w:link w:val="1ssubjournal"/>
    <w:rsid w:val="008171F4"/>
    <w:rPr>
      <w:rFonts w:ascii="Calibri" w:eastAsia="Calibri" w:hAnsi="Calibri"/>
      <w:b/>
      <w:i/>
      <w:sz w:val="24"/>
      <w:szCs w:val="24"/>
      <w:lang w:val="id-ID" w:eastAsia="en-US" w:bidi="ar-SA"/>
    </w:rPr>
  </w:style>
  <w:style w:type="paragraph" w:customStyle="1" w:styleId="Isi">
    <w:name w:val="Isi"/>
    <w:basedOn w:val="1ISIJOURNAL"/>
    <w:link w:val="IsiChar"/>
    <w:qFormat/>
    <w:rsid w:val="008171F4"/>
    <w:pPr>
      <w:ind w:firstLine="540"/>
    </w:pPr>
    <w:rPr>
      <w:noProof/>
      <w:lang w:val="en-US"/>
    </w:rPr>
  </w:style>
  <w:style w:type="character" w:customStyle="1" w:styleId="IsiChar">
    <w:name w:val="Isi Char"/>
    <w:link w:val="Isi"/>
    <w:rsid w:val="008171F4"/>
    <w:rPr>
      <w:rFonts w:ascii="Calibri" w:eastAsia="Calibri" w:hAnsi="Calibri"/>
      <w:noProof/>
      <w:sz w:val="24"/>
      <w:szCs w:val="22"/>
      <w:lang w:val="en-US" w:eastAsia="en-US" w:bidi="ar-SA"/>
    </w:rPr>
  </w:style>
  <w:style w:type="paragraph" w:customStyle="1" w:styleId="Abstract">
    <w:name w:val="Abstract"/>
    <w:basedOn w:val="Normal"/>
    <w:rsid w:val="008171F4"/>
    <w:pPr>
      <w:widowControl w:val="0"/>
      <w:spacing w:after="0" w:line="250" w:lineRule="exact"/>
      <w:jc w:val="both"/>
    </w:pPr>
    <w:rPr>
      <w:rFonts w:ascii="Times New Roman" w:eastAsia="MS Mincho" w:hAnsi="Times New Roman"/>
      <w:kern w:val="2"/>
      <w:lang w:val="en-US" w:eastAsia="ja-JP"/>
    </w:rPr>
  </w:style>
  <w:style w:type="paragraph" w:styleId="NormalWeb">
    <w:name w:val="Normal (Web)"/>
    <w:basedOn w:val="Normal"/>
    <w:uiPriority w:val="99"/>
    <w:unhideWhenUsed/>
    <w:rsid w:val="008171F4"/>
    <w:pPr>
      <w:spacing w:before="100" w:beforeAutospacing="1" w:after="100" w:afterAutospacing="1" w:line="240" w:lineRule="auto"/>
    </w:pPr>
    <w:rPr>
      <w:rFonts w:ascii="Times New Roman" w:eastAsia="Times New Roman" w:hAnsi="Times New Roman"/>
      <w:lang w:eastAsia="id-ID"/>
    </w:rPr>
  </w:style>
  <w:style w:type="paragraph" w:customStyle="1" w:styleId="1subjud">
    <w:name w:val="1subjud"/>
    <w:basedOn w:val="1SUBJUDUL"/>
    <w:link w:val="1subjudChar"/>
    <w:qFormat/>
    <w:rsid w:val="008171F4"/>
    <w:pPr>
      <w:tabs>
        <w:tab w:val="num" w:pos="720"/>
      </w:tabs>
      <w:ind w:left="360" w:hanging="720"/>
    </w:pPr>
    <w:rPr>
      <w:lang w:val="en-US"/>
    </w:rPr>
  </w:style>
  <w:style w:type="character" w:customStyle="1" w:styleId="1subjudChar">
    <w:name w:val="1subjud Char"/>
    <w:link w:val="1subjud"/>
    <w:rsid w:val="008171F4"/>
    <w:rPr>
      <w:b/>
      <w:caps/>
      <w:szCs w:val="20"/>
      <w:lang w:val="en-US" w:eastAsia="x-none"/>
    </w:rPr>
  </w:style>
  <w:style w:type="paragraph" w:customStyle="1" w:styleId="subsub">
    <w:name w:val="subsub"/>
    <w:basedOn w:val="1SUBJUDUL"/>
    <w:link w:val="subsubChar"/>
    <w:qFormat/>
    <w:rsid w:val="008171F4"/>
    <w:pPr>
      <w:tabs>
        <w:tab w:val="num" w:pos="1440"/>
      </w:tabs>
      <w:ind w:left="540" w:hanging="540"/>
    </w:pPr>
    <w:rPr>
      <w:caps w:val="0"/>
      <w:lang w:val="x-none"/>
    </w:rPr>
  </w:style>
  <w:style w:type="character" w:customStyle="1" w:styleId="subsubChar">
    <w:name w:val="subsub Char"/>
    <w:link w:val="subsub"/>
    <w:rsid w:val="008171F4"/>
    <w:rPr>
      <w:b/>
      <w:szCs w:val="20"/>
      <w:lang w:val="x-none" w:eastAsia="x-none"/>
    </w:rPr>
  </w:style>
  <w:style w:type="character" w:styleId="ReferensiKomentar">
    <w:name w:val="annotation reference"/>
    <w:uiPriority w:val="99"/>
    <w:unhideWhenUsed/>
    <w:rsid w:val="008171F4"/>
    <w:rPr>
      <w:sz w:val="16"/>
      <w:szCs w:val="16"/>
    </w:rPr>
  </w:style>
  <w:style w:type="paragraph" w:customStyle="1" w:styleId="BBAuthorName">
    <w:name w:val="BB_Author_Name"/>
    <w:basedOn w:val="Normal"/>
    <w:next w:val="Normal"/>
    <w:rsid w:val="008171F4"/>
    <w:pPr>
      <w:spacing w:after="240" w:line="480" w:lineRule="auto"/>
      <w:jc w:val="center"/>
    </w:pPr>
    <w:rPr>
      <w:rFonts w:ascii="Times" w:eastAsia="MS Mincho" w:hAnsi="Times" w:cs="Times"/>
      <w:i/>
      <w:iCs/>
      <w:lang w:val="en-US"/>
    </w:rPr>
  </w:style>
  <w:style w:type="paragraph" w:customStyle="1" w:styleId="BIEmailAddress">
    <w:name w:val="BI_Email_Address"/>
    <w:basedOn w:val="Normal"/>
    <w:next w:val="Normal"/>
    <w:rsid w:val="008171F4"/>
    <w:pPr>
      <w:spacing w:after="200" w:line="480" w:lineRule="auto"/>
      <w:jc w:val="both"/>
    </w:pPr>
    <w:rPr>
      <w:rFonts w:ascii="Times" w:eastAsia="MS Mincho" w:hAnsi="Times" w:cs="Times"/>
      <w:lang w:val="en-US"/>
    </w:rPr>
  </w:style>
  <w:style w:type="paragraph" w:customStyle="1" w:styleId="TAMainText">
    <w:name w:val="TA_Main_Text"/>
    <w:basedOn w:val="Normal"/>
    <w:rsid w:val="008171F4"/>
    <w:pPr>
      <w:spacing w:after="0" w:line="480" w:lineRule="auto"/>
      <w:ind w:firstLine="202"/>
      <w:jc w:val="both"/>
    </w:pPr>
    <w:rPr>
      <w:rFonts w:ascii="Times" w:eastAsia="MS Mincho" w:hAnsi="Times" w:cs="Times"/>
      <w:lang w:val="en-US"/>
    </w:rPr>
  </w:style>
  <w:style w:type="character" w:styleId="NomorHalaman">
    <w:name w:val="page number"/>
    <w:rsid w:val="008171F4"/>
    <w:rPr>
      <w:rFonts w:cs="Times New Roman"/>
    </w:rPr>
  </w:style>
  <w:style w:type="character" w:styleId="NomorBaris">
    <w:name w:val="line number"/>
    <w:rsid w:val="008171F4"/>
    <w:rPr>
      <w:rFonts w:cs="Times New Roman"/>
    </w:rPr>
  </w:style>
  <w:style w:type="character" w:customStyle="1" w:styleId="refpreview1">
    <w:name w:val="refpreview1"/>
    <w:rsid w:val="008171F4"/>
    <w:rPr>
      <w:rFonts w:cs="Times New Roman"/>
      <w:vanish/>
      <w:shd w:val="clear" w:color="auto" w:fill="auto"/>
    </w:rPr>
  </w:style>
  <w:style w:type="character" w:styleId="Kuat">
    <w:name w:val="Strong"/>
    <w:uiPriority w:val="22"/>
    <w:qFormat/>
    <w:rsid w:val="008171F4"/>
    <w:rPr>
      <w:rFonts w:cs="Times New Roman"/>
      <w:b/>
      <w:bCs/>
    </w:rPr>
  </w:style>
  <w:style w:type="character" w:customStyle="1" w:styleId="smcaps">
    <w:name w:val="smcaps"/>
    <w:basedOn w:val="FontParagrafDefault"/>
    <w:rsid w:val="008171F4"/>
  </w:style>
  <w:style w:type="paragraph" w:customStyle="1" w:styleId="G1bFigureCaption">
    <w:name w:val="G1b Figure Caption"/>
    <w:basedOn w:val="Normal"/>
    <w:rsid w:val="008171F4"/>
    <w:pPr>
      <w:shd w:val="solid" w:color="FFFFFF" w:fill="FFFFFF"/>
      <w:spacing w:before="40" w:line="190" w:lineRule="exact"/>
      <w:jc w:val="center"/>
    </w:pPr>
    <w:rPr>
      <w:rFonts w:ascii="Times New Roman" w:eastAsia="MS Mincho" w:hAnsi="Times New Roman"/>
      <w:sz w:val="16"/>
      <w:lang w:val="en-US" w:eastAsia="ja-JP"/>
    </w:rPr>
  </w:style>
  <w:style w:type="paragraph" w:customStyle="1" w:styleId="31">
    <w:name w:val="本文インデント 31"/>
    <w:basedOn w:val="Normal"/>
    <w:rsid w:val="008171F4"/>
    <w:pPr>
      <w:widowControl w:val="0"/>
      <w:suppressAutoHyphens/>
      <w:spacing w:after="0" w:line="240" w:lineRule="auto"/>
      <w:ind w:firstLine="840"/>
      <w:jc w:val="both"/>
    </w:pPr>
    <w:rPr>
      <w:rFonts w:ascii="Times New Roman" w:eastAsia="MS Mincho" w:hAnsi="Times New Roman" w:cs="Century"/>
      <w:kern w:val="1"/>
      <w:lang w:val="en-US" w:eastAsia="ar-SA"/>
    </w:rPr>
  </w:style>
  <w:style w:type="paragraph" w:customStyle="1" w:styleId="VDTableTitle">
    <w:name w:val="VD_Table_Title"/>
    <w:basedOn w:val="Normal"/>
    <w:next w:val="Normal"/>
    <w:rsid w:val="008171F4"/>
    <w:pPr>
      <w:spacing w:after="200" w:line="480" w:lineRule="auto"/>
      <w:jc w:val="both"/>
    </w:pPr>
    <w:rPr>
      <w:rFonts w:ascii="Times" w:eastAsia="MS Mincho" w:hAnsi="Times"/>
      <w:szCs w:val="20"/>
      <w:lang w:val="en-US"/>
    </w:rPr>
  </w:style>
  <w:style w:type="paragraph" w:customStyle="1" w:styleId="TCTableBody">
    <w:name w:val="TC_Table_Body"/>
    <w:basedOn w:val="Normal"/>
    <w:rsid w:val="008171F4"/>
    <w:pPr>
      <w:spacing w:after="200" w:line="240" w:lineRule="auto"/>
      <w:jc w:val="both"/>
    </w:pPr>
    <w:rPr>
      <w:rFonts w:ascii="Times" w:eastAsia="MS Mincho" w:hAnsi="Times"/>
      <w:szCs w:val="20"/>
      <w:lang w:val="en-US"/>
    </w:rPr>
  </w:style>
  <w:style w:type="paragraph" w:styleId="IndenTeksIsi">
    <w:name w:val="Body Text Indent"/>
    <w:basedOn w:val="Normal"/>
    <w:rsid w:val="008171F4"/>
    <w:pPr>
      <w:widowControl w:val="0"/>
      <w:spacing w:after="0" w:line="240" w:lineRule="auto"/>
      <w:ind w:firstLine="720"/>
      <w:jc w:val="both"/>
    </w:pPr>
    <w:rPr>
      <w:rFonts w:ascii="Times New Roman" w:eastAsia="MS Mincho" w:hAnsi="Times New Roman"/>
      <w:color w:val="FF0000"/>
      <w:kern w:val="2"/>
      <w:lang w:val="en-US" w:eastAsia="ja-JP"/>
    </w:rPr>
  </w:style>
  <w:style w:type="paragraph" w:customStyle="1" w:styleId="Text">
    <w:name w:val="Text"/>
    <w:basedOn w:val="Normal"/>
    <w:link w:val="TextChar"/>
    <w:qFormat/>
    <w:rsid w:val="008171F4"/>
    <w:pPr>
      <w:spacing w:before="240" w:after="200" w:line="276" w:lineRule="auto"/>
      <w:jc w:val="both"/>
    </w:pPr>
    <w:rPr>
      <w:rFonts w:ascii="Cambria" w:hAnsi="Cambria"/>
      <w:lang w:val="en-US"/>
    </w:rPr>
  </w:style>
  <w:style w:type="character" w:customStyle="1" w:styleId="TextChar">
    <w:name w:val="Text Char"/>
    <w:link w:val="Text"/>
    <w:rsid w:val="008171F4"/>
    <w:rPr>
      <w:rFonts w:ascii="Cambria" w:eastAsia="Calibri" w:hAnsi="Cambria"/>
      <w:sz w:val="22"/>
      <w:szCs w:val="22"/>
      <w:lang w:val="en-US" w:eastAsia="en-US" w:bidi="ar-SA"/>
    </w:rPr>
  </w:style>
  <w:style w:type="paragraph" w:customStyle="1" w:styleId="References">
    <w:name w:val="References"/>
    <w:basedOn w:val="Normal"/>
    <w:rsid w:val="008171F4"/>
    <w:pPr>
      <w:tabs>
        <w:tab w:val="num" w:pos="720"/>
      </w:tabs>
      <w:autoSpaceDE w:val="0"/>
      <w:autoSpaceDN w:val="0"/>
      <w:spacing w:after="0" w:line="240" w:lineRule="auto"/>
      <w:ind w:left="720" w:hanging="720"/>
      <w:jc w:val="both"/>
    </w:pPr>
    <w:rPr>
      <w:rFonts w:ascii="Times New Roman" w:eastAsia="MS Mincho" w:hAnsi="Times New Roman"/>
      <w:sz w:val="16"/>
      <w:szCs w:val="16"/>
      <w:lang w:val="en-US"/>
    </w:rPr>
  </w:style>
  <w:style w:type="paragraph" w:customStyle="1" w:styleId="Default">
    <w:name w:val="Default"/>
    <w:rsid w:val="008171F4"/>
    <w:pPr>
      <w:autoSpaceDE w:val="0"/>
      <w:autoSpaceDN w:val="0"/>
      <w:adjustRightInd w:val="0"/>
    </w:pPr>
    <w:rPr>
      <w:rFonts w:ascii="Arial" w:eastAsia="Times New Roman" w:hAnsi="Arial" w:cs="Arial"/>
      <w:color w:val="000000"/>
      <w:lang w:val="en-US" w:eastAsia="en-US"/>
    </w:rPr>
  </w:style>
  <w:style w:type="paragraph" w:customStyle="1" w:styleId="Bullet2">
    <w:name w:val="Bullet 2"/>
    <w:basedOn w:val="Normal"/>
    <w:rsid w:val="008171F4"/>
    <w:pPr>
      <w:tabs>
        <w:tab w:val="num" w:pos="720"/>
      </w:tabs>
      <w:spacing w:before="240" w:after="60" w:line="240" w:lineRule="auto"/>
      <w:ind w:left="720" w:hanging="720"/>
      <w:jc w:val="both"/>
    </w:pPr>
    <w:rPr>
      <w:rFonts w:ascii="Arial" w:eastAsia="Times New Roman" w:hAnsi="Arial" w:cs="Arial"/>
      <w:sz w:val="20"/>
      <w:szCs w:val="20"/>
      <w:lang w:bidi="th-TH"/>
    </w:rPr>
  </w:style>
  <w:style w:type="paragraph" w:customStyle="1" w:styleId="11text">
    <w:name w:val="1.1 text"/>
    <w:basedOn w:val="Normal"/>
    <w:rsid w:val="008171F4"/>
    <w:pPr>
      <w:spacing w:after="120" w:line="240" w:lineRule="auto"/>
      <w:jc w:val="both"/>
    </w:pPr>
    <w:rPr>
      <w:rFonts w:ascii="Arial Narrow" w:eastAsia="PMingLiU" w:hAnsi="Arial Narrow" w:cs="Arial"/>
      <w:szCs w:val="20"/>
      <w:lang w:val="en-US"/>
    </w:rPr>
  </w:style>
  <w:style w:type="paragraph" w:styleId="TeksIsi">
    <w:name w:val="Body Text"/>
    <w:basedOn w:val="Normal"/>
    <w:link w:val="TeksIsiKAR"/>
    <w:uiPriority w:val="1"/>
    <w:unhideWhenUsed/>
    <w:qFormat/>
    <w:rsid w:val="008D462E"/>
    <w:pPr>
      <w:spacing w:after="120"/>
    </w:pPr>
    <w:rPr>
      <w:lang w:val="x-none"/>
    </w:rPr>
  </w:style>
  <w:style w:type="character" w:customStyle="1" w:styleId="TeksIsiKAR">
    <w:name w:val="Teks Isi KAR"/>
    <w:link w:val="TeksIsi"/>
    <w:uiPriority w:val="1"/>
    <w:rsid w:val="008D462E"/>
    <w:rPr>
      <w:sz w:val="22"/>
      <w:szCs w:val="22"/>
      <w:lang w:eastAsia="en-US"/>
    </w:rPr>
  </w:style>
  <w:style w:type="character" w:customStyle="1" w:styleId="Judul4KAR">
    <w:name w:val="Judul 4 KAR"/>
    <w:link w:val="Judul4"/>
    <w:rsid w:val="008D462E"/>
    <w:rPr>
      <w:rFonts w:ascii="Times New Roman" w:eastAsia="Times New Roman" w:hAnsi="Times New Roman"/>
      <w:i/>
      <w:iCs/>
      <w:sz w:val="18"/>
      <w:szCs w:val="18"/>
      <w:lang w:val="en-US" w:eastAsia="en-US"/>
    </w:rPr>
  </w:style>
  <w:style w:type="character" w:customStyle="1" w:styleId="Judul5KAR">
    <w:name w:val="Judul 5 KAR"/>
    <w:link w:val="Judul5"/>
    <w:rsid w:val="008D462E"/>
    <w:rPr>
      <w:rFonts w:ascii="Times New Roman" w:eastAsia="Times New Roman" w:hAnsi="Times New Roman"/>
      <w:sz w:val="18"/>
      <w:szCs w:val="18"/>
      <w:lang w:val="en-US" w:eastAsia="en-US"/>
    </w:rPr>
  </w:style>
  <w:style w:type="character" w:customStyle="1" w:styleId="Judul6KAR">
    <w:name w:val="Judul 6 KAR"/>
    <w:link w:val="Judul6"/>
    <w:rsid w:val="008D462E"/>
    <w:rPr>
      <w:rFonts w:ascii="Times New Roman" w:eastAsia="Times New Roman" w:hAnsi="Times New Roman"/>
      <w:i/>
      <w:iCs/>
      <w:sz w:val="16"/>
      <w:szCs w:val="16"/>
      <w:lang w:val="en-US" w:eastAsia="en-US"/>
    </w:rPr>
  </w:style>
  <w:style w:type="character" w:customStyle="1" w:styleId="Judul7KAR">
    <w:name w:val="Judul 7 KAR"/>
    <w:link w:val="Judul7"/>
    <w:rsid w:val="008D462E"/>
    <w:rPr>
      <w:rFonts w:ascii="Times New Roman" w:eastAsia="Times New Roman" w:hAnsi="Times New Roman"/>
      <w:sz w:val="16"/>
      <w:szCs w:val="16"/>
      <w:lang w:val="en-US" w:eastAsia="en-US"/>
    </w:rPr>
  </w:style>
  <w:style w:type="character" w:customStyle="1" w:styleId="Judul8KAR">
    <w:name w:val="Judul 8 KAR"/>
    <w:link w:val="Judul8"/>
    <w:rsid w:val="008D462E"/>
    <w:rPr>
      <w:rFonts w:ascii="Times New Roman" w:eastAsia="Times New Roman" w:hAnsi="Times New Roman"/>
      <w:i/>
      <w:iCs/>
      <w:sz w:val="16"/>
      <w:szCs w:val="16"/>
      <w:lang w:val="en-US" w:eastAsia="en-US"/>
    </w:rPr>
  </w:style>
  <w:style w:type="character" w:customStyle="1" w:styleId="Judul9KAR">
    <w:name w:val="Judul 9 KAR"/>
    <w:link w:val="Judul9"/>
    <w:rsid w:val="008D462E"/>
    <w:rPr>
      <w:rFonts w:ascii="Times New Roman" w:eastAsia="Times New Roman" w:hAnsi="Times New Roman"/>
      <w:sz w:val="16"/>
      <w:szCs w:val="16"/>
      <w:lang w:val="en-US" w:eastAsia="en-US"/>
    </w:rPr>
  </w:style>
  <w:style w:type="character" w:customStyle="1" w:styleId="alt-edited">
    <w:name w:val="alt-edited"/>
    <w:rsid w:val="008D462E"/>
  </w:style>
  <w:style w:type="table" w:styleId="KisiTabel">
    <w:name w:val="Table Grid"/>
    <w:aliases w:val="Tabelku"/>
    <w:basedOn w:val="TabelNormal"/>
    <w:uiPriority w:val="59"/>
    <w:rsid w:val="00D825B7"/>
    <w:pPr>
      <w:jc w:val="right"/>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C7187"/>
  </w:style>
  <w:style w:type="paragraph" w:customStyle="1" w:styleId="BodytextIndented">
    <w:name w:val="BodytextIndented"/>
    <w:basedOn w:val="Normal"/>
    <w:rsid w:val="009F35C3"/>
    <w:pPr>
      <w:spacing w:after="0" w:line="240" w:lineRule="auto"/>
      <w:ind w:firstLine="284"/>
      <w:jc w:val="both"/>
    </w:pPr>
    <w:rPr>
      <w:rFonts w:ascii="Times" w:eastAsiaTheme="minorEastAsia" w:hAnsi="Times"/>
      <w:iCs/>
      <w:color w:val="000000"/>
      <w:sz w:val="22"/>
      <w:szCs w:val="22"/>
      <w:lang w:val="en-US" w:eastAsia="en-US"/>
    </w:rPr>
  </w:style>
  <w:style w:type="paragraph" w:customStyle="1" w:styleId="Referencenonumber">
    <w:name w:val="Reference (no number)"/>
    <w:basedOn w:val="Normal"/>
    <w:rsid w:val="009F35C3"/>
    <w:pPr>
      <w:widowControl w:val="0"/>
      <w:tabs>
        <w:tab w:val="left" w:pos="567"/>
      </w:tabs>
      <w:spacing w:after="0" w:line="240" w:lineRule="auto"/>
      <w:ind w:left="851" w:hanging="284"/>
      <w:jc w:val="both"/>
    </w:pPr>
    <w:rPr>
      <w:rFonts w:ascii="Times" w:eastAsiaTheme="minorEastAsia" w:hAnsi="Times"/>
      <w:iCs/>
      <w:noProof/>
      <w:color w:val="000000"/>
      <w:sz w:val="22"/>
      <w:szCs w:val="22"/>
      <w:lang w:eastAsia="en-US"/>
    </w:rPr>
  </w:style>
  <w:style w:type="paragraph" w:customStyle="1" w:styleId="Subsubsection">
    <w:name w:val="Subsubsection"/>
    <w:next w:val="Bodytext"/>
    <w:rsid w:val="009F35C3"/>
    <w:pPr>
      <w:numPr>
        <w:ilvl w:val="2"/>
        <w:numId w:val="2"/>
      </w:numPr>
      <w:spacing w:before="240"/>
      <w:ind w:firstLine="0"/>
    </w:pPr>
    <w:rPr>
      <w:rFonts w:ascii="Times" w:eastAsiaTheme="minorEastAsia" w:hAnsi="Times"/>
      <w:i/>
      <w:iCs/>
      <w:color w:val="000000"/>
      <w:sz w:val="22"/>
      <w:szCs w:val="22"/>
      <w:lang w:eastAsia="en-US"/>
    </w:rPr>
  </w:style>
  <w:style w:type="paragraph" w:customStyle="1" w:styleId="Bodytext">
    <w:name w:val="Bodytext"/>
    <w:next w:val="BodytextIndented"/>
    <w:link w:val="Bodytext0"/>
    <w:rsid w:val="009F35C3"/>
    <w:pPr>
      <w:jc w:val="both"/>
    </w:pPr>
    <w:rPr>
      <w:rFonts w:ascii="Times" w:eastAsiaTheme="minorEastAsia" w:hAnsi="Times"/>
      <w:iCs/>
      <w:color w:val="000000"/>
      <w:sz w:val="22"/>
      <w:szCs w:val="22"/>
      <w:lang w:val="en-US" w:eastAsia="en-US"/>
    </w:rPr>
  </w:style>
  <w:style w:type="paragraph" w:customStyle="1" w:styleId="Section">
    <w:name w:val="Section"/>
    <w:next w:val="Bodytext"/>
    <w:rsid w:val="009F35C3"/>
    <w:pPr>
      <w:tabs>
        <w:tab w:val="num" w:pos="720"/>
      </w:tabs>
      <w:spacing w:before="240"/>
      <w:ind w:left="720" w:hanging="720"/>
    </w:pPr>
    <w:rPr>
      <w:rFonts w:ascii="Times" w:eastAsiaTheme="minorEastAsia" w:hAnsi="Times"/>
      <w:b/>
      <w:iCs/>
      <w:color w:val="000000"/>
      <w:sz w:val="22"/>
      <w:szCs w:val="22"/>
      <w:lang w:eastAsia="en-US"/>
    </w:rPr>
  </w:style>
  <w:style w:type="paragraph" w:customStyle="1" w:styleId="Subsection">
    <w:name w:val="Subsection"/>
    <w:next w:val="Bodytext"/>
    <w:rsid w:val="009F35C3"/>
    <w:pPr>
      <w:tabs>
        <w:tab w:val="num" w:pos="1440"/>
      </w:tabs>
      <w:spacing w:before="240"/>
      <w:ind w:left="1440" w:hanging="720"/>
    </w:pPr>
    <w:rPr>
      <w:rFonts w:ascii="Times" w:eastAsiaTheme="minorEastAsia" w:hAnsi="Times"/>
      <w:iCs/>
      <w:color w:val="000000"/>
      <w:sz w:val="22"/>
      <w:szCs w:val="22"/>
      <w:lang w:eastAsia="en-US"/>
    </w:rPr>
  </w:style>
  <w:style w:type="paragraph" w:customStyle="1" w:styleId="Sectionnonumber">
    <w:name w:val="Section (no number)"/>
    <w:next w:val="Bodytext"/>
    <w:rsid w:val="009F35C3"/>
    <w:pPr>
      <w:spacing w:before="240"/>
    </w:pPr>
    <w:rPr>
      <w:rFonts w:ascii="Times" w:eastAsiaTheme="minorEastAsia" w:hAnsi="Times"/>
      <w:b/>
      <w:iCs/>
      <w:color w:val="000000"/>
      <w:sz w:val="22"/>
      <w:szCs w:val="22"/>
      <w:lang w:val="en-US" w:eastAsia="en-US"/>
    </w:rPr>
  </w:style>
  <w:style w:type="character" w:customStyle="1" w:styleId="Bodytext0">
    <w:name w:val="Bodytext (文字)"/>
    <w:basedOn w:val="FontParagrafDefault"/>
    <w:link w:val="Bodytext"/>
    <w:rsid w:val="009F35C3"/>
    <w:rPr>
      <w:rFonts w:ascii="Times" w:eastAsiaTheme="minorEastAsia" w:hAnsi="Times"/>
      <w:iCs/>
      <w:color w:val="000000"/>
      <w:sz w:val="22"/>
      <w:szCs w:val="22"/>
      <w:lang w:val="en-US" w:eastAsia="en-US"/>
    </w:rPr>
  </w:style>
  <w:style w:type="paragraph" w:customStyle="1" w:styleId="EndNoteBibliography">
    <w:name w:val="EndNote Bibliography"/>
    <w:basedOn w:val="Normal"/>
    <w:link w:val="EndNoteBibliography0"/>
    <w:rsid w:val="001A727C"/>
    <w:pPr>
      <w:spacing w:after="0" w:line="240" w:lineRule="auto"/>
    </w:pPr>
    <w:rPr>
      <w:rFonts w:ascii="Times" w:eastAsiaTheme="minorEastAsia" w:hAnsi="Times" w:cs="Times"/>
      <w:noProof/>
      <w:sz w:val="22"/>
      <w:szCs w:val="20"/>
      <w:lang w:val="en-US" w:eastAsia="en-US"/>
    </w:rPr>
  </w:style>
  <w:style w:type="character" w:customStyle="1" w:styleId="EndNoteBibliography0">
    <w:name w:val="EndNote Bibliography (文字)"/>
    <w:basedOn w:val="FontParagrafDefault"/>
    <w:link w:val="EndNoteBibliography"/>
    <w:rsid w:val="001A727C"/>
    <w:rPr>
      <w:rFonts w:ascii="Times" w:eastAsiaTheme="minorEastAsia" w:hAnsi="Times" w:cs="Times"/>
      <w:noProof/>
      <w:sz w:val="22"/>
      <w:szCs w:val="20"/>
      <w:lang w:val="en-US" w:eastAsia="en-US"/>
    </w:rPr>
  </w:style>
  <w:style w:type="character" w:customStyle="1" w:styleId="UnresolvedMention1">
    <w:name w:val="Unresolved Mention1"/>
    <w:basedOn w:val="FontParagrafDefault"/>
    <w:uiPriority w:val="99"/>
    <w:semiHidden/>
    <w:unhideWhenUsed/>
    <w:rsid w:val="008960B7"/>
    <w:rPr>
      <w:color w:val="808080"/>
      <w:shd w:val="clear" w:color="auto" w:fill="E6E6E6"/>
    </w:rPr>
  </w:style>
  <w:style w:type="table" w:customStyle="1" w:styleId="TableGrid">
    <w:name w:val="TableGrid"/>
    <w:rsid w:val="004D103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EndNoteBibliographyTitle">
    <w:name w:val="EndNote Bibliography Title"/>
    <w:basedOn w:val="Normal"/>
    <w:link w:val="EndNoteBibliographyTitleChar"/>
    <w:rsid w:val="00322AE7"/>
    <w:pPr>
      <w:spacing w:after="0"/>
      <w:jc w:val="center"/>
    </w:pPr>
    <w:rPr>
      <w:rFonts w:ascii="Times" w:hAnsi="Times" w:cs="Times"/>
      <w:noProof/>
      <w:sz w:val="22"/>
    </w:rPr>
  </w:style>
  <w:style w:type="character" w:customStyle="1" w:styleId="EndNoteBibliographyTitleChar">
    <w:name w:val="EndNote Bibliography Title Char"/>
    <w:basedOn w:val="1ISIJOURNALChar"/>
    <w:link w:val="EndNoteBibliographyTitle"/>
    <w:rsid w:val="00322AE7"/>
    <w:rPr>
      <w:rFonts w:ascii="Times" w:eastAsia="Calibri" w:hAnsi="Times" w:cs="Times"/>
      <w:noProof/>
      <w:sz w:val="22"/>
      <w:lang w:val="id-ID"/>
    </w:rPr>
  </w:style>
  <w:style w:type="character" w:customStyle="1" w:styleId="UnresolvedMention2">
    <w:name w:val="Unresolved Mention2"/>
    <w:basedOn w:val="FontParagrafDefault"/>
    <w:uiPriority w:val="99"/>
    <w:semiHidden/>
    <w:unhideWhenUsed/>
    <w:rsid w:val="00080FCC"/>
    <w:rPr>
      <w:color w:val="605E5C"/>
      <w:shd w:val="clear" w:color="auto" w:fill="E1DFDD"/>
    </w:rPr>
  </w:style>
  <w:style w:type="paragraph" w:styleId="TeksBiasa">
    <w:name w:val="Plain Text"/>
    <w:basedOn w:val="Normal"/>
    <w:link w:val="TeksBiasaKAR"/>
    <w:uiPriority w:val="99"/>
    <w:unhideWhenUsed/>
    <w:rsid w:val="00C76EA5"/>
    <w:pPr>
      <w:spacing w:after="0" w:line="240" w:lineRule="auto"/>
    </w:pPr>
    <w:rPr>
      <w:rFonts w:ascii="Consolas" w:hAnsi="Consolas"/>
      <w:sz w:val="21"/>
      <w:szCs w:val="21"/>
      <w:lang w:val="it-IT" w:eastAsia="x-none"/>
    </w:rPr>
  </w:style>
  <w:style w:type="character" w:customStyle="1" w:styleId="TeksBiasaKAR">
    <w:name w:val="Teks Biasa KAR"/>
    <w:basedOn w:val="FontParagrafDefault"/>
    <w:link w:val="TeksBiasa"/>
    <w:uiPriority w:val="99"/>
    <w:rsid w:val="00C76EA5"/>
    <w:rPr>
      <w:rFonts w:ascii="Consolas" w:hAnsi="Consolas"/>
      <w:sz w:val="21"/>
      <w:szCs w:val="21"/>
      <w:lang w:val="it-IT" w:eastAsia="x-none"/>
    </w:rPr>
  </w:style>
  <w:style w:type="character" w:customStyle="1" w:styleId="UnresolvedMention3">
    <w:name w:val="Unresolved Mention3"/>
    <w:basedOn w:val="FontParagrafDefault"/>
    <w:uiPriority w:val="99"/>
    <w:semiHidden/>
    <w:unhideWhenUsed/>
    <w:rsid w:val="00416AFF"/>
    <w:rPr>
      <w:color w:val="605E5C"/>
      <w:shd w:val="clear" w:color="auto" w:fill="E1DFDD"/>
    </w:rPr>
  </w:style>
  <w:style w:type="paragraph" w:customStyle="1" w:styleId="kontenutama">
    <w:name w:val="konten utama"/>
    <w:link w:val="kontenutamaChar"/>
    <w:autoRedefine/>
    <w:qFormat/>
    <w:rsid w:val="00244E32"/>
    <w:pPr>
      <w:spacing w:after="60"/>
      <w:jc w:val="both"/>
    </w:pPr>
    <w:rPr>
      <w:rFonts w:asciiTheme="minorHAnsi" w:eastAsia="Times New Roman" w:hAnsiTheme="minorHAnsi" w:cstheme="minorHAnsi"/>
      <w:b/>
      <w:noProof/>
      <w:kern w:val="32"/>
      <w:sz w:val="21"/>
      <w:szCs w:val="21"/>
      <w:lang w:val="id-ID" w:eastAsia="id-ID"/>
    </w:rPr>
  </w:style>
  <w:style w:type="character" w:customStyle="1" w:styleId="kontenutamaChar">
    <w:name w:val="konten utama Char"/>
    <w:link w:val="kontenutama"/>
    <w:rsid w:val="00244E32"/>
    <w:rPr>
      <w:rFonts w:asciiTheme="minorHAnsi" w:eastAsia="Times New Roman" w:hAnsiTheme="minorHAnsi" w:cstheme="minorHAnsi"/>
      <w:b/>
      <w:noProof/>
      <w:kern w:val="32"/>
      <w:sz w:val="21"/>
      <w:szCs w:val="21"/>
      <w:lang w:val="id-ID" w:eastAsia="id-ID"/>
    </w:rPr>
  </w:style>
  <w:style w:type="table" w:customStyle="1" w:styleId="ListTable1Light-Accent31">
    <w:name w:val="List Table 1 Light - Accent 31"/>
    <w:basedOn w:val="TabelNormal"/>
    <w:uiPriority w:val="46"/>
    <w:rsid w:val="0016583A"/>
    <w:rPr>
      <w:rFonts w:asciiTheme="minorHAnsi" w:eastAsiaTheme="minorHAnsi" w:hAnsiTheme="minorHAnsi" w:cstheme="minorBidi"/>
      <w:sz w:val="22"/>
      <w:szCs w:val="22"/>
      <w:lang w:val="en-US" w:eastAsia="en-US"/>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4">
    <w:name w:val="Unresolved Mention4"/>
    <w:basedOn w:val="FontParagrafDefault"/>
    <w:uiPriority w:val="99"/>
    <w:semiHidden/>
    <w:unhideWhenUsed/>
    <w:rsid w:val="0034702E"/>
    <w:rPr>
      <w:color w:val="605E5C"/>
      <w:shd w:val="clear" w:color="auto" w:fill="E1DFDD"/>
    </w:rPr>
  </w:style>
  <w:style w:type="table" w:styleId="TabelBiasa1">
    <w:name w:val="Plain Table 1"/>
    <w:basedOn w:val="TabelNormal"/>
    <w:uiPriority w:val="41"/>
    <w:rsid w:val="00CD477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Biasa3">
    <w:name w:val="Plain Table 3"/>
    <w:basedOn w:val="TabelNormal"/>
    <w:uiPriority w:val="43"/>
    <w:rsid w:val="00AC598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ghtShading1">
    <w:name w:val="Light Shading1"/>
    <w:basedOn w:val="TabelNormal"/>
    <w:uiPriority w:val="60"/>
    <w:rsid w:val="002B6A80"/>
    <w:rPr>
      <w:rFonts w:ascii="Times New Roman" w:eastAsiaTheme="minorHAnsi" w:hAnsi="Times New Roman" w:cstheme="minorBidi"/>
      <w:color w:val="000000" w:themeColor="text1" w:themeShade="BF"/>
      <w:szCs w:val="18"/>
      <w:lang w:val="en-MY"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KisiTabelTerang">
    <w:name w:val="Grid Table Light"/>
    <w:basedOn w:val="TabelNormal"/>
    <w:uiPriority w:val="40"/>
    <w:rsid w:val="00525AF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mpatpenampungteks">
    <w:name w:val="Placeholder Text"/>
    <w:basedOn w:val="FontParagrafDefault"/>
    <w:uiPriority w:val="99"/>
    <w:semiHidden/>
    <w:rsid w:val="00120907"/>
    <w:rPr>
      <w:color w:val="808080"/>
    </w:rPr>
  </w:style>
  <w:style w:type="paragraph" w:styleId="Revisi">
    <w:name w:val="Revision"/>
    <w:hidden/>
    <w:uiPriority w:val="99"/>
    <w:semiHidden/>
    <w:rsid w:val="00F167A2"/>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elNormal"/>
    <w:tblPr>
      <w:tblStyleRowBandSize w:val="1"/>
      <w:tblStyleColBandSize w:val="1"/>
      <w:tblCellMar>
        <w:left w:w="115" w:type="dxa"/>
        <w:right w:w="115" w:type="dxa"/>
      </w:tblCellMar>
    </w:tblPr>
  </w:style>
  <w:style w:type="table" w:customStyle="1" w:styleId="4">
    <w:name w:val="4"/>
    <w:basedOn w:val="TabelNormal"/>
    <w:pPr>
      <w:jc w:val="right"/>
    </w:pPr>
    <w:rPr>
      <w:rFonts w:ascii="Times New Roman" w:eastAsia="Times New Roman" w:hAnsi="Times New Roman" w:cs="Times New Roman"/>
      <w:color w:val="000000"/>
      <w:sz w:val="22"/>
      <w:szCs w:val="22"/>
    </w:rPr>
    <w:tblPr>
      <w:tblStyleRowBandSize w:val="1"/>
      <w:tblStyleColBandSize w:val="1"/>
    </w:tblPr>
  </w:style>
  <w:style w:type="table" w:customStyle="1" w:styleId="3">
    <w:name w:val="3"/>
    <w:basedOn w:val="TabelNormal"/>
    <w:tblPr>
      <w:tblStyleRowBandSize w:val="1"/>
      <w:tblStyleColBandSize w:val="1"/>
      <w:tblCellMar>
        <w:left w:w="115" w:type="dxa"/>
        <w:right w:w="115" w:type="dxa"/>
      </w:tblCellMar>
    </w:tblPr>
  </w:style>
  <w:style w:type="table" w:customStyle="1" w:styleId="2">
    <w:name w:val="2"/>
    <w:basedOn w:val="TabelNormal"/>
    <w:tblPr>
      <w:tblStyleRowBandSize w:val="1"/>
      <w:tblStyleColBandSize w:val="1"/>
      <w:tblCellMar>
        <w:left w:w="70" w:type="dxa"/>
        <w:right w:w="70" w:type="dxa"/>
      </w:tblCellMar>
    </w:tblPr>
  </w:style>
  <w:style w:type="character" w:customStyle="1" w:styleId="DaftarParagrafKAR">
    <w:name w:val="Daftar Paragraf KAR"/>
    <w:aliases w:val="kepala KAR,BAB KAR,ANNEX KAR,List Paragraph1 KAR,gambar KAR,sub SUBBAB KAR,TABEL KAR,List Paragraph untuk Tabel KAR,List Paragraph untuk tabel KAR,Box KAR,Colorful List - Accent 11 KAR,Body Text Char1 KAR,Char Char2 KAR,POINT KAR"/>
    <w:link w:val="DaftarParagraf"/>
    <w:uiPriority w:val="34"/>
    <w:qFormat/>
    <w:rsid w:val="00E4669C"/>
  </w:style>
  <w:style w:type="character" w:styleId="SebutanYangBelumTerselesaikan">
    <w:name w:val="Unresolved Mention"/>
    <w:basedOn w:val="FontParagrafDefault"/>
    <w:uiPriority w:val="99"/>
    <w:semiHidden/>
    <w:unhideWhenUsed/>
    <w:rsid w:val="00751946"/>
    <w:rPr>
      <w:color w:val="605E5C"/>
      <w:shd w:val="clear" w:color="auto" w:fill="E1DFDD"/>
    </w:rPr>
  </w:style>
  <w:style w:type="character" w:styleId="HiperlinkyangDiikuti">
    <w:name w:val="FollowedHyperlink"/>
    <w:basedOn w:val="FontParagrafDefault"/>
    <w:uiPriority w:val="99"/>
    <w:semiHidden/>
    <w:unhideWhenUsed/>
    <w:rsid w:val="00301C8E"/>
    <w:rPr>
      <w:color w:val="954F72" w:themeColor="followedHyperlink"/>
      <w:u w:val="single"/>
    </w:rPr>
  </w:style>
  <w:style w:type="table" w:customStyle="1" w:styleId="1">
    <w:name w:val="1"/>
    <w:basedOn w:val="TabelNormal"/>
    <w:pPr>
      <w:jc w:val="right"/>
    </w:pPr>
    <w:rPr>
      <w:rFonts w:ascii="Times New Roman" w:eastAsia="Times New Roman" w:hAnsi="Times New Roman" w:cs="Times New Roman"/>
      <w:color w:val="000000"/>
      <w:sz w:val="22"/>
      <w:szCs w:val="22"/>
    </w:rPr>
    <w:tblPr>
      <w:tblStyleRowBandSize w:val="1"/>
      <w:tblStyleColBandSize w:val="1"/>
      <w:tblCellMar>
        <w:left w:w="70" w:type="dxa"/>
        <w:right w:w="70" w:type="dxa"/>
      </w:tblCellMar>
    </w:tblPr>
  </w:style>
  <w:style w:type="paragraph" w:styleId="HTMLSudahDiformat">
    <w:name w:val="HTML Preformatted"/>
    <w:basedOn w:val="Normal"/>
    <w:link w:val="HTMLSudahDiformatKAR"/>
    <w:uiPriority w:val="99"/>
    <w:semiHidden/>
    <w:unhideWhenUsed/>
    <w:rsid w:val="00DF5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SudahDiformatKAR">
    <w:name w:val="HTML Sudah Diformat KAR"/>
    <w:basedOn w:val="FontParagrafDefault"/>
    <w:link w:val="HTMLSudahDiformat"/>
    <w:uiPriority w:val="99"/>
    <w:semiHidden/>
    <w:rsid w:val="00DF5B90"/>
    <w:rPr>
      <w:rFonts w:ascii="Courier New" w:eastAsia="Times New Roman" w:hAnsi="Courier New" w:cs="Courier New"/>
      <w:sz w:val="20"/>
      <w:szCs w:val="20"/>
      <w:lang w:val="en-ID"/>
    </w:rPr>
  </w:style>
  <w:style w:type="paragraph" w:customStyle="1" w:styleId="msonormal0">
    <w:name w:val="msonormal"/>
    <w:basedOn w:val="Normal"/>
    <w:uiPriority w:val="99"/>
    <w:semiHidden/>
    <w:rsid w:val="00DF5B90"/>
    <w:pPr>
      <w:spacing w:before="100" w:beforeAutospacing="1" w:after="100" w:afterAutospacing="1" w:line="240" w:lineRule="auto"/>
    </w:pPr>
    <w:rPr>
      <w:rFonts w:ascii="Times New Roman" w:eastAsia="Times New Roman" w:hAnsi="Times New Roman" w:cs="Times New Roman"/>
      <w:noProof/>
      <w:lang w:val="en-US"/>
    </w:rPr>
  </w:style>
  <w:style w:type="paragraph" w:styleId="TOC1">
    <w:name w:val="toc 1"/>
    <w:basedOn w:val="Normal"/>
    <w:next w:val="Normal"/>
    <w:autoRedefine/>
    <w:uiPriority w:val="39"/>
    <w:semiHidden/>
    <w:unhideWhenUsed/>
    <w:rsid w:val="00DF5B90"/>
    <w:pPr>
      <w:tabs>
        <w:tab w:val="right" w:leader="dot" w:pos="8504"/>
      </w:tabs>
      <w:spacing w:after="100" w:line="256" w:lineRule="auto"/>
      <w:jc w:val="both"/>
    </w:pPr>
    <w:rPr>
      <w:rFonts w:asciiTheme="minorHAnsi" w:eastAsiaTheme="minorHAnsi" w:hAnsiTheme="minorHAnsi" w:cstheme="minorBidi"/>
      <w:noProof/>
      <w:sz w:val="22"/>
      <w:szCs w:val="22"/>
      <w:lang w:val="en-US" w:eastAsia="en-US"/>
    </w:rPr>
  </w:style>
  <w:style w:type="paragraph" w:styleId="TOC2">
    <w:name w:val="toc 2"/>
    <w:basedOn w:val="Normal"/>
    <w:next w:val="Normal"/>
    <w:autoRedefine/>
    <w:uiPriority w:val="39"/>
    <w:semiHidden/>
    <w:unhideWhenUsed/>
    <w:rsid w:val="00DF5B90"/>
    <w:pPr>
      <w:tabs>
        <w:tab w:val="right" w:leader="dot" w:pos="8504"/>
      </w:tabs>
      <w:spacing w:after="100" w:line="256" w:lineRule="auto"/>
      <w:ind w:left="220"/>
      <w:jc w:val="both"/>
    </w:pPr>
    <w:rPr>
      <w:rFonts w:asciiTheme="minorHAnsi" w:eastAsiaTheme="minorHAnsi" w:hAnsiTheme="minorHAnsi" w:cstheme="minorBidi"/>
      <w:noProof/>
      <w:sz w:val="22"/>
      <w:szCs w:val="22"/>
      <w:lang w:val="en-US" w:eastAsia="en-US"/>
    </w:rPr>
  </w:style>
  <w:style w:type="paragraph" w:styleId="TOC3">
    <w:name w:val="toc 3"/>
    <w:basedOn w:val="Normal"/>
    <w:next w:val="Normal"/>
    <w:autoRedefine/>
    <w:uiPriority w:val="39"/>
    <w:semiHidden/>
    <w:unhideWhenUsed/>
    <w:rsid w:val="00DF5B90"/>
    <w:pPr>
      <w:tabs>
        <w:tab w:val="right" w:leader="dot" w:pos="8504"/>
      </w:tabs>
      <w:spacing w:after="100" w:line="256" w:lineRule="auto"/>
      <w:ind w:left="440"/>
      <w:jc w:val="both"/>
    </w:pPr>
    <w:rPr>
      <w:rFonts w:asciiTheme="minorHAnsi" w:eastAsiaTheme="minorHAnsi" w:hAnsiTheme="minorHAnsi" w:cstheme="minorBidi"/>
      <w:noProof/>
      <w:sz w:val="22"/>
      <w:szCs w:val="22"/>
      <w:lang w:val="en-US" w:eastAsia="en-US"/>
    </w:rPr>
  </w:style>
  <w:style w:type="paragraph" w:styleId="TabelGambar">
    <w:name w:val="table of figures"/>
    <w:basedOn w:val="Normal"/>
    <w:next w:val="Normal"/>
    <w:uiPriority w:val="99"/>
    <w:semiHidden/>
    <w:unhideWhenUsed/>
    <w:rsid w:val="00DF5B90"/>
    <w:pPr>
      <w:spacing w:after="0" w:line="256" w:lineRule="auto"/>
    </w:pPr>
    <w:rPr>
      <w:rFonts w:asciiTheme="minorHAnsi" w:eastAsiaTheme="minorHAnsi" w:hAnsiTheme="minorHAnsi" w:cstheme="minorBidi"/>
      <w:noProof/>
      <w:sz w:val="22"/>
      <w:szCs w:val="22"/>
      <w:lang w:val="en-US" w:eastAsia="en-US"/>
    </w:rPr>
  </w:style>
  <w:style w:type="character" w:customStyle="1" w:styleId="JudulKAR">
    <w:name w:val="Judul KAR"/>
    <w:basedOn w:val="FontParagrafDefault"/>
    <w:link w:val="Judul"/>
    <w:uiPriority w:val="10"/>
    <w:rsid w:val="00DF5B90"/>
    <w:rPr>
      <w:b/>
      <w:sz w:val="72"/>
      <w:szCs w:val="72"/>
    </w:rPr>
  </w:style>
  <w:style w:type="paragraph" w:styleId="JudulTOC">
    <w:name w:val="TOC Heading"/>
    <w:basedOn w:val="Judul1"/>
    <w:next w:val="Normal"/>
    <w:uiPriority w:val="39"/>
    <w:semiHidden/>
    <w:unhideWhenUsed/>
    <w:qFormat/>
    <w:rsid w:val="00DF5B90"/>
    <w:pPr>
      <w:keepLines/>
      <w:spacing w:after="0" w:line="256" w:lineRule="auto"/>
      <w:jc w:val="left"/>
      <w:outlineLvl w:val="9"/>
    </w:pPr>
    <w:rPr>
      <w:rFonts w:asciiTheme="majorHAnsi" w:eastAsiaTheme="majorEastAsia" w:hAnsiTheme="majorHAnsi" w:cstheme="majorBidi"/>
      <w:b w:val="0"/>
      <w:caps w:val="0"/>
      <w:color w:val="2E74B5" w:themeColor="accent1" w:themeShade="BF"/>
      <w:sz w:val="32"/>
      <w:szCs w:val="32"/>
      <w:lang w:eastAsia="en-US"/>
    </w:rPr>
  </w:style>
  <w:style w:type="character" w:customStyle="1" w:styleId="JudulSubbabChar">
    <w:name w:val="Judul Sub bab Char"/>
    <w:basedOn w:val="FontParagrafDefault"/>
    <w:link w:val="JudulSubbab"/>
    <w:semiHidden/>
    <w:locked/>
    <w:rsid w:val="00DF5B90"/>
    <w:rPr>
      <w:rFonts w:ascii="Times New Roman" w:eastAsiaTheme="majorEastAsia" w:hAnsi="Times New Roman" w:cstheme="majorBidi"/>
      <w:b/>
      <w:bCs/>
      <w:noProof/>
      <w:szCs w:val="26"/>
      <w:lang w:val="en-US" w:eastAsia="ja-JP"/>
    </w:rPr>
  </w:style>
  <w:style w:type="paragraph" w:customStyle="1" w:styleId="JudulSubbab">
    <w:name w:val="Judul Sub bab"/>
    <w:basedOn w:val="Judul2"/>
    <w:link w:val="JudulSubbabChar"/>
    <w:semiHidden/>
    <w:qFormat/>
    <w:rsid w:val="00DF5B90"/>
    <w:pPr>
      <w:keepLines/>
      <w:numPr>
        <w:numId w:val="4"/>
      </w:numPr>
      <w:spacing w:after="120"/>
      <w:ind w:hanging="360"/>
      <w:jc w:val="left"/>
    </w:pPr>
    <w:rPr>
      <w:rFonts w:ascii="Times New Roman" w:eastAsiaTheme="majorEastAsia" w:hAnsi="Times New Roman" w:cstheme="majorBidi"/>
      <w:bCs/>
      <w:noProof/>
      <w:szCs w:val="26"/>
      <w:lang w:eastAsia="ja-JP"/>
    </w:rPr>
  </w:style>
  <w:style w:type="paragraph" w:customStyle="1" w:styleId="TableParagraph">
    <w:name w:val="Table Paragraph"/>
    <w:basedOn w:val="Normal"/>
    <w:uiPriority w:val="1"/>
    <w:semiHidden/>
    <w:qFormat/>
    <w:rsid w:val="00DF5B90"/>
    <w:pPr>
      <w:widowControl w:val="0"/>
      <w:autoSpaceDE w:val="0"/>
      <w:autoSpaceDN w:val="0"/>
      <w:spacing w:after="0" w:line="240" w:lineRule="auto"/>
      <w:ind w:left="136"/>
    </w:pPr>
    <w:rPr>
      <w:rFonts w:ascii="Times New Roman" w:eastAsia="Times New Roman" w:hAnsi="Times New Roman" w:cs="Times New Roman"/>
      <w:sz w:val="22"/>
      <w:szCs w:val="22"/>
      <w:lang w:val="en-ID" w:eastAsia="en-US"/>
    </w:rPr>
  </w:style>
  <w:style w:type="character" w:customStyle="1" w:styleId="y2iqfc">
    <w:name w:val="y2iqfc"/>
    <w:basedOn w:val="FontParagrafDefault"/>
    <w:rsid w:val="00DF5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411539">
      <w:bodyDiv w:val="1"/>
      <w:marLeft w:val="0"/>
      <w:marRight w:val="0"/>
      <w:marTop w:val="0"/>
      <w:marBottom w:val="0"/>
      <w:divBdr>
        <w:top w:val="none" w:sz="0" w:space="0" w:color="auto"/>
        <w:left w:val="none" w:sz="0" w:space="0" w:color="auto"/>
        <w:bottom w:val="none" w:sz="0" w:space="0" w:color="auto"/>
        <w:right w:val="none" w:sz="0" w:space="0" w:color="auto"/>
      </w:divBdr>
    </w:div>
    <w:div w:id="351879379">
      <w:bodyDiv w:val="1"/>
      <w:marLeft w:val="0"/>
      <w:marRight w:val="0"/>
      <w:marTop w:val="0"/>
      <w:marBottom w:val="0"/>
      <w:divBdr>
        <w:top w:val="none" w:sz="0" w:space="0" w:color="auto"/>
        <w:left w:val="none" w:sz="0" w:space="0" w:color="auto"/>
        <w:bottom w:val="none" w:sz="0" w:space="0" w:color="auto"/>
        <w:right w:val="none" w:sz="0" w:space="0" w:color="auto"/>
      </w:divBdr>
    </w:div>
    <w:div w:id="413479684">
      <w:bodyDiv w:val="1"/>
      <w:marLeft w:val="0"/>
      <w:marRight w:val="0"/>
      <w:marTop w:val="0"/>
      <w:marBottom w:val="0"/>
      <w:divBdr>
        <w:top w:val="none" w:sz="0" w:space="0" w:color="auto"/>
        <w:left w:val="none" w:sz="0" w:space="0" w:color="auto"/>
        <w:bottom w:val="none" w:sz="0" w:space="0" w:color="auto"/>
        <w:right w:val="none" w:sz="0" w:space="0" w:color="auto"/>
      </w:divBdr>
    </w:div>
    <w:div w:id="583028557">
      <w:bodyDiv w:val="1"/>
      <w:marLeft w:val="0"/>
      <w:marRight w:val="0"/>
      <w:marTop w:val="0"/>
      <w:marBottom w:val="0"/>
      <w:divBdr>
        <w:top w:val="none" w:sz="0" w:space="0" w:color="auto"/>
        <w:left w:val="none" w:sz="0" w:space="0" w:color="auto"/>
        <w:bottom w:val="none" w:sz="0" w:space="0" w:color="auto"/>
        <w:right w:val="none" w:sz="0" w:space="0" w:color="auto"/>
      </w:divBdr>
    </w:div>
    <w:div w:id="985625046">
      <w:bodyDiv w:val="1"/>
      <w:marLeft w:val="0"/>
      <w:marRight w:val="0"/>
      <w:marTop w:val="0"/>
      <w:marBottom w:val="0"/>
      <w:divBdr>
        <w:top w:val="none" w:sz="0" w:space="0" w:color="auto"/>
        <w:left w:val="none" w:sz="0" w:space="0" w:color="auto"/>
        <w:bottom w:val="none" w:sz="0" w:space="0" w:color="auto"/>
        <w:right w:val="none" w:sz="0" w:space="0" w:color="auto"/>
      </w:divBdr>
    </w:div>
    <w:div w:id="2055881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g"/><Relationship Id="rId14" Type="http://schemas.microsoft.com/office/2018/08/relationships/commentsExtensible" Target="commentsExtensible.xml"/><Relationship Id="rId22" Type="http://schemas.openxmlformats.org/officeDocument/2006/relationships/hyperlink" Target="http://www.investing.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x.doi.org/10.17509/xxxx.xxi"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x.doi.org/10.xxxxx/ijost.v2i2"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dx.doi.org/10.17509/xxxx.xx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A1AcTOrE/BgQJCisd5zTxPsiQ==">CgMxLjAyCGguZ2pkZ3hzOAByITFZREtoX19rMDJEUkN1bWdYd3lxX09nN3dSQ05IWXphVg==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ABF0D7-4B51-4E22-9E26-FF5980148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21940</Words>
  <Characters>127476</Characters>
  <Application>Microsoft Office Word</Application>
  <DocSecurity>0</DocSecurity>
  <Lines>12747</Lines>
  <Paragraphs>4980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Vanya Octary</dc:creator>
  <cp:keywords/>
  <dc:description/>
  <cp:lastModifiedBy>arini lestari</cp:lastModifiedBy>
  <cp:revision>12</cp:revision>
  <dcterms:created xsi:type="dcterms:W3CDTF">2023-07-28T01:58:00Z</dcterms:created>
  <dcterms:modified xsi:type="dcterms:W3CDTF">2024-12-01T19:16:00Z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131d269d-2ede-3c0f-809e-444c45df856c</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0x0101006676EB79F3F64C45BFA78B70C36B2A08</vt:lpwstr>
  </property>
  <property fmtid="{D5CDD505-2E9C-101B-9397-08002B2CF9AE}" pid="26" name="GrammarlyDocumentId">
    <vt:lpwstr>b7cfac2423e0b95e9a9dfc037ce3f1cebcb6fce30f8326e429b94d3e39f46d38</vt:lpwstr>
  </property>
</Properties>
</file>